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rawings/drawing1.xml" ContentType="application/vnd.openxmlformats-officedocument.drawingml.chartshape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8880" w:type="dxa"/>
        <w:tblLayout w:type="fixed"/>
        <w:tblCellMar>
          <w:left w:w="70" w:type="dxa"/>
          <w:right w:w="70" w:type="dxa"/>
        </w:tblCellMar>
        <w:tblLook w:val="04A0"/>
      </w:tblPr>
      <w:tblGrid>
        <w:gridCol w:w="2620"/>
        <w:gridCol w:w="6260"/>
      </w:tblGrid>
      <w:tr w:rsidR="00BD53C0" w:rsidTr="00BD53C0">
        <w:trPr>
          <w:cantSplit/>
          <w:trHeight w:val="564"/>
        </w:trPr>
        <w:tc>
          <w:tcPr>
            <w:tcW w:w="8880" w:type="dxa"/>
            <w:gridSpan w:val="2"/>
            <w:shd w:val="clear" w:color="auto" w:fill="FFFFFF"/>
            <w:hideMark/>
          </w:tcPr>
          <w:p w:rsidR="00BD53C0" w:rsidRPr="00BD53C0" w:rsidRDefault="00BD53C0">
            <w:pPr>
              <w:suppressAutoHyphens/>
              <w:jc w:val="center"/>
              <w:rPr>
                <w:rFonts w:ascii="Calibri" w:hAnsi="Calibri"/>
                <w:smallCaps/>
                <w:sz w:val="36"/>
                <w:szCs w:val="36"/>
                <w:lang w:eastAsia="ar-SA"/>
              </w:rPr>
            </w:pPr>
            <w:r w:rsidRPr="00BD53C0">
              <w:rPr>
                <w:rFonts w:ascii="Calibri" w:hAnsi="Calibri"/>
                <w:smallCaps/>
                <w:sz w:val="36"/>
                <w:szCs w:val="36"/>
                <w:lang w:eastAsia="ar-SA"/>
              </w:rPr>
              <w:t>TOM VIII</w:t>
            </w:r>
          </w:p>
          <w:p w:rsidR="00BD53C0" w:rsidRPr="00BD53C0" w:rsidRDefault="00BD53C0">
            <w:pPr>
              <w:suppressAutoHyphens/>
              <w:jc w:val="center"/>
              <w:rPr>
                <w:rFonts w:ascii="Calibri" w:hAnsi="Calibri"/>
                <w:smallCaps/>
                <w:sz w:val="36"/>
                <w:szCs w:val="36"/>
                <w:lang w:eastAsia="ar-SA"/>
              </w:rPr>
            </w:pPr>
          </w:p>
          <w:p w:rsidR="00BD53C0" w:rsidRDefault="00BD53C0">
            <w:pPr>
              <w:suppressAutoHyphens/>
              <w:jc w:val="center"/>
              <w:rPr>
                <w:rFonts w:ascii="Calibri" w:hAnsi="Calibri"/>
                <w:smallCaps/>
                <w:sz w:val="36"/>
                <w:szCs w:val="36"/>
                <w:highlight w:val="lightGray"/>
                <w:lang w:eastAsia="ar-SA"/>
              </w:rPr>
            </w:pPr>
            <w:r w:rsidRPr="00BD53C0">
              <w:rPr>
                <w:rFonts w:ascii="Calibri" w:hAnsi="Calibri"/>
                <w:smallCaps/>
                <w:sz w:val="36"/>
                <w:szCs w:val="36"/>
                <w:lang w:eastAsia="ar-SA"/>
              </w:rPr>
              <w:t>SPECYFIKACJE TECHNICZNE WYKONANIA I IDBIORU ROBÓT BUDOWLANYCH</w:t>
            </w:r>
          </w:p>
        </w:tc>
      </w:tr>
      <w:tr w:rsidR="00BD53C0" w:rsidTr="00BD53C0">
        <w:trPr>
          <w:cantSplit/>
          <w:trHeight w:val="1278"/>
        </w:trPr>
        <w:tc>
          <w:tcPr>
            <w:tcW w:w="8880" w:type="dxa"/>
            <w:gridSpan w:val="2"/>
            <w:shd w:val="clear" w:color="auto" w:fill="FFFFFF"/>
          </w:tcPr>
          <w:p w:rsidR="00BD53C0" w:rsidRDefault="00BD53C0">
            <w:pPr>
              <w:pStyle w:val="Nagwek7"/>
              <w:spacing w:line="276" w:lineRule="auto"/>
              <w:jc w:val="center"/>
              <w:rPr>
                <w:rFonts w:asciiTheme="minorHAnsi" w:hAnsiTheme="minorHAnsi"/>
                <w:sz w:val="36"/>
                <w:szCs w:val="36"/>
              </w:rPr>
            </w:pPr>
          </w:p>
          <w:p w:rsidR="00BD53C0" w:rsidRDefault="00BD53C0">
            <w:pPr>
              <w:pStyle w:val="Nagwek7"/>
              <w:spacing w:line="276" w:lineRule="auto"/>
              <w:jc w:val="center"/>
              <w:rPr>
                <w:rFonts w:asciiTheme="minorHAnsi" w:hAnsiTheme="minorHAnsi"/>
                <w:sz w:val="36"/>
                <w:szCs w:val="36"/>
              </w:rPr>
            </w:pPr>
          </w:p>
          <w:p w:rsidR="00BD53C0" w:rsidRDefault="00BD53C0">
            <w:pPr>
              <w:pStyle w:val="Nagwek7"/>
              <w:spacing w:line="276" w:lineRule="auto"/>
              <w:jc w:val="center"/>
              <w:rPr>
                <w:rFonts w:asciiTheme="minorHAnsi" w:hAnsiTheme="minorHAnsi"/>
                <w:sz w:val="36"/>
                <w:szCs w:val="36"/>
                <w:lang w:eastAsia="ar-SA"/>
              </w:rPr>
            </w:pPr>
            <w:r>
              <w:rPr>
                <w:rFonts w:asciiTheme="minorHAnsi" w:hAnsiTheme="minorHAnsi"/>
                <w:sz w:val="36"/>
                <w:szCs w:val="36"/>
              </w:rPr>
              <w:t>„Budowa parkingu wraz z drogą manewrową przy ul. Armii Krajowej w Wałbrzychu zlokalizowanego na dz. nr ew. 113, 116/1, obr. 20 Stary Zdrój (przy budynkach mieszkalnych nr 46 i 54)"</w:t>
            </w:r>
          </w:p>
          <w:p w:rsidR="00BD53C0" w:rsidRDefault="00BD53C0">
            <w:pPr>
              <w:suppressAutoHyphens/>
              <w:rPr>
                <w:lang w:eastAsia="ar-SA"/>
              </w:rPr>
            </w:pPr>
          </w:p>
        </w:tc>
      </w:tr>
      <w:tr w:rsidR="00BD53C0" w:rsidTr="00BD53C0">
        <w:trPr>
          <w:trHeight w:val="264"/>
        </w:trPr>
        <w:tc>
          <w:tcPr>
            <w:tcW w:w="2620" w:type="dxa"/>
            <w:shd w:val="clear" w:color="auto" w:fill="FFFFFF"/>
          </w:tcPr>
          <w:p w:rsidR="00BD53C0" w:rsidRDefault="00BD53C0">
            <w:pPr>
              <w:suppressAutoHyphens/>
              <w:rPr>
                <w:rFonts w:ascii="Calibri" w:hAnsi="Calibri"/>
                <w:smallCaps/>
                <w:sz w:val="8"/>
                <w:szCs w:val="8"/>
                <w:lang w:eastAsia="ar-SA"/>
              </w:rPr>
            </w:pPr>
          </w:p>
        </w:tc>
        <w:tc>
          <w:tcPr>
            <w:tcW w:w="6260" w:type="dxa"/>
            <w:shd w:val="clear" w:color="auto" w:fill="FFFFFF"/>
          </w:tcPr>
          <w:p w:rsidR="00BD53C0" w:rsidRDefault="00BD53C0">
            <w:pPr>
              <w:suppressAutoHyphens/>
              <w:rPr>
                <w:rFonts w:ascii="Calibri" w:hAnsi="Calibri"/>
                <w:smallCaps/>
                <w:lang w:eastAsia="ar-SA"/>
              </w:rPr>
            </w:pPr>
          </w:p>
        </w:tc>
      </w:tr>
      <w:tr w:rsidR="00BD53C0" w:rsidTr="00BD53C0">
        <w:trPr>
          <w:trHeight w:val="1180"/>
        </w:trPr>
        <w:tc>
          <w:tcPr>
            <w:tcW w:w="2620" w:type="dxa"/>
            <w:shd w:val="clear" w:color="auto" w:fill="FFFFFF"/>
            <w:hideMark/>
          </w:tcPr>
          <w:p w:rsidR="00BD53C0" w:rsidRDefault="00BD53C0">
            <w:pPr>
              <w:suppressAutoHyphens/>
              <w:rPr>
                <w:rFonts w:ascii="Calibri" w:hAnsi="Calibri"/>
                <w:bCs/>
                <w:smallCaps/>
                <w:sz w:val="28"/>
                <w:szCs w:val="28"/>
                <w:lang w:eastAsia="ar-SA"/>
              </w:rPr>
            </w:pPr>
            <w:r>
              <w:rPr>
                <w:rFonts w:ascii="Calibri" w:hAnsi="Calibri"/>
                <w:bCs/>
                <w:smallCaps/>
                <w:sz w:val="28"/>
                <w:szCs w:val="28"/>
              </w:rPr>
              <w:t>Inwestor :</w:t>
            </w:r>
          </w:p>
        </w:tc>
        <w:tc>
          <w:tcPr>
            <w:tcW w:w="6260" w:type="dxa"/>
            <w:shd w:val="clear" w:color="auto" w:fill="FFFFFF"/>
            <w:hideMark/>
          </w:tcPr>
          <w:tbl>
            <w:tblPr>
              <w:tblStyle w:val="Tabela-Siatka"/>
              <w:tblW w:w="65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2058"/>
              <w:gridCol w:w="4527"/>
            </w:tblGrid>
            <w:tr w:rsidR="00BD53C0">
              <w:tc>
                <w:tcPr>
                  <w:tcW w:w="2056" w:type="dxa"/>
                  <w:hideMark/>
                </w:tcPr>
                <w:p w:rsidR="00BD53C0" w:rsidRDefault="00BD53C0">
                  <w:pPr>
                    <w:suppressAutoHyphens/>
                    <w:rPr>
                      <w:rFonts w:asciiTheme="minorHAnsi" w:hAnsiTheme="minorHAnsi"/>
                      <w:b/>
                      <w:smallCaps/>
                      <w:sz w:val="24"/>
                      <w:lang w:eastAsia="ar-SA"/>
                    </w:rPr>
                  </w:pPr>
                  <w:r>
                    <w:rPr>
                      <w:rFonts w:asciiTheme="minorHAnsi" w:hAnsiTheme="minorHAnsi"/>
                      <w:b/>
                      <w:smallCaps/>
                      <w:noProof/>
                      <w:sz w:val="24"/>
                    </w:rPr>
                    <w:drawing>
                      <wp:inline distT="0" distB="0" distL="0" distR="0">
                        <wp:extent cx="704850" cy="895350"/>
                        <wp:effectExtent l="0" t="0" r="0" b="0"/>
                        <wp:docPr id="11" name="Obraz 11" descr="herb Wałbrzych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herb Wałbrzycha.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04850" cy="895350"/>
                                </a:xfrm>
                                <a:prstGeom prst="rect">
                                  <a:avLst/>
                                </a:prstGeom>
                                <a:noFill/>
                                <a:ln>
                                  <a:noFill/>
                                </a:ln>
                              </pic:spPr>
                            </pic:pic>
                          </a:graphicData>
                        </a:graphic>
                      </wp:inline>
                    </w:drawing>
                  </w:r>
                </w:p>
              </w:tc>
              <w:tc>
                <w:tcPr>
                  <w:tcW w:w="4523" w:type="dxa"/>
                </w:tcPr>
                <w:p w:rsidR="00BD53C0" w:rsidRDefault="00BD53C0">
                  <w:pPr>
                    <w:ind w:left="-108"/>
                    <w:rPr>
                      <w:rFonts w:asciiTheme="minorHAnsi" w:hAnsiTheme="minorHAnsi"/>
                      <w:b/>
                      <w:smallCaps/>
                      <w:sz w:val="24"/>
                      <w:lang w:eastAsia="ar-SA"/>
                    </w:rPr>
                  </w:pPr>
                  <w:r>
                    <w:rPr>
                      <w:rFonts w:asciiTheme="minorHAnsi" w:hAnsiTheme="minorHAnsi"/>
                      <w:b/>
                      <w:smallCaps/>
                      <w:sz w:val="24"/>
                    </w:rPr>
                    <w:t>Gmina Wałbrzych –ZDKIUM w Wałbrzychu</w:t>
                  </w:r>
                </w:p>
                <w:p w:rsidR="00BD53C0" w:rsidRDefault="00BD53C0">
                  <w:pPr>
                    <w:ind w:left="-108"/>
                    <w:rPr>
                      <w:rFonts w:asciiTheme="minorHAnsi" w:hAnsiTheme="minorHAnsi"/>
                      <w:b/>
                      <w:smallCaps/>
                      <w:sz w:val="24"/>
                    </w:rPr>
                  </w:pPr>
                  <w:r>
                    <w:rPr>
                      <w:rFonts w:asciiTheme="minorHAnsi" w:hAnsiTheme="minorHAnsi"/>
                      <w:b/>
                      <w:smallCaps/>
                      <w:sz w:val="24"/>
                    </w:rPr>
                    <w:t>ul. Jana Matejki 1</w:t>
                  </w:r>
                </w:p>
                <w:p w:rsidR="00BD53C0" w:rsidRDefault="00BD53C0">
                  <w:pPr>
                    <w:ind w:left="-108"/>
                    <w:rPr>
                      <w:rFonts w:asciiTheme="minorHAnsi" w:hAnsiTheme="minorHAnsi"/>
                      <w:b/>
                      <w:smallCaps/>
                      <w:sz w:val="24"/>
                    </w:rPr>
                  </w:pPr>
                  <w:r>
                    <w:rPr>
                      <w:rFonts w:asciiTheme="minorHAnsi" w:hAnsiTheme="minorHAnsi"/>
                      <w:b/>
                      <w:smallCaps/>
                      <w:sz w:val="24"/>
                    </w:rPr>
                    <w:t>58-300 Wałbrzych</w:t>
                  </w:r>
                </w:p>
                <w:p w:rsidR="00BD53C0" w:rsidRDefault="00BD53C0">
                  <w:pPr>
                    <w:rPr>
                      <w:rFonts w:asciiTheme="minorHAnsi" w:hAnsiTheme="minorHAnsi"/>
                      <w:b/>
                      <w:smallCaps/>
                      <w:sz w:val="24"/>
                    </w:rPr>
                  </w:pPr>
                </w:p>
                <w:p w:rsidR="00BD53C0" w:rsidRDefault="00BD53C0">
                  <w:pPr>
                    <w:suppressAutoHyphens/>
                    <w:rPr>
                      <w:rFonts w:asciiTheme="minorHAnsi" w:hAnsiTheme="minorHAnsi"/>
                      <w:b/>
                      <w:smallCaps/>
                      <w:sz w:val="24"/>
                      <w:lang w:eastAsia="ar-SA"/>
                    </w:rPr>
                  </w:pPr>
                </w:p>
              </w:tc>
            </w:tr>
          </w:tbl>
          <w:p w:rsidR="00BD53C0" w:rsidRDefault="00BD53C0">
            <w:pPr>
              <w:suppressAutoHyphens/>
              <w:rPr>
                <w:rFonts w:ascii="Calibri" w:hAnsi="Calibri"/>
                <w:b/>
                <w:smallCaps/>
                <w:sz w:val="24"/>
                <w:lang w:eastAsia="ar-SA"/>
              </w:rPr>
            </w:pPr>
          </w:p>
        </w:tc>
      </w:tr>
      <w:tr w:rsidR="00BD53C0" w:rsidTr="00BD53C0">
        <w:trPr>
          <w:trHeight w:val="2974"/>
        </w:trPr>
        <w:tc>
          <w:tcPr>
            <w:tcW w:w="2620" w:type="dxa"/>
            <w:shd w:val="clear" w:color="auto" w:fill="FFFFFF"/>
          </w:tcPr>
          <w:p w:rsidR="00BD53C0" w:rsidRDefault="00BD53C0">
            <w:pPr>
              <w:rPr>
                <w:rFonts w:ascii="Calibri" w:hAnsi="Calibri"/>
                <w:bCs/>
                <w:smallCaps/>
                <w:sz w:val="28"/>
                <w:szCs w:val="28"/>
                <w:lang w:eastAsia="ar-SA"/>
              </w:rPr>
            </w:pPr>
          </w:p>
          <w:p w:rsidR="00BD53C0" w:rsidRDefault="00BD53C0">
            <w:pPr>
              <w:rPr>
                <w:rFonts w:ascii="Calibri" w:hAnsi="Calibri"/>
                <w:bCs/>
                <w:smallCaps/>
                <w:sz w:val="28"/>
                <w:szCs w:val="28"/>
              </w:rPr>
            </w:pPr>
          </w:p>
          <w:p w:rsidR="00BD53C0" w:rsidRDefault="00BD53C0">
            <w:pPr>
              <w:rPr>
                <w:rFonts w:ascii="Calibri" w:hAnsi="Calibri"/>
                <w:bCs/>
                <w:smallCaps/>
                <w:sz w:val="28"/>
                <w:szCs w:val="28"/>
              </w:rPr>
            </w:pPr>
          </w:p>
          <w:p w:rsidR="00BD53C0" w:rsidRDefault="00BD53C0">
            <w:pPr>
              <w:rPr>
                <w:rFonts w:ascii="Calibri" w:hAnsi="Calibri"/>
                <w:bCs/>
                <w:smallCaps/>
                <w:sz w:val="28"/>
                <w:szCs w:val="28"/>
              </w:rPr>
            </w:pPr>
          </w:p>
          <w:p w:rsidR="00BD53C0" w:rsidRDefault="00BD53C0">
            <w:pPr>
              <w:rPr>
                <w:rFonts w:ascii="Calibri" w:hAnsi="Calibri"/>
                <w:bCs/>
                <w:smallCaps/>
                <w:sz w:val="28"/>
                <w:szCs w:val="28"/>
              </w:rPr>
            </w:pPr>
            <w:r>
              <w:rPr>
                <w:rFonts w:ascii="Calibri" w:hAnsi="Calibri"/>
                <w:bCs/>
                <w:smallCaps/>
                <w:sz w:val="28"/>
                <w:szCs w:val="28"/>
              </w:rPr>
              <w:t>Jednostka Projektowa</w:t>
            </w:r>
          </w:p>
          <w:p w:rsidR="00BD53C0" w:rsidRDefault="00BD53C0">
            <w:pPr>
              <w:suppressAutoHyphens/>
              <w:rPr>
                <w:rFonts w:ascii="Calibri" w:hAnsi="Calibri"/>
                <w:smallCaps/>
                <w:sz w:val="28"/>
                <w:szCs w:val="28"/>
                <w:lang w:eastAsia="ar-SA"/>
              </w:rPr>
            </w:pPr>
          </w:p>
        </w:tc>
        <w:tc>
          <w:tcPr>
            <w:tcW w:w="6260" w:type="dxa"/>
            <w:shd w:val="clear" w:color="auto" w:fill="FFFFFF"/>
            <w:hideMark/>
          </w:tcPr>
          <w:tbl>
            <w:tblPr>
              <w:tblpPr w:leftFromText="141" w:rightFromText="141" w:vertAnchor="page" w:horzAnchor="margin" w:tblpY="1306"/>
              <w:tblW w:w="9750" w:type="dxa"/>
              <w:tblLayout w:type="fixed"/>
              <w:tblLook w:val="01E0"/>
            </w:tblPr>
            <w:tblGrid>
              <w:gridCol w:w="1747"/>
              <w:gridCol w:w="8003"/>
            </w:tblGrid>
            <w:tr w:rsidR="00BD53C0">
              <w:tc>
                <w:tcPr>
                  <w:tcW w:w="1746" w:type="dxa"/>
                  <w:hideMark/>
                </w:tcPr>
                <w:p w:rsidR="00BD53C0" w:rsidRDefault="00BD53C0">
                  <w:pPr>
                    <w:suppressAutoHyphens/>
                    <w:rPr>
                      <w:lang w:eastAsia="ar-SA"/>
                    </w:rPr>
                  </w:pPr>
                  <w:r>
                    <w:rPr>
                      <w:noProof/>
                    </w:rPr>
                    <w:drawing>
                      <wp:inline distT="0" distB="0" distL="0" distR="0">
                        <wp:extent cx="895350" cy="1143000"/>
                        <wp:effectExtent l="0" t="0" r="0" b="0"/>
                        <wp:docPr id="10" name="Obraz 10" descr="logo P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logo PRI.jp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95350" cy="1143000"/>
                                </a:xfrm>
                                <a:prstGeom prst="rect">
                                  <a:avLst/>
                                </a:prstGeom>
                                <a:noFill/>
                                <a:ln>
                                  <a:noFill/>
                                </a:ln>
                              </pic:spPr>
                            </pic:pic>
                          </a:graphicData>
                        </a:graphic>
                      </wp:inline>
                    </w:drawing>
                  </w:r>
                </w:p>
              </w:tc>
              <w:tc>
                <w:tcPr>
                  <w:tcW w:w="8001" w:type="dxa"/>
                </w:tcPr>
                <w:p w:rsidR="00BD53C0" w:rsidRDefault="00BD53C0">
                  <w:pPr>
                    <w:spacing w:line="360" w:lineRule="auto"/>
                    <w:rPr>
                      <w:rFonts w:ascii="Verdana" w:hAnsi="Verdana"/>
                      <w:b/>
                      <w:bCs/>
                      <w:smallCaps/>
                      <w:spacing w:val="30"/>
                      <w:lang w:eastAsia="ar-SA"/>
                    </w:rPr>
                  </w:pPr>
                  <w:r>
                    <w:rPr>
                      <w:rFonts w:ascii="Verdana" w:hAnsi="Verdana"/>
                      <w:b/>
                      <w:bCs/>
                      <w:smallCaps/>
                    </w:rPr>
                    <w:t xml:space="preserve">Przedsiębiorstwo Robót Inżynieryjnych  </w:t>
                  </w:r>
                  <w:r>
                    <w:rPr>
                      <w:rFonts w:ascii="Verdana" w:hAnsi="Verdana"/>
                      <w:b/>
                      <w:bCs/>
                      <w:smallCaps/>
                      <w:spacing w:val="30"/>
                    </w:rPr>
                    <w:t>TRAKT</w:t>
                  </w:r>
                </w:p>
                <w:p w:rsidR="00BD53C0" w:rsidRDefault="00BD53C0">
                  <w:pPr>
                    <w:spacing w:line="360" w:lineRule="auto"/>
                    <w:rPr>
                      <w:rFonts w:ascii="Verdana" w:hAnsi="Verdana"/>
                      <w:b/>
                      <w:bCs/>
                      <w:smallCaps/>
                    </w:rPr>
                  </w:pPr>
                  <w:r>
                    <w:rPr>
                      <w:rFonts w:ascii="Verdana" w:hAnsi="Verdana"/>
                      <w:b/>
                      <w:bCs/>
                      <w:smallCaps/>
                      <w:spacing w:val="30"/>
                    </w:rPr>
                    <w:t>Włodzimierz Lewowski</w:t>
                  </w:r>
                </w:p>
                <w:p w:rsidR="00BD53C0" w:rsidRDefault="00BD53C0">
                  <w:pPr>
                    <w:spacing w:line="360" w:lineRule="auto"/>
                    <w:rPr>
                      <w:rFonts w:ascii="Verdana" w:hAnsi="Verdana"/>
                      <w:smallCaps/>
                      <w:sz w:val="16"/>
                      <w:szCs w:val="16"/>
                    </w:rPr>
                  </w:pPr>
                  <w:r>
                    <w:rPr>
                      <w:rFonts w:ascii="Verdana" w:hAnsi="Verdana"/>
                      <w:smallCaps/>
                      <w:sz w:val="16"/>
                      <w:szCs w:val="16"/>
                    </w:rPr>
                    <w:t>Sędzisław 50</w:t>
                  </w:r>
                </w:p>
                <w:p w:rsidR="00BD53C0" w:rsidRDefault="00BD53C0">
                  <w:pPr>
                    <w:spacing w:line="360" w:lineRule="auto"/>
                    <w:rPr>
                      <w:rFonts w:ascii="Verdana" w:hAnsi="Verdana"/>
                      <w:smallCaps/>
                      <w:sz w:val="16"/>
                      <w:szCs w:val="16"/>
                    </w:rPr>
                  </w:pPr>
                  <w:r>
                    <w:rPr>
                      <w:rFonts w:ascii="Verdana" w:hAnsi="Verdana"/>
                      <w:smallCaps/>
                      <w:sz w:val="16"/>
                      <w:szCs w:val="16"/>
                    </w:rPr>
                    <w:t>58-410 Marciszów</w:t>
                  </w:r>
                </w:p>
                <w:p w:rsidR="00BD53C0" w:rsidRDefault="00BD53C0">
                  <w:pPr>
                    <w:spacing w:line="360" w:lineRule="auto"/>
                    <w:rPr>
                      <w:rFonts w:ascii="Verdana" w:hAnsi="Verdana"/>
                      <w:smallCaps/>
                      <w:sz w:val="16"/>
                      <w:szCs w:val="16"/>
                    </w:rPr>
                  </w:pPr>
                  <w:r>
                    <w:rPr>
                      <w:rFonts w:ascii="Verdana" w:hAnsi="Verdana"/>
                      <w:smallCaps/>
                      <w:sz w:val="16"/>
                      <w:szCs w:val="16"/>
                    </w:rPr>
                    <w:t>NIP 614-000-12-50</w:t>
                  </w:r>
                </w:p>
                <w:p w:rsidR="00BD53C0" w:rsidRDefault="00BD53C0">
                  <w:pPr>
                    <w:spacing w:line="360" w:lineRule="auto"/>
                    <w:rPr>
                      <w:rFonts w:ascii="Verdana" w:hAnsi="Verdana"/>
                      <w:smallCaps/>
                      <w:sz w:val="16"/>
                      <w:szCs w:val="16"/>
                    </w:rPr>
                  </w:pPr>
                  <w:r>
                    <w:rPr>
                      <w:rFonts w:ascii="Verdana" w:hAnsi="Verdana"/>
                      <w:smallCaps/>
                      <w:sz w:val="16"/>
                      <w:szCs w:val="16"/>
                    </w:rPr>
                    <w:t>REGON 230172148</w:t>
                  </w:r>
                </w:p>
                <w:p w:rsidR="00BD53C0" w:rsidRDefault="00BD53C0">
                  <w:pPr>
                    <w:spacing w:line="360" w:lineRule="auto"/>
                    <w:rPr>
                      <w:rFonts w:ascii="Verdana" w:hAnsi="Verdana"/>
                      <w:smallCaps/>
                      <w:sz w:val="16"/>
                      <w:szCs w:val="16"/>
                    </w:rPr>
                  </w:pPr>
                  <w:r>
                    <w:rPr>
                      <w:rFonts w:ascii="Verdana" w:hAnsi="Verdana"/>
                      <w:smallCaps/>
                      <w:sz w:val="16"/>
                      <w:szCs w:val="16"/>
                    </w:rPr>
                    <w:t>tel/fax (075) 742-55-90</w:t>
                  </w:r>
                </w:p>
                <w:p w:rsidR="00BD53C0" w:rsidRDefault="00BD53C0">
                  <w:pPr>
                    <w:suppressAutoHyphens/>
                    <w:spacing w:line="360" w:lineRule="auto"/>
                    <w:rPr>
                      <w:rFonts w:ascii="Verdana" w:hAnsi="Verdana"/>
                      <w:smallCaps/>
                      <w:sz w:val="16"/>
                      <w:szCs w:val="16"/>
                      <w:lang w:eastAsia="ar-SA"/>
                    </w:rPr>
                  </w:pPr>
                </w:p>
              </w:tc>
            </w:tr>
          </w:tbl>
          <w:p w:rsidR="00BD53C0" w:rsidRDefault="00BD53C0">
            <w:pPr>
              <w:suppressAutoHyphens/>
              <w:rPr>
                <w:rFonts w:ascii="Calibri" w:hAnsi="Calibri"/>
                <w:smallCaps/>
                <w:lang w:eastAsia="ar-SA"/>
              </w:rPr>
            </w:pPr>
          </w:p>
        </w:tc>
      </w:tr>
      <w:tr w:rsidR="00BD53C0" w:rsidTr="00BD53C0">
        <w:tc>
          <w:tcPr>
            <w:tcW w:w="2620" w:type="dxa"/>
            <w:shd w:val="clear" w:color="auto" w:fill="FFFFFF"/>
            <w:hideMark/>
          </w:tcPr>
          <w:p w:rsidR="00BD53C0" w:rsidRDefault="00BD53C0">
            <w:pPr>
              <w:suppressAutoHyphens/>
              <w:rPr>
                <w:rFonts w:ascii="Calibri" w:hAnsi="Calibri"/>
                <w:smallCaps/>
                <w:sz w:val="28"/>
                <w:szCs w:val="28"/>
                <w:lang w:eastAsia="ar-SA"/>
              </w:rPr>
            </w:pPr>
            <w:bookmarkStart w:id="0" w:name="_Toc242245418"/>
            <w:bookmarkStart w:id="1" w:name="_Toc242245605"/>
            <w:bookmarkStart w:id="2" w:name="_Toc242246706"/>
            <w:r>
              <w:rPr>
                <w:rFonts w:ascii="Calibri" w:hAnsi="Calibri"/>
                <w:smallCaps/>
                <w:sz w:val="28"/>
                <w:szCs w:val="28"/>
              </w:rPr>
              <w:t>Lokalizacja inwestycji</w:t>
            </w:r>
            <w:bookmarkEnd w:id="0"/>
            <w:bookmarkEnd w:id="1"/>
            <w:bookmarkEnd w:id="2"/>
          </w:p>
        </w:tc>
        <w:tc>
          <w:tcPr>
            <w:tcW w:w="6260" w:type="dxa"/>
            <w:shd w:val="clear" w:color="auto" w:fill="FFFFFF"/>
          </w:tcPr>
          <w:p w:rsidR="00BD53C0" w:rsidRDefault="00BD53C0">
            <w:pPr>
              <w:rPr>
                <w:rFonts w:ascii="Calibri" w:hAnsi="Calibri"/>
                <w:smallCaps/>
                <w:szCs w:val="24"/>
                <w:lang w:eastAsia="ar-SA"/>
              </w:rPr>
            </w:pPr>
            <w:r>
              <w:rPr>
                <w:rFonts w:ascii="Calibri" w:hAnsi="Calibri"/>
                <w:smallCaps/>
                <w:szCs w:val="24"/>
              </w:rPr>
              <w:t>dz. nr 113, 116/1 obr 20 Stary Zdrój</w:t>
            </w:r>
          </w:p>
          <w:p w:rsidR="00BD53C0" w:rsidRDefault="00BD53C0">
            <w:pPr>
              <w:rPr>
                <w:rFonts w:ascii="Calibri" w:hAnsi="Calibri"/>
                <w:smallCaps/>
                <w:szCs w:val="24"/>
              </w:rPr>
            </w:pPr>
          </w:p>
          <w:p w:rsidR="00BD53C0" w:rsidRDefault="00BD53C0">
            <w:pPr>
              <w:suppressAutoHyphens/>
              <w:rPr>
                <w:rFonts w:ascii="Calibri" w:hAnsi="Calibri"/>
                <w:i/>
                <w:smallCaps/>
                <w:sz w:val="24"/>
                <w:szCs w:val="24"/>
                <w:lang w:eastAsia="ar-SA"/>
              </w:rPr>
            </w:pPr>
          </w:p>
        </w:tc>
      </w:tr>
      <w:tr w:rsidR="00BD53C0" w:rsidTr="00BD53C0">
        <w:tc>
          <w:tcPr>
            <w:tcW w:w="2620" w:type="dxa"/>
            <w:shd w:val="clear" w:color="auto" w:fill="FFFFFF"/>
          </w:tcPr>
          <w:p w:rsidR="00BD53C0" w:rsidRDefault="00BD53C0">
            <w:pPr>
              <w:rPr>
                <w:rFonts w:ascii="Calibri" w:hAnsi="Calibri"/>
                <w:smallCaps/>
                <w:sz w:val="28"/>
                <w:szCs w:val="28"/>
                <w:lang w:eastAsia="ar-SA"/>
              </w:rPr>
            </w:pPr>
            <w:bookmarkStart w:id="3" w:name="_Toc242245419"/>
            <w:bookmarkStart w:id="4" w:name="_Toc242245606"/>
            <w:bookmarkStart w:id="5" w:name="_Toc242246707"/>
            <w:r>
              <w:rPr>
                <w:rFonts w:ascii="Calibri" w:hAnsi="Calibri"/>
                <w:smallCaps/>
                <w:sz w:val="28"/>
                <w:szCs w:val="28"/>
              </w:rPr>
              <w:t>Data opracowania</w:t>
            </w:r>
            <w:bookmarkEnd w:id="3"/>
            <w:bookmarkEnd w:id="4"/>
            <w:bookmarkEnd w:id="5"/>
          </w:p>
          <w:p w:rsidR="00BD53C0" w:rsidRDefault="00BD53C0">
            <w:pPr>
              <w:suppressAutoHyphens/>
              <w:rPr>
                <w:rFonts w:ascii="Calibri" w:hAnsi="Calibri"/>
                <w:smallCaps/>
                <w:sz w:val="28"/>
                <w:szCs w:val="28"/>
                <w:lang w:eastAsia="ar-SA"/>
              </w:rPr>
            </w:pPr>
          </w:p>
        </w:tc>
        <w:tc>
          <w:tcPr>
            <w:tcW w:w="6260" w:type="dxa"/>
            <w:shd w:val="clear" w:color="auto" w:fill="FFFFFF"/>
            <w:hideMark/>
          </w:tcPr>
          <w:p w:rsidR="00BD53C0" w:rsidRDefault="00BD53C0">
            <w:pPr>
              <w:suppressAutoHyphens/>
              <w:rPr>
                <w:rFonts w:ascii="Calibri" w:hAnsi="Calibri"/>
                <w:smallCaps/>
                <w:lang w:eastAsia="ar-SA"/>
              </w:rPr>
            </w:pPr>
            <w:r>
              <w:rPr>
                <w:rFonts w:ascii="Calibri" w:hAnsi="Calibri"/>
                <w:smallCaps/>
                <w:sz w:val="28"/>
              </w:rPr>
              <w:t>Sierpień 2016</w:t>
            </w:r>
          </w:p>
        </w:tc>
      </w:tr>
      <w:tr w:rsidR="00BD53C0" w:rsidTr="00BD53C0">
        <w:tc>
          <w:tcPr>
            <w:tcW w:w="2620" w:type="dxa"/>
            <w:shd w:val="clear" w:color="auto" w:fill="FFFFFF"/>
            <w:hideMark/>
          </w:tcPr>
          <w:p w:rsidR="00BD53C0" w:rsidRDefault="00BD53C0">
            <w:pPr>
              <w:suppressAutoHyphens/>
              <w:rPr>
                <w:rFonts w:ascii="Calibri" w:hAnsi="Calibri"/>
                <w:smallCaps/>
                <w:sz w:val="28"/>
                <w:szCs w:val="28"/>
                <w:lang w:eastAsia="ar-SA"/>
              </w:rPr>
            </w:pPr>
            <w:r>
              <w:rPr>
                <w:rFonts w:ascii="Calibri" w:hAnsi="Calibri"/>
                <w:smallCaps/>
                <w:sz w:val="28"/>
                <w:szCs w:val="28"/>
              </w:rPr>
              <w:t>zespół projektowy</w:t>
            </w:r>
          </w:p>
        </w:tc>
        <w:tc>
          <w:tcPr>
            <w:tcW w:w="6260" w:type="dxa"/>
            <w:shd w:val="clear" w:color="auto" w:fill="FFFFFF"/>
          </w:tcPr>
          <w:p w:rsidR="00BD53C0" w:rsidRDefault="00BD53C0">
            <w:pPr>
              <w:rPr>
                <w:rFonts w:ascii="Calibri" w:hAnsi="Calibri"/>
                <w:smallCaps/>
              </w:rPr>
            </w:pPr>
            <w:r>
              <w:rPr>
                <w:rFonts w:ascii="Calibri" w:hAnsi="Calibri"/>
                <w:smallCaps/>
              </w:rPr>
              <w:t xml:space="preserve">projektant – mgr inż. Włodzimierz Lewowski – upr. 228/02/DUW </w:t>
            </w:r>
          </w:p>
          <w:p w:rsidR="00BD53C0" w:rsidRDefault="00BD53C0">
            <w:pPr>
              <w:rPr>
                <w:rFonts w:ascii="Calibri" w:hAnsi="Calibri"/>
                <w:smallCaps/>
              </w:rPr>
            </w:pPr>
            <w:r>
              <w:rPr>
                <w:rFonts w:ascii="Calibri" w:hAnsi="Calibri"/>
                <w:smallCaps/>
              </w:rPr>
              <w:t>sprawdzający – mgr inż. Grzegorz Lewowski</w:t>
            </w:r>
          </w:p>
          <w:p w:rsidR="00BD53C0" w:rsidRDefault="00BD53C0" w:rsidP="00BD53C0">
            <w:pPr>
              <w:rPr>
                <w:rFonts w:ascii="Calibri" w:hAnsi="Calibri"/>
                <w:smallCaps/>
                <w:sz w:val="24"/>
                <w:lang w:eastAsia="ar-SA"/>
              </w:rPr>
            </w:pPr>
          </w:p>
        </w:tc>
      </w:tr>
    </w:tbl>
    <w:p w:rsidR="007802F1" w:rsidRDefault="007802F1" w:rsidP="00A4252F">
      <w:pPr>
        <w:tabs>
          <w:tab w:val="left" w:pos="9072"/>
          <w:tab w:val="left" w:pos="9356"/>
          <w:tab w:val="left" w:pos="9498"/>
        </w:tabs>
        <w:rPr>
          <w:rFonts w:ascii="Calibri" w:hAnsi="Calibri" w:cs="Calibri"/>
        </w:rPr>
      </w:pPr>
    </w:p>
    <w:p w:rsidR="007802F1" w:rsidRDefault="007802F1" w:rsidP="00852029">
      <w:pPr>
        <w:tabs>
          <w:tab w:val="left" w:pos="9072"/>
          <w:tab w:val="left" w:pos="9356"/>
          <w:tab w:val="left" w:pos="9498"/>
        </w:tabs>
        <w:rPr>
          <w:rFonts w:ascii="Calibri" w:hAnsi="Calibri" w:cs="Calibri"/>
        </w:rPr>
      </w:pPr>
    </w:p>
    <w:p w:rsidR="007802F1" w:rsidRDefault="007802F1" w:rsidP="00852029">
      <w:pPr>
        <w:tabs>
          <w:tab w:val="left" w:pos="9072"/>
          <w:tab w:val="left" w:pos="9356"/>
          <w:tab w:val="left" w:pos="9498"/>
        </w:tabs>
        <w:rPr>
          <w:rFonts w:ascii="Calibri" w:hAnsi="Calibri" w:cs="Calibri"/>
        </w:rPr>
      </w:pPr>
    </w:p>
    <w:p w:rsidR="007802F1" w:rsidRDefault="007802F1" w:rsidP="00A4252F">
      <w:pPr>
        <w:tabs>
          <w:tab w:val="left" w:pos="9072"/>
          <w:tab w:val="left" w:pos="9356"/>
          <w:tab w:val="left" w:pos="9498"/>
        </w:tabs>
        <w:rPr>
          <w:rFonts w:ascii="Calibri" w:hAnsi="Calibri" w:cs="Calibri"/>
        </w:rPr>
      </w:pPr>
    </w:p>
    <w:p w:rsidR="007A3283" w:rsidRPr="00203191" w:rsidRDefault="007A3283" w:rsidP="00A4252F">
      <w:pPr>
        <w:tabs>
          <w:tab w:val="left" w:pos="9072"/>
          <w:tab w:val="left" w:pos="9356"/>
          <w:tab w:val="left" w:pos="9498"/>
        </w:tabs>
        <w:rPr>
          <w:rFonts w:ascii="Calibri" w:hAnsi="Calibri" w:cs="Calibri"/>
        </w:rPr>
      </w:pPr>
    </w:p>
    <w:p w:rsidR="00E5206A" w:rsidRPr="00A8518B" w:rsidRDefault="00656AC1" w:rsidP="00E5206A">
      <w:pPr>
        <w:pStyle w:val="Nagwek1"/>
        <w:rPr>
          <w:sz w:val="20"/>
          <w:szCs w:val="20"/>
        </w:rPr>
      </w:pPr>
      <w:bookmarkStart w:id="6" w:name="_Toc459929657"/>
      <w:r w:rsidRPr="00177B65">
        <w:lastRenderedPageBreak/>
        <w:t>SPIS TREŚCI</w:t>
      </w:r>
      <w:bookmarkEnd w:id="6"/>
    </w:p>
    <w:p w:rsidR="008A56BE" w:rsidRPr="00A8518B" w:rsidRDefault="008A56BE" w:rsidP="008A56BE">
      <w:pPr>
        <w:pStyle w:val="Nagwek1"/>
        <w:rPr>
          <w:rFonts w:asciiTheme="minorHAnsi" w:hAnsiTheme="minorHAnsi"/>
          <w:caps w:val="0"/>
          <w:sz w:val="20"/>
          <w:szCs w:val="20"/>
        </w:rPr>
      </w:pPr>
    </w:p>
    <w:p w:rsidR="00AB3A4A" w:rsidRDefault="007172B0">
      <w:pPr>
        <w:pStyle w:val="Spistreci1"/>
        <w:rPr>
          <w:rFonts w:asciiTheme="minorHAnsi" w:eastAsiaTheme="minorEastAsia" w:hAnsiTheme="minorHAnsi" w:cstheme="minorBidi"/>
          <w:b w:val="0"/>
          <w:bCs w:val="0"/>
          <w:caps w:val="0"/>
          <w:noProof/>
          <w:sz w:val="22"/>
          <w:szCs w:val="22"/>
        </w:rPr>
      </w:pPr>
      <w:r w:rsidRPr="007172B0">
        <w:rPr>
          <w:rFonts w:ascii="Calibri" w:hAnsi="Calibri" w:cs="Calibri"/>
        </w:rPr>
        <w:fldChar w:fldCharType="begin"/>
      </w:r>
      <w:r w:rsidR="00E5206A">
        <w:rPr>
          <w:rFonts w:ascii="Calibri" w:hAnsi="Calibri" w:cs="Calibri"/>
        </w:rPr>
        <w:instrText xml:space="preserve"> TOC \o "1-1" \h \z \u </w:instrText>
      </w:r>
      <w:r w:rsidRPr="007172B0">
        <w:rPr>
          <w:rFonts w:ascii="Calibri" w:hAnsi="Calibri" w:cs="Calibri"/>
        </w:rPr>
        <w:fldChar w:fldCharType="separate"/>
      </w:r>
      <w:bookmarkStart w:id="7" w:name="_GoBack"/>
      <w:bookmarkEnd w:id="7"/>
      <w:r w:rsidRPr="009D52A9">
        <w:rPr>
          <w:rStyle w:val="Hipercze"/>
          <w:noProof/>
        </w:rPr>
        <w:fldChar w:fldCharType="begin"/>
      </w:r>
      <w:r w:rsidR="00AB3A4A" w:rsidRPr="009D52A9">
        <w:rPr>
          <w:rStyle w:val="Hipercze"/>
          <w:noProof/>
        </w:rPr>
        <w:instrText xml:space="preserve"> </w:instrText>
      </w:r>
      <w:r w:rsidR="00AB3A4A">
        <w:rPr>
          <w:noProof/>
        </w:rPr>
        <w:instrText>HYPERLINK \l "_Toc459929657"</w:instrText>
      </w:r>
      <w:r w:rsidR="00AB3A4A" w:rsidRPr="009D52A9">
        <w:rPr>
          <w:rStyle w:val="Hipercze"/>
          <w:noProof/>
        </w:rPr>
        <w:instrText xml:space="preserve"> </w:instrText>
      </w:r>
      <w:r w:rsidRPr="009D52A9">
        <w:rPr>
          <w:rStyle w:val="Hipercze"/>
          <w:noProof/>
        </w:rPr>
        <w:fldChar w:fldCharType="separate"/>
      </w:r>
      <w:r w:rsidR="00AB3A4A" w:rsidRPr="009D52A9">
        <w:rPr>
          <w:rStyle w:val="Hipercze"/>
          <w:noProof/>
        </w:rPr>
        <w:t>SPIS TREŚCI</w:t>
      </w:r>
      <w:r w:rsidR="00AB3A4A">
        <w:rPr>
          <w:noProof/>
          <w:webHidden/>
        </w:rPr>
        <w:tab/>
      </w:r>
      <w:r>
        <w:rPr>
          <w:noProof/>
          <w:webHidden/>
        </w:rPr>
        <w:fldChar w:fldCharType="begin"/>
      </w:r>
      <w:r w:rsidR="00AB3A4A">
        <w:rPr>
          <w:noProof/>
          <w:webHidden/>
        </w:rPr>
        <w:instrText xml:space="preserve"> PAGEREF _Toc459929657 \h </w:instrText>
      </w:r>
      <w:r>
        <w:rPr>
          <w:noProof/>
          <w:webHidden/>
        </w:rPr>
      </w:r>
      <w:r>
        <w:rPr>
          <w:noProof/>
          <w:webHidden/>
        </w:rPr>
        <w:fldChar w:fldCharType="separate"/>
      </w:r>
      <w:r w:rsidR="00AB3A4A">
        <w:rPr>
          <w:noProof/>
          <w:webHidden/>
        </w:rPr>
        <w:t>2</w:t>
      </w:r>
      <w:r>
        <w:rPr>
          <w:noProof/>
          <w:webHidden/>
        </w:rPr>
        <w:fldChar w:fldCharType="end"/>
      </w:r>
      <w:r w:rsidRPr="009D52A9">
        <w:rPr>
          <w:rStyle w:val="Hipercze"/>
          <w:noProof/>
        </w:rPr>
        <w:fldChar w:fldCharType="end"/>
      </w:r>
    </w:p>
    <w:p w:rsidR="00AB3A4A" w:rsidRDefault="007172B0">
      <w:pPr>
        <w:pStyle w:val="Spistreci1"/>
        <w:rPr>
          <w:rFonts w:asciiTheme="minorHAnsi" w:eastAsiaTheme="minorEastAsia" w:hAnsiTheme="minorHAnsi" w:cstheme="minorBidi"/>
          <w:b w:val="0"/>
          <w:bCs w:val="0"/>
          <w:caps w:val="0"/>
          <w:noProof/>
          <w:sz w:val="22"/>
          <w:szCs w:val="22"/>
        </w:rPr>
      </w:pPr>
      <w:hyperlink w:anchor="_Toc459929658" w:history="1">
        <w:r w:rsidR="00AB3A4A" w:rsidRPr="009D52A9">
          <w:rPr>
            <w:rStyle w:val="Hipercze"/>
            <w:noProof/>
          </w:rPr>
          <w:t>D-M-00.00.00 WYMAGANIA OGÓLNE</w:t>
        </w:r>
        <w:r w:rsidR="00AB3A4A">
          <w:rPr>
            <w:noProof/>
            <w:webHidden/>
          </w:rPr>
          <w:tab/>
        </w:r>
        <w:r>
          <w:rPr>
            <w:noProof/>
            <w:webHidden/>
          </w:rPr>
          <w:fldChar w:fldCharType="begin"/>
        </w:r>
        <w:r w:rsidR="00AB3A4A">
          <w:rPr>
            <w:noProof/>
            <w:webHidden/>
          </w:rPr>
          <w:instrText xml:space="preserve"> PAGEREF _Toc459929658 \h </w:instrText>
        </w:r>
        <w:r>
          <w:rPr>
            <w:noProof/>
            <w:webHidden/>
          </w:rPr>
        </w:r>
        <w:r>
          <w:rPr>
            <w:noProof/>
            <w:webHidden/>
          </w:rPr>
          <w:fldChar w:fldCharType="separate"/>
        </w:r>
        <w:r w:rsidR="00AB3A4A">
          <w:rPr>
            <w:noProof/>
            <w:webHidden/>
          </w:rPr>
          <w:t>3</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59" w:history="1">
        <w:r w:rsidR="00AB3A4A" w:rsidRPr="009D52A9">
          <w:rPr>
            <w:rStyle w:val="Hipercze"/>
            <w:noProof/>
          </w:rPr>
          <w:t>D-01.01.01 ROBOTY POMIAROWE</w:t>
        </w:r>
        <w:r w:rsidR="00AB3A4A">
          <w:rPr>
            <w:noProof/>
            <w:webHidden/>
          </w:rPr>
          <w:tab/>
        </w:r>
        <w:r>
          <w:rPr>
            <w:noProof/>
            <w:webHidden/>
          </w:rPr>
          <w:fldChar w:fldCharType="begin"/>
        </w:r>
        <w:r w:rsidR="00AB3A4A">
          <w:rPr>
            <w:noProof/>
            <w:webHidden/>
          </w:rPr>
          <w:instrText xml:space="preserve"> PAGEREF _Toc459929659 \h </w:instrText>
        </w:r>
        <w:r>
          <w:rPr>
            <w:noProof/>
            <w:webHidden/>
          </w:rPr>
        </w:r>
        <w:r>
          <w:rPr>
            <w:noProof/>
            <w:webHidden/>
          </w:rPr>
          <w:fldChar w:fldCharType="separate"/>
        </w:r>
        <w:r w:rsidR="00AB3A4A">
          <w:rPr>
            <w:noProof/>
            <w:webHidden/>
          </w:rPr>
          <w:t>17</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0" w:history="1">
        <w:r w:rsidR="00AB3A4A" w:rsidRPr="009D52A9">
          <w:rPr>
            <w:rStyle w:val="Hipercze"/>
            <w:noProof/>
          </w:rPr>
          <w:t>D-01.02.01  USUNIĘCIE DRZEW I KRZAKÓW</w:t>
        </w:r>
        <w:r w:rsidR="00AB3A4A">
          <w:rPr>
            <w:noProof/>
            <w:webHidden/>
          </w:rPr>
          <w:tab/>
        </w:r>
        <w:r>
          <w:rPr>
            <w:noProof/>
            <w:webHidden/>
          </w:rPr>
          <w:fldChar w:fldCharType="begin"/>
        </w:r>
        <w:r w:rsidR="00AB3A4A">
          <w:rPr>
            <w:noProof/>
            <w:webHidden/>
          </w:rPr>
          <w:instrText xml:space="preserve"> PAGEREF _Toc459929660 \h </w:instrText>
        </w:r>
        <w:r>
          <w:rPr>
            <w:noProof/>
            <w:webHidden/>
          </w:rPr>
        </w:r>
        <w:r>
          <w:rPr>
            <w:noProof/>
            <w:webHidden/>
          </w:rPr>
          <w:fldChar w:fldCharType="separate"/>
        </w:r>
        <w:r w:rsidR="00AB3A4A">
          <w:rPr>
            <w:noProof/>
            <w:webHidden/>
          </w:rPr>
          <w:t>22</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1" w:history="1">
        <w:r w:rsidR="00AB3A4A" w:rsidRPr="009D52A9">
          <w:rPr>
            <w:rStyle w:val="Hipercze"/>
            <w:noProof/>
          </w:rPr>
          <w:t>D-01.02.02 ZDJĘCIE  WARSTWY  HUMUSU  I/LUB  DARNINY</w:t>
        </w:r>
        <w:r w:rsidR="00AB3A4A">
          <w:rPr>
            <w:noProof/>
            <w:webHidden/>
          </w:rPr>
          <w:tab/>
        </w:r>
        <w:r>
          <w:rPr>
            <w:noProof/>
            <w:webHidden/>
          </w:rPr>
          <w:fldChar w:fldCharType="begin"/>
        </w:r>
        <w:r w:rsidR="00AB3A4A">
          <w:rPr>
            <w:noProof/>
            <w:webHidden/>
          </w:rPr>
          <w:instrText xml:space="preserve"> PAGEREF _Toc459929661 \h </w:instrText>
        </w:r>
        <w:r>
          <w:rPr>
            <w:noProof/>
            <w:webHidden/>
          </w:rPr>
        </w:r>
        <w:r>
          <w:rPr>
            <w:noProof/>
            <w:webHidden/>
          </w:rPr>
          <w:fldChar w:fldCharType="separate"/>
        </w:r>
        <w:r w:rsidR="00AB3A4A">
          <w:rPr>
            <w:noProof/>
            <w:webHidden/>
          </w:rPr>
          <w:t>26</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2" w:history="1">
        <w:r w:rsidR="00AB3A4A" w:rsidRPr="009D52A9">
          <w:rPr>
            <w:rStyle w:val="Hipercze"/>
            <w:noProof/>
          </w:rPr>
          <w:t>D-01.02.03 ROZBIÓRKA OBIEKTÓW BUDOWLANYCH</w:t>
        </w:r>
        <w:r w:rsidR="00AB3A4A">
          <w:rPr>
            <w:noProof/>
            <w:webHidden/>
          </w:rPr>
          <w:tab/>
        </w:r>
        <w:r>
          <w:rPr>
            <w:noProof/>
            <w:webHidden/>
          </w:rPr>
          <w:fldChar w:fldCharType="begin"/>
        </w:r>
        <w:r w:rsidR="00AB3A4A">
          <w:rPr>
            <w:noProof/>
            <w:webHidden/>
          </w:rPr>
          <w:instrText xml:space="preserve"> PAGEREF _Toc459929662 \h </w:instrText>
        </w:r>
        <w:r>
          <w:rPr>
            <w:noProof/>
            <w:webHidden/>
          </w:rPr>
        </w:r>
        <w:r>
          <w:rPr>
            <w:noProof/>
            <w:webHidden/>
          </w:rPr>
          <w:fldChar w:fldCharType="separate"/>
        </w:r>
        <w:r w:rsidR="00AB3A4A">
          <w:rPr>
            <w:noProof/>
            <w:webHidden/>
          </w:rPr>
          <w:t>29</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3" w:history="1">
        <w:r w:rsidR="00AB3A4A" w:rsidRPr="009D52A9">
          <w:rPr>
            <w:rStyle w:val="Hipercze"/>
            <w:noProof/>
          </w:rPr>
          <w:t>D-01.02.04 ROZBIÓRKA ELEMENTÓW DRÓG</w:t>
        </w:r>
        <w:r w:rsidR="00AB3A4A">
          <w:rPr>
            <w:noProof/>
            <w:webHidden/>
          </w:rPr>
          <w:tab/>
        </w:r>
        <w:r>
          <w:rPr>
            <w:noProof/>
            <w:webHidden/>
          </w:rPr>
          <w:fldChar w:fldCharType="begin"/>
        </w:r>
        <w:r w:rsidR="00AB3A4A">
          <w:rPr>
            <w:noProof/>
            <w:webHidden/>
          </w:rPr>
          <w:instrText xml:space="preserve"> PAGEREF _Toc459929663 \h </w:instrText>
        </w:r>
        <w:r>
          <w:rPr>
            <w:noProof/>
            <w:webHidden/>
          </w:rPr>
        </w:r>
        <w:r>
          <w:rPr>
            <w:noProof/>
            <w:webHidden/>
          </w:rPr>
          <w:fldChar w:fldCharType="separate"/>
        </w:r>
        <w:r w:rsidR="00AB3A4A">
          <w:rPr>
            <w:noProof/>
            <w:webHidden/>
          </w:rPr>
          <w:t>32</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4" w:history="1">
        <w:r w:rsidR="00AB3A4A" w:rsidRPr="009D52A9">
          <w:rPr>
            <w:rStyle w:val="Hipercze"/>
            <w:noProof/>
          </w:rPr>
          <w:t>D-01.03.02 PRZEBUDOWA I ZABEZPIECZENIE KABLOWYCH LINII ENERGETYCZNYCH PRZY BUDOWIE DRÓG</w:t>
        </w:r>
        <w:r w:rsidR="00AB3A4A">
          <w:rPr>
            <w:noProof/>
            <w:webHidden/>
          </w:rPr>
          <w:tab/>
        </w:r>
        <w:r>
          <w:rPr>
            <w:noProof/>
            <w:webHidden/>
          </w:rPr>
          <w:fldChar w:fldCharType="begin"/>
        </w:r>
        <w:r w:rsidR="00AB3A4A">
          <w:rPr>
            <w:noProof/>
            <w:webHidden/>
          </w:rPr>
          <w:instrText xml:space="preserve"> PAGEREF _Toc459929664 \h </w:instrText>
        </w:r>
        <w:r>
          <w:rPr>
            <w:noProof/>
            <w:webHidden/>
          </w:rPr>
        </w:r>
        <w:r>
          <w:rPr>
            <w:noProof/>
            <w:webHidden/>
          </w:rPr>
          <w:fldChar w:fldCharType="separate"/>
        </w:r>
        <w:r w:rsidR="00AB3A4A">
          <w:rPr>
            <w:noProof/>
            <w:webHidden/>
          </w:rPr>
          <w:t>35</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5" w:history="1">
        <w:r w:rsidR="00AB3A4A" w:rsidRPr="009D52A9">
          <w:rPr>
            <w:rStyle w:val="Hipercze"/>
            <w:noProof/>
          </w:rPr>
          <w:t>D-01.03.04 PRZEBUDOWA TELEKOMUNIKACYJNYCH LINII KABLOWYCH</w:t>
        </w:r>
        <w:r w:rsidR="00AB3A4A">
          <w:rPr>
            <w:noProof/>
            <w:webHidden/>
          </w:rPr>
          <w:tab/>
        </w:r>
        <w:r>
          <w:rPr>
            <w:noProof/>
            <w:webHidden/>
          </w:rPr>
          <w:fldChar w:fldCharType="begin"/>
        </w:r>
        <w:r w:rsidR="00AB3A4A">
          <w:rPr>
            <w:noProof/>
            <w:webHidden/>
          </w:rPr>
          <w:instrText xml:space="preserve"> PAGEREF _Toc459929665 \h </w:instrText>
        </w:r>
        <w:r>
          <w:rPr>
            <w:noProof/>
            <w:webHidden/>
          </w:rPr>
        </w:r>
        <w:r>
          <w:rPr>
            <w:noProof/>
            <w:webHidden/>
          </w:rPr>
          <w:fldChar w:fldCharType="separate"/>
        </w:r>
        <w:r w:rsidR="00AB3A4A">
          <w:rPr>
            <w:noProof/>
            <w:webHidden/>
          </w:rPr>
          <w:t>42</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6" w:history="1">
        <w:r w:rsidR="00AB3A4A" w:rsidRPr="009D52A9">
          <w:rPr>
            <w:rStyle w:val="Hipercze"/>
            <w:noProof/>
          </w:rPr>
          <w:t>D-02.01.01 WYKONANIE WYKOPÓW W GRUNTACH NIESKALISTYCH</w:t>
        </w:r>
        <w:r w:rsidR="00AB3A4A">
          <w:rPr>
            <w:noProof/>
            <w:webHidden/>
          </w:rPr>
          <w:tab/>
        </w:r>
        <w:r>
          <w:rPr>
            <w:noProof/>
            <w:webHidden/>
          </w:rPr>
          <w:fldChar w:fldCharType="begin"/>
        </w:r>
        <w:r w:rsidR="00AB3A4A">
          <w:rPr>
            <w:noProof/>
            <w:webHidden/>
          </w:rPr>
          <w:instrText xml:space="preserve"> PAGEREF _Toc459929666 \h </w:instrText>
        </w:r>
        <w:r>
          <w:rPr>
            <w:noProof/>
            <w:webHidden/>
          </w:rPr>
        </w:r>
        <w:r>
          <w:rPr>
            <w:noProof/>
            <w:webHidden/>
          </w:rPr>
          <w:fldChar w:fldCharType="separate"/>
        </w:r>
        <w:r w:rsidR="00AB3A4A">
          <w:rPr>
            <w:noProof/>
            <w:webHidden/>
          </w:rPr>
          <w:t>47</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7" w:history="1">
        <w:r w:rsidR="00AB3A4A" w:rsidRPr="009D52A9">
          <w:rPr>
            <w:rStyle w:val="Hipercze"/>
            <w:noProof/>
          </w:rPr>
          <w:t>D - 02.03.01 NASYPY</w:t>
        </w:r>
        <w:r w:rsidR="00AB3A4A">
          <w:rPr>
            <w:noProof/>
            <w:webHidden/>
          </w:rPr>
          <w:tab/>
        </w:r>
        <w:r>
          <w:rPr>
            <w:noProof/>
            <w:webHidden/>
          </w:rPr>
          <w:fldChar w:fldCharType="begin"/>
        </w:r>
        <w:r w:rsidR="00AB3A4A">
          <w:rPr>
            <w:noProof/>
            <w:webHidden/>
          </w:rPr>
          <w:instrText xml:space="preserve"> PAGEREF _Toc459929667 \h </w:instrText>
        </w:r>
        <w:r>
          <w:rPr>
            <w:noProof/>
            <w:webHidden/>
          </w:rPr>
        </w:r>
        <w:r>
          <w:rPr>
            <w:noProof/>
            <w:webHidden/>
          </w:rPr>
          <w:fldChar w:fldCharType="separate"/>
        </w:r>
        <w:r w:rsidR="00AB3A4A">
          <w:rPr>
            <w:noProof/>
            <w:webHidden/>
          </w:rPr>
          <w:t>53</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8" w:history="1">
        <w:r w:rsidR="00AB3A4A" w:rsidRPr="009D52A9">
          <w:rPr>
            <w:rStyle w:val="Hipercze"/>
            <w:noProof/>
          </w:rPr>
          <w:t>D-03.02.01  KANALIZACJA DESZCZOWA</w:t>
        </w:r>
        <w:r w:rsidR="00AB3A4A">
          <w:rPr>
            <w:noProof/>
            <w:webHidden/>
          </w:rPr>
          <w:tab/>
        </w:r>
        <w:r>
          <w:rPr>
            <w:noProof/>
            <w:webHidden/>
          </w:rPr>
          <w:fldChar w:fldCharType="begin"/>
        </w:r>
        <w:r w:rsidR="00AB3A4A">
          <w:rPr>
            <w:noProof/>
            <w:webHidden/>
          </w:rPr>
          <w:instrText xml:space="preserve"> PAGEREF _Toc459929668 \h </w:instrText>
        </w:r>
        <w:r>
          <w:rPr>
            <w:noProof/>
            <w:webHidden/>
          </w:rPr>
        </w:r>
        <w:r>
          <w:rPr>
            <w:noProof/>
            <w:webHidden/>
          </w:rPr>
          <w:fldChar w:fldCharType="separate"/>
        </w:r>
        <w:r w:rsidR="00AB3A4A">
          <w:rPr>
            <w:noProof/>
            <w:webHidden/>
          </w:rPr>
          <w:t>65</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69" w:history="1">
        <w:r w:rsidR="00AB3A4A" w:rsidRPr="009D52A9">
          <w:rPr>
            <w:rStyle w:val="Hipercze"/>
            <w:noProof/>
          </w:rPr>
          <w:t>D-03.02.01  REGULACJA   PIONOWA   URZĄDZEŃ UZBROJENIA PODZIEMNEGO</w:t>
        </w:r>
        <w:r w:rsidR="00AB3A4A">
          <w:rPr>
            <w:noProof/>
            <w:webHidden/>
          </w:rPr>
          <w:tab/>
        </w:r>
        <w:r>
          <w:rPr>
            <w:noProof/>
            <w:webHidden/>
          </w:rPr>
          <w:fldChar w:fldCharType="begin"/>
        </w:r>
        <w:r w:rsidR="00AB3A4A">
          <w:rPr>
            <w:noProof/>
            <w:webHidden/>
          </w:rPr>
          <w:instrText xml:space="preserve"> PAGEREF _Toc459929669 \h </w:instrText>
        </w:r>
        <w:r>
          <w:rPr>
            <w:noProof/>
            <w:webHidden/>
          </w:rPr>
        </w:r>
        <w:r>
          <w:rPr>
            <w:noProof/>
            <w:webHidden/>
          </w:rPr>
          <w:fldChar w:fldCharType="separate"/>
        </w:r>
        <w:r w:rsidR="00AB3A4A">
          <w:rPr>
            <w:noProof/>
            <w:webHidden/>
          </w:rPr>
          <w:t>75</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0" w:history="1">
        <w:r w:rsidR="00AB3A4A" w:rsidRPr="009D52A9">
          <w:rPr>
            <w:rStyle w:val="Hipercze"/>
            <w:noProof/>
          </w:rPr>
          <w:t>D-04.01.01 KORYTO WRAZ Z PROFILOWANIEM I ZAGĘSZCZANIEM PODŁOŻA</w:t>
        </w:r>
        <w:r w:rsidR="00AB3A4A">
          <w:rPr>
            <w:noProof/>
            <w:webHidden/>
          </w:rPr>
          <w:tab/>
        </w:r>
        <w:r>
          <w:rPr>
            <w:noProof/>
            <w:webHidden/>
          </w:rPr>
          <w:fldChar w:fldCharType="begin"/>
        </w:r>
        <w:r w:rsidR="00AB3A4A">
          <w:rPr>
            <w:noProof/>
            <w:webHidden/>
          </w:rPr>
          <w:instrText xml:space="preserve"> PAGEREF _Toc459929670 \h </w:instrText>
        </w:r>
        <w:r>
          <w:rPr>
            <w:noProof/>
            <w:webHidden/>
          </w:rPr>
        </w:r>
        <w:r>
          <w:rPr>
            <w:noProof/>
            <w:webHidden/>
          </w:rPr>
          <w:fldChar w:fldCharType="separate"/>
        </w:r>
        <w:r w:rsidR="00AB3A4A">
          <w:rPr>
            <w:noProof/>
            <w:webHidden/>
          </w:rPr>
          <w:t>79</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1" w:history="1">
        <w:r w:rsidR="00AB3A4A" w:rsidRPr="009D52A9">
          <w:rPr>
            <w:rStyle w:val="Hipercze"/>
            <w:noProof/>
          </w:rPr>
          <w:t>D-04.04.02 PODBUDOWA Z KRUSZYWA ŁAMANEGO STABILIZOWANEGO MECHANICZNIE</w:t>
        </w:r>
        <w:r w:rsidR="00AB3A4A">
          <w:rPr>
            <w:noProof/>
            <w:webHidden/>
          </w:rPr>
          <w:tab/>
        </w:r>
        <w:r>
          <w:rPr>
            <w:noProof/>
            <w:webHidden/>
          </w:rPr>
          <w:fldChar w:fldCharType="begin"/>
        </w:r>
        <w:r w:rsidR="00AB3A4A">
          <w:rPr>
            <w:noProof/>
            <w:webHidden/>
          </w:rPr>
          <w:instrText xml:space="preserve"> PAGEREF _Toc459929671 \h </w:instrText>
        </w:r>
        <w:r>
          <w:rPr>
            <w:noProof/>
            <w:webHidden/>
          </w:rPr>
        </w:r>
        <w:r>
          <w:rPr>
            <w:noProof/>
            <w:webHidden/>
          </w:rPr>
          <w:fldChar w:fldCharType="separate"/>
        </w:r>
        <w:r w:rsidR="00AB3A4A">
          <w:rPr>
            <w:noProof/>
            <w:webHidden/>
          </w:rPr>
          <w:t>84</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2" w:history="1">
        <w:r w:rsidR="00AB3A4A" w:rsidRPr="009D52A9">
          <w:rPr>
            <w:rStyle w:val="Hipercze"/>
            <w:noProof/>
          </w:rPr>
          <w:t>D-04.05.01 ULEPSZONE PODŁOŻE Z GRUNTÓW STABILIZOWANYCH CEMENTEM</w:t>
        </w:r>
        <w:r w:rsidR="00AB3A4A">
          <w:rPr>
            <w:noProof/>
            <w:webHidden/>
          </w:rPr>
          <w:tab/>
        </w:r>
        <w:r>
          <w:rPr>
            <w:noProof/>
            <w:webHidden/>
          </w:rPr>
          <w:fldChar w:fldCharType="begin"/>
        </w:r>
        <w:r w:rsidR="00AB3A4A">
          <w:rPr>
            <w:noProof/>
            <w:webHidden/>
          </w:rPr>
          <w:instrText xml:space="preserve"> PAGEREF _Toc459929672 \h </w:instrText>
        </w:r>
        <w:r>
          <w:rPr>
            <w:noProof/>
            <w:webHidden/>
          </w:rPr>
        </w:r>
        <w:r>
          <w:rPr>
            <w:noProof/>
            <w:webHidden/>
          </w:rPr>
          <w:fldChar w:fldCharType="separate"/>
        </w:r>
        <w:r w:rsidR="00AB3A4A">
          <w:rPr>
            <w:noProof/>
            <w:webHidden/>
          </w:rPr>
          <w:t>96</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3" w:history="1">
        <w:r w:rsidR="00AB3A4A" w:rsidRPr="009D52A9">
          <w:rPr>
            <w:rStyle w:val="Hipercze"/>
            <w:noProof/>
          </w:rPr>
          <w:t>D-04.05.01a STABILIZACJE NA BAZIE MIESZANINY POPIOŁOWO – ŻUŻLOWEJ 1,5-2,5 MPA</w:t>
        </w:r>
        <w:r w:rsidR="00AB3A4A">
          <w:rPr>
            <w:noProof/>
            <w:webHidden/>
          </w:rPr>
          <w:tab/>
        </w:r>
        <w:r>
          <w:rPr>
            <w:noProof/>
            <w:webHidden/>
          </w:rPr>
          <w:fldChar w:fldCharType="begin"/>
        </w:r>
        <w:r w:rsidR="00AB3A4A">
          <w:rPr>
            <w:noProof/>
            <w:webHidden/>
          </w:rPr>
          <w:instrText xml:space="preserve"> PAGEREF _Toc459929673 \h </w:instrText>
        </w:r>
        <w:r>
          <w:rPr>
            <w:noProof/>
            <w:webHidden/>
          </w:rPr>
        </w:r>
        <w:r>
          <w:rPr>
            <w:noProof/>
            <w:webHidden/>
          </w:rPr>
          <w:fldChar w:fldCharType="separate"/>
        </w:r>
        <w:r w:rsidR="00AB3A4A">
          <w:rPr>
            <w:noProof/>
            <w:webHidden/>
          </w:rPr>
          <w:t>110</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4" w:history="1">
        <w:r w:rsidR="00AB3A4A" w:rsidRPr="009D52A9">
          <w:rPr>
            <w:rStyle w:val="Hipercze"/>
            <w:noProof/>
          </w:rPr>
          <w:t>D-07.01.01 OZNAKOWANIE POZIOME</w:t>
        </w:r>
        <w:r w:rsidR="00AB3A4A">
          <w:rPr>
            <w:noProof/>
            <w:webHidden/>
          </w:rPr>
          <w:tab/>
        </w:r>
        <w:r>
          <w:rPr>
            <w:noProof/>
            <w:webHidden/>
          </w:rPr>
          <w:fldChar w:fldCharType="begin"/>
        </w:r>
        <w:r w:rsidR="00AB3A4A">
          <w:rPr>
            <w:noProof/>
            <w:webHidden/>
          </w:rPr>
          <w:instrText xml:space="preserve"> PAGEREF _Toc459929674 \h </w:instrText>
        </w:r>
        <w:r>
          <w:rPr>
            <w:noProof/>
            <w:webHidden/>
          </w:rPr>
        </w:r>
        <w:r>
          <w:rPr>
            <w:noProof/>
            <w:webHidden/>
          </w:rPr>
          <w:fldChar w:fldCharType="separate"/>
        </w:r>
        <w:r w:rsidR="00AB3A4A">
          <w:rPr>
            <w:noProof/>
            <w:webHidden/>
          </w:rPr>
          <w:t>116</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5" w:history="1">
        <w:r w:rsidR="00AB3A4A" w:rsidRPr="009D52A9">
          <w:rPr>
            <w:rStyle w:val="Hipercze"/>
            <w:noProof/>
          </w:rPr>
          <w:t>D-07.02.01 OZNAKOWANIE PIONOWE</w:t>
        </w:r>
        <w:r w:rsidR="00AB3A4A">
          <w:rPr>
            <w:noProof/>
            <w:webHidden/>
          </w:rPr>
          <w:tab/>
        </w:r>
        <w:r>
          <w:rPr>
            <w:noProof/>
            <w:webHidden/>
          </w:rPr>
          <w:fldChar w:fldCharType="begin"/>
        </w:r>
        <w:r w:rsidR="00AB3A4A">
          <w:rPr>
            <w:noProof/>
            <w:webHidden/>
          </w:rPr>
          <w:instrText xml:space="preserve"> PAGEREF _Toc459929675 \h </w:instrText>
        </w:r>
        <w:r>
          <w:rPr>
            <w:noProof/>
            <w:webHidden/>
          </w:rPr>
        </w:r>
        <w:r>
          <w:rPr>
            <w:noProof/>
            <w:webHidden/>
          </w:rPr>
          <w:fldChar w:fldCharType="separate"/>
        </w:r>
        <w:r w:rsidR="00AB3A4A">
          <w:rPr>
            <w:noProof/>
            <w:webHidden/>
          </w:rPr>
          <w:t>125</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6" w:history="1">
        <w:r w:rsidR="00AB3A4A" w:rsidRPr="009D52A9">
          <w:rPr>
            <w:rStyle w:val="Hipercze"/>
            <w:noProof/>
          </w:rPr>
          <w:t>D - 07.06.02 URZĄDZENIA ZABEZPIECZAJĄCE RUCH PIESZYCH</w:t>
        </w:r>
        <w:r w:rsidR="00AB3A4A">
          <w:rPr>
            <w:noProof/>
            <w:webHidden/>
          </w:rPr>
          <w:tab/>
        </w:r>
        <w:r>
          <w:rPr>
            <w:noProof/>
            <w:webHidden/>
          </w:rPr>
          <w:fldChar w:fldCharType="begin"/>
        </w:r>
        <w:r w:rsidR="00AB3A4A">
          <w:rPr>
            <w:noProof/>
            <w:webHidden/>
          </w:rPr>
          <w:instrText xml:space="preserve"> PAGEREF _Toc459929676 \h </w:instrText>
        </w:r>
        <w:r>
          <w:rPr>
            <w:noProof/>
            <w:webHidden/>
          </w:rPr>
        </w:r>
        <w:r>
          <w:rPr>
            <w:noProof/>
            <w:webHidden/>
          </w:rPr>
          <w:fldChar w:fldCharType="separate"/>
        </w:r>
        <w:r w:rsidR="00AB3A4A">
          <w:rPr>
            <w:noProof/>
            <w:webHidden/>
          </w:rPr>
          <w:t>135</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7" w:history="1">
        <w:r w:rsidR="00AB3A4A" w:rsidRPr="009D52A9">
          <w:rPr>
            <w:rStyle w:val="Hipercze"/>
            <w:noProof/>
          </w:rPr>
          <w:t>D - 08.01.01 KRAWĘŻNIKI BETONOWE</w:t>
        </w:r>
        <w:r w:rsidR="00AB3A4A">
          <w:rPr>
            <w:noProof/>
            <w:webHidden/>
          </w:rPr>
          <w:tab/>
        </w:r>
        <w:r>
          <w:rPr>
            <w:noProof/>
            <w:webHidden/>
          </w:rPr>
          <w:fldChar w:fldCharType="begin"/>
        </w:r>
        <w:r w:rsidR="00AB3A4A">
          <w:rPr>
            <w:noProof/>
            <w:webHidden/>
          </w:rPr>
          <w:instrText xml:space="preserve"> PAGEREF _Toc459929677 \h </w:instrText>
        </w:r>
        <w:r>
          <w:rPr>
            <w:noProof/>
            <w:webHidden/>
          </w:rPr>
        </w:r>
        <w:r>
          <w:rPr>
            <w:noProof/>
            <w:webHidden/>
          </w:rPr>
          <w:fldChar w:fldCharType="separate"/>
        </w:r>
        <w:r w:rsidR="00AB3A4A">
          <w:rPr>
            <w:noProof/>
            <w:webHidden/>
          </w:rPr>
          <w:t>142</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8" w:history="1">
        <w:r w:rsidR="00AB3A4A" w:rsidRPr="009D52A9">
          <w:rPr>
            <w:rStyle w:val="Hipercze"/>
            <w:noProof/>
          </w:rPr>
          <w:t>D-08.03.01 BETONOWE OBRZEŻA CHODNIKOWE</w:t>
        </w:r>
        <w:r w:rsidR="00AB3A4A">
          <w:rPr>
            <w:noProof/>
            <w:webHidden/>
          </w:rPr>
          <w:tab/>
        </w:r>
        <w:r>
          <w:rPr>
            <w:noProof/>
            <w:webHidden/>
          </w:rPr>
          <w:fldChar w:fldCharType="begin"/>
        </w:r>
        <w:r w:rsidR="00AB3A4A">
          <w:rPr>
            <w:noProof/>
            <w:webHidden/>
          </w:rPr>
          <w:instrText xml:space="preserve"> PAGEREF _Toc459929678 \h </w:instrText>
        </w:r>
        <w:r>
          <w:rPr>
            <w:noProof/>
            <w:webHidden/>
          </w:rPr>
        </w:r>
        <w:r>
          <w:rPr>
            <w:noProof/>
            <w:webHidden/>
          </w:rPr>
          <w:fldChar w:fldCharType="separate"/>
        </w:r>
        <w:r w:rsidR="00AB3A4A">
          <w:rPr>
            <w:noProof/>
            <w:webHidden/>
          </w:rPr>
          <w:t>149</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79" w:history="1">
        <w:r w:rsidR="00AB3A4A" w:rsidRPr="009D52A9">
          <w:rPr>
            <w:rStyle w:val="Hipercze"/>
            <w:noProof/>
          </w:rPr>
          <w:t>D-09.01.01 ZIELEŃ  DROGOWA</w:t>
        </w:r>
        <w:r w:rsidR="00AB3A4A">
          <w:rPr>
            <w:noProof/>
            <w:webHidden/>
          </w:rPr>
          <w:tab/>
        </w:r>
        <w:r>
          <w:rPr>
            <w:noProof/>
            <w:webHidden/>
          </w:rPr>
          <w:fldChar w:fldCharType="begin"/>
        </w:r>
        <w:r w:rsidR="00AB3A4A">
          <w:rPr>
            <w:noProof/>
            <w:webHidden/>
          </w:rPr>
          <w:instrText xml:space="preserve"> PAGEREF _Toc459929679 \h </w:instrText>
        </w:r>
        <w:r>
          <w:rPr>
            <w:noProof/>
            <w:webHidden/>
          </w:rPr>
        </w:r>
        <w:r>
          <w:rPr>
            <w:noProof/>
            <w:webHidden/>
          </w:rPr>
          <w:fldChar w:fldCharType="separate"/>
        </w:r>
        <w:r w:rsidR="00AB3A4A">
          <w:rPr>
            <w:noProof/>
            <w:webHidden/>
          </w:rPr>
          <w:t>154</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0" w:history="1">
        <w:r w:rsidR="00AB3A4A" w:rsidRPr="009D52A9">
          <w:rPr>
            <w:rStyle w:val="Hipercze"/>
            <w:noProof/>
          </w:rPr>
          <w:t>D-08.05.03 ŚCIEKI   Z   KOSTKI   KAMIENNEJ</w:t>
        </w:r>
        <w:r w:rsidR="00AB3A4A">
          <w:rPr>
            <w:noProof/>
            <w:webHidden/>
          </w:rPr>
          <w:tab/>
        </w:r>
        <w:r>
          <w:rPr>
            <w:noProof/>
            <w:webHidden/>
          </w:rPr>
          <w:fldChar w:fldCharType="begin"/>
        </w:r>
        <w:r w:rsidR="00AB3A4A">
          <w:rPr>
            <w:noProof/>
            <w:webHidden/>
          </w:rPr>
          <w:instrText xml:space="preserve"> PAGEREF _Toc459929680 \h </w:instrText>
        </w:r>
        <w:r>
          <w:rPr>
            <w:noProof/>
            <w:webHidden/>
          </w:rPr>
        </w:r>
        <w:r>
          <w:rPr>
            <w:noProof/>
            <w:webHidden/>
          </w:rPr>
          <w:fldChar w:fldCharType="separate"/>
        </w:r>
        <w:r w:rsidR="00AB3A4A">
          <w:rPr>
            <w:noProof/>
            <w:webHidden/>
          </w:rPr>
          <w:t>159</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1" w:history="1">
        <w:r w:rsidR="00AB3A4A" w:rsidRPr="009D52A9">
          <w:rPr>
            <w:rStyle w:val="Hipercze"/>
            <w:noProof/>
          </w:rPr>
          <w:t>D - 05.03.23 NAWIERZCHNIA Z KOSTKI BRUKOWEJ BETONOWEJ</w:t>
        </w:r>
        <w:r w:rsidR="00AB3A4A">
          <w:rPr>
            <w:noProof/>
            <w:webHidden/>
          </w:rPr>
          <w:tab/>
        </w:r>
        <w:r>
          <w:rPr>
            <w:noProof/>
            <w:webHidden/>
          </w:rPr>
          <w:fldChar w:fldCharType="begin"/>
        </w:r>
        <w:r w:rsidR="00AB3A4A">
          <w:rPr>
            <w:noProof/>
            <w:webHidden/>
          </w:rPr>
          <w:instrText xml:space="preserve"> PAGEREF _Toc459929681 \h </w:instrText>
        </w:r>
        <w:r>
          <w:rPr>
            <w:noProof/>
            <w:webHidden/>
          </w:rPr>
        </w:r>
        <w:r>
          <w:rPr>
            <w:noProof/>
            <w:webHidden/>
          </w:rPr>
          <w:fldChar w:fldCharType="separate"/>
        </w:r>
        <w:r w:rsidR="00AB3A4A">
          <w:rPr>
            <w:noProof/>
            <w:webHidden/>
          </w:rPr>
          <w:t>164</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2" w:history="1">
        <w:r w:rsidR="00AB3A4A" w:rsidRPr="009D52A9">
          <w:rPr>
            <w:rStyle w:val="Hipercze"/>
            <w:noProof/>
          </w:rPr>
          <w:t>D - 05.03.01 NAWIERZCHNIA Z KOSTKI KAMIENNEJ</w:t>
        </w:r>
        <w:r w:rsidR="00AB3A4A">
          <w:rPr>
            <w:noProof/>
            <w:webHidden/>
          </w:rPr>
          <w:tab/>
        </w:r>
        <w:r>
          <w:rPr>
            <w:noProof/>
            <w:webHidden/>
          </w:rPr>
          <w:fldChar w:fldCharType="begin"/>
        </w:r>
        <w:r w:rsidR="00AB3A4A">
          <w:rPr>
            <w:noProof/>
            <w:webHidden/>
          </w:rPr>
          <w:instrText xml:space="preserve"> PAGEREF _Toc459929682 \h </w:instrText>
        </w:r>
        <w:r>
          <w:rPr>
            <w:noProof/>
            <w:webHidden/>
          </w:rPr>
        </w:r>
        <w:r>
          <w:rPr>
            <w:noProof/>
            <w:webHidden/>
          </w:rPr>
          <w:fldChar w:fldCharType="separate"/>
        </w:r>
        <w:r w:rsidR="00AB3A4A">
          <w:rPr>
            <w:noProof/>
            <w:webHidden/>
          </w:rPr>
          <w:t>170</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3" w:history="1">
        <w:r w:rsidR="00AB3A4A" w:rsidRPr="009D52A9">
          <w:rPr>
            <w:rStyle w:val="Hipercze"/>
            <w:noProof/>
          </w:rPr>
          <w:t>D - 07.07.01 OŚWIETLENIE   DRÓG</w:t>
        </w:r>
        <w:r w:rsidR="00AB3A4A">
          <w:rPr>
            <w:noProof/>
            <w:webHidden/>
          </w:rPr>
          <w:tab/>
        </w:r>
        <w:r>
          <w:rPr>
            <w:noProof/>
            <w:webHidden/>
          </w:rPr>
          <w:fldChar w:fldCharType="begin"/>
        </w:r>
        <w:r w:rsidR="00AB3A4A">
          <w:rPr>
            <w:noProof/>
            <w:webHidden/>
          </w:rPr>
          <w:instrText xml:space="preserve"> PAGEREF _Toc459929683 \h </w:instrText>
        </w:r>
        <w:r>
          <w:rPr>
            <w:noProof/>
            <w:webHidden/>
          </w:rPr>
        </w:r>
        <w:r>
          <w:rPr>
            <w:noProof/>
            <w:webHidden/>
          </w:rPr>
          <w:fldChar w:fldCharType="separate"/>
        </w:r>
        <w:r w:rsidR="00AB3A4A">
          <w:rPr>
            <w:noProof/>
            <w:webHidden/>
          </w:rPr>
          <w:t>176</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4" w:history="1">
        <w:r w:rsidR="00AB3A4A" w:rsidRPr="009D52A9">
          <w:rPr>
            <w:rStyle w:val="Hipercze"/>
            <w:noProof/>
          </w:rPr>
          <w:t>D - 10.11.01 MAŁA ARCHITEKTURA</w:t>
        </w:r>
        <w:r w:rsidR="00AB3A4A">
          <w:rPr>
            <w:noProof/>
            <w:webHidden/>
          </w:rPr>
          <w:tab/>
        </w:r>
        <w:r>
          <w:rPr>
            <w:noProof/>
            <w:webHidden/>
          </w:rPr>
          <w:fldChar w:fldCharType="begin"/>
        </w:r>
        <w:r w:rsidR="00AB3A4A">
          <w:rPr>
            <w:noProof/>
            <w:webHidden/>
          </w:rPr>
          <w:instrText xml:space="preserve"> PAGEREF _Toc459929684 \h </w:instrText>
        </w:r>
        <w:r>
          <w:rPr>
            <w:noProof/>
            <w:webHidden/>
          </w:rPr>
        </w:r>
        <w:r>
          <w:rPr>
            <w:noProof/>
            <w:webHidden/>
          </w:rPr>
          <w:fldChar w:fldCharType="separate"/>
        </w:r>
        <w:r w:rsidR="00AB3A4A">
          <w:rPr>
            <w:noProof/>
            <w:webHidden/>
          </w:rPr>
          <w:t>186</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5" w:history="1">
        <w:r w:rsidR="00AB3A4A" w:rsidRPr="009D52A9">
          <w:rPr>
            <w:rStyle w:val="Hipercze"/>
            <w:noProof/>
          </w:rPr>
          <w:t>D-10.01.01 mury oporowe</w:t>
        </w:r>
        <w:r w:rsidR="00AB3A4A">
          <w:rPr>
            <w:noProof/>
            <w:webHidden/>
          </w:rPr>
          <w:tab/>
        </w:r>
        <w:r>
          <w:rPr>
            <w:noProof/>
            <w:webHidden/>
          </w:rPr>
          <w:fldChar w:fldCharType="begin"/>
        </w:r>
        <w:r w:rsidR="00AB3A4A">
          <w:rPr>
            <w:noProof/>
            <w:webHidden/>
          </w:rPr>
          <w:instrText xml:space="preserve"> PAGEREF _Toc459929685 \h </w:instrText>
        </w:r>
        <w:r>
          <w:rPr>
            <w:noProof/>
            <w:webHidden/>
          </w:rPr>
        </w:r>
        <w:r>
          <w:rPr>
            <w:noProof/>
            <w:webHidden/>
          </w:rPr>
          <w:fldChar w:fldCharType="separate"/>
        </w:r>
        <w:r w:rsidR="00AB3A4A">
          <w:rPr>
            <w:noProof/>
            <w:webHidden/>
          </w:rPr>
          <w:t>189</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6" w:history="1">
        <w:r w:rsidR="00AB3A4A" w:rsidRPr="009D52A9">
          <w:rPr>
            <w:rStyle w:val="Hipercze"/>
            <w:noProof/>
          </w:rPr>
          <w:t>ST.01.  POWIERZCHNIOWE ZABEZPIECZENIE BETONU Z POWŁOKĄ ANTYGRAFFITI</w:t>
        </w:r>
        <w:r w:rsidR="00AB3A4A">
          <w:rPr>
            <w:noProof/>
            <w:webHidden/>
          </w:rPr>
          <w:tab/>
        </w:r>
        <w:r>
          <w:rPr>
            <w:noProof/>
            <w:webHidden/>
          </w:rPr>
          <w:fldChar w:fldCharType="begin"/>
        </w:r>
        <w:r w:rsidR="00AB3A4A">
          <w:rPr>
            <w:noProof/>
            <w:webHidden/>
          </w:rPr>
          <w:instrText xml:space="preserve"> PAGEREF _Toc459929686 \h </w:instrText>
        </w:r>
        <w:r>
          <w:rPr>
            <w:noProof/>
            <w:webHidden/>
          </w:rPr>
        </w:r>
        <w:r>
          <w:rPr>
            <w:noProof/>
            <w:webHidden/>
          </w:rPr>
          <w:fldChar w:fldCharType="separate"/>
        </w:r>
        <w:r w:rsidR="00AB3A4A">
          <w:rPr>
            <w:noProof/>
            <w:webHidden/>
          </w:rPr>
          <w:t>195</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7" w:history="1">
        <w:r w:rsidR="00AB3A4A" w:rsidRPr="009D52A9">
          <w:rPr>
            <w:rStyle w:val="Hipercze"/>
            <w:noProof/>
          </w:rPr>
          <w:t>ST.02.  ZBROJENIE BETONU STALĄ KLASY A-II; A-III; AIIIN</w:t>
        </w:r>
        <w:r w:rsidR="00AB3A4A">
          <w:rPr>
            <w:noProof/>
            <w:webHidden/>
          </w:rPr>
          <w:tab/>
        </w:r>
        <w:r>
          <w:rPr>
            <w:noProof/>
            <w:webHidden/>
          </w:rPr>
          <w:fldChar w:fldCharType="begin"/>
        </w:r>
        <w:r w:rsidR="00AB3A4A">
          <w:rPr>
            <w:noProof/>
            <w:webHidden/>
          </w:rPr>
          <w:instrText xml:space="preserve"> PAGEREF _Toc459929687 \h </w:instrText>
        </w:r>
        <w:r>
          <w:rPr>
            <w:noProof/>
            <w:webHidden/>
          </w:rPr>
        </w:r>
        <w:r>
          <w:rPr>
            <w:noProof/>
            <w:webHidden/>
          </w:rPr>
          <w:fldChar w:fldCharType="separate"/>
        </w:r>
        <w:r w:rsidR="00AB3A4A">
          <w:rPr>
            <w:noProof/>
            <w:webHidden/>
          </w:rPr>
          <w:t>201</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8" w:history="1">
        <w:r w:rsidR="00AB3A4A" w:rsidRPr="009D52A9">
          <w:rPr>
            <w:rStyle w:val="Hipercze"/>
            <w:noProof/>
          </w:rPr>
          <w:t>ST.03.  BETON KONSTRUKCYJNY W OBIEKCIE INŻYNIERSKIM</w:t>
        </w:r>
        <w:r w:rsidR="00AB3A4A">
          <w:rPr>
            <w:noProof/>
            <w:webHidden/>
          </w:rPr>
          <w:tab/>
        </w:r>
        <w:r>
          <w:rPr>
            <w:noProof/>
            <w:webHidden/>
          </w:rPr>
          <w:fldChar w:fldCharType="begin"/>
        </w:r>
        <w:r w:rsidR="00AB3A4A">
          <w:rPr>
            <w:noProof/>
            <w:webHidden/>
          </w:rPr>
          <w:instrText xml:space="preserve"> PAGEREF _Toc459929688 \h </w:instrText>
        </w:r>
        <w:r>
          <w:rPr>
            <w:noProof/>
            <w:webHidden/>
          </w:rPr>
        </w:r>
        <w:r>
          <w:rPr>
            <w:noProof/>
            <w:webHidden/>
          </w:rPr>
          <w:fldChar w:fldCharType="separate"/>
        </w:r>
        <w:r w:rsidR="00AB3A4A">
          <w:rPr>
            <w:noProof/>
            <w:webHidden/>
          </w:rPr>
          <w:t>209</w:t>
        </w:r>
        <w:r>
          <w:rPr>
            <w:noProof/>
            <w:webHidden/>
          </w:rPr>
          <w:fldChar w:fldCharType="end"/>
        </w:r>
      </w:hyperlink>
    </w:p>
    <w:p w:rsidR="00AB3A4A" w:rsidRDefault="007172B0">
      <w:pPr>
        <w:pStyle w:val="Spistreci1"/>
        <w:rPr>
          <w:rFonts w:asciiTheme="minorHAnsi" w:eastAsiaTheme="minorEastAsia" w:hAnsiTheme="minorHAnsi" w:cstheme="minorBidi"/>
          <w:b w:val="0"/>
          <w:bCs w:val="0"/>
          <w:caps w:val="0"/>
          <w:noProof/>
          <w:sz w:val="22"/>
          <w:szCs w:val="22"/>
        </w:rPr>
      </w:pPr>
      <w:hyperlink w:anchor="_Toc459929689" w:history="1">
        <w:r w:rsidR="00AB3A4A" w:rsidRPr="009D52A9">
          <w:rPr>
            <w:rStyle w:val="Hipercze"/>
            <w:noProof/>
          </w:rPr>
          <w:t>ST.04.  IZOLACJE BITUMICZNE WYKONANE NA ZIMNO</w:t>
        </w:r>
        <w:r w:rsidR="00AB3A4A">
          <w:rPr>
            <w:noProof/>
            <w:webHidden/>
          </w:rPr>
          <w:tab/>
        </w:r>
        <w:r>
          <w:rPr>
            <w:noProof/>
            <w:webHidden/>
          </w:rPr>
          <w:fldChar w:fldCharType="begin"/>
        </w:r>
        <w:r w:rsidR="00AB3A4A">
          <w:rPr>
            <w:noProof/>
            <w:webHidden/>
          </w:rPr>
          <w:instrText xml:space="preserve"> PAGEREF _Toc459929689 \h </w:instrText>
        </w:r>
        <w:r>
          <w:rPr>
            <w:noProof/>
            <w:webHidden/>
          </w:rPr>
        </w:r>
        <w:r>
          <w:rPr>
            <w:noProof/>
            <w:webHidden/>
          </w:rPr>
          <w:fldChar w:fldCharType="separate"/>
        </w:r>
        <w:r w:rsidR="00AB3A4A">
          <w:rPr>
            <w:noProof/>
            <w:webHidden/>
          </w:rPr>
          <w:t>226</w:t>
        </w:r>
        <w:r>
          <w:rPr>
            <w:noProof/>
            <w:webHidden/>
          </w:rPr>
          <w:fldChar w:fldCharType="end"/>
        </w:r>
      </w:hyperlink>
    </w:p>
    <w:p w:rsidR="00656AC1" w:rsidRPr="00177B65" w:rsidRDefault="007172B0" w:rsidP="00852029">
      <w:pPr>
        <w:tabs>
          <w:tab w:val="left" w:pos="10490"/>
          <w:tab w:val="left" w:pos="10632"/>
          <w:tab w:val="left" w:pos="10773"/>
        </w:tabs>
        <w:ind w:right="-1417"/>
        <w:jc w:val="left"/>
        <w:rPr>
          <w:rFonts w:ascii="Calibri" w:hAnsi="Calibri" w:cs="Calibri"/>
        </w:rPr>
      </w:pPr>
      <w:r>
        <w:rPr>
          <w:rFonts w:ascii="Calibri" w:hAnsi="Calibri" w:cs="Calibri"/>
        </w:rPr>
        <w:fldChar w:fldCharType="end"/>
      </w:r>
    </w:p>
    <w:p w:rsidR="00656AC1" w:rsidRPr="0079565D" w:rsidRDefault="005B48CA" w:rsidP="0079565D">
      <w:pPr>
        <w:pStyle w:val="Nagwek2"/>
      </w:pPr>
      <w:r w:rsidRPr="0079565D">
        <w:lastRenderedPageBreak/>
        <w:t>SPECYFIKACJE TECHNICZNE</w:t>
      </w:r>
      <w:r w:rsidR="00E22F37" w:rsidRPr="0079565D">
        <w:t xml:space="preserve"> WYKONANIA I ODBIORU ROBÓT BUDOWLANYCH</w:t>
      </w:r>
    </w:p>
    <w:p w:rsidR="00656AC1" w:rsidRPr="00203191" w:rsidRDefault="00656AC1" w:rsidP="0079565D">
      <w:pPr>
        <w:pStyle w:val="Nagwek1"/>
      </w:pPr>
      <w:bookmarkStart w:id="8" w:name="_Toc285044228"/>
      <w:bookmarkStart w:id="9" w:name="_Toc352837476"/>
      <w:bookmarkStart w:id="10" w:name="_Toc427178260"/>
      <w:bookmarkStart w:id="11" w:name="_Toc459929658"/>
      <w:r w:rsidRPr="00203191">
        <w:t>D-M-00.00.00 WYMAGANIA OGÓLNE</w:t>
      </w:r>
      <w:bookmarkEnd w:id="8"/>
      <w:bookmarkEnd w:id="9"/>
      <w:bookmarkEnd w:id="10"/>
      <w:bookmarkEnd w:id="11"/>
    </w:p>
    <w:p w:rsidR="00656AC1" w:rsidRPr="00203191" w:rsidRDefault="00656AC1" w:rsidP="00364E4D">
      <w:pPr>
        <w:pStyle w:val="Nagwek3"/>
        <w:rPr>
          <w:rFonts w:ascii="Calibri" w:hAnsi="Calibri" w:cs="Calibri"/>
        </w:rPr>
      </w:pPr>
      <w:bookmarkStart w:id="12" w:name="_Toc404150096"/>
      <w:bookmarkStart w:id="13" w:name="_Toc416830698"/>
      <w:bookmarkStart w:id="14" w:name="_Toc6881279"/>
      <w:bookmarkStart w:id="15" w:name="_Toc6882152"/>
      <w:r w:rsidRPr="00203191">
        <w:rPr>
          <w:rFonts w:ascii="Calibri" w:hAnsi="Calibri" w:cs="Calibri"/>
        </w:rPr>
        <w:t>1. WSTĘP</w:t>
      </w:r>
      <w:bookmarkEnd w:id="12"/>
      <w:bookmarkEnd w:id="13"/>
      <w:bookmarkEnd w:id="14"/>
      <w:bookmarkEnd w:id="15"/>
    </w:p>
    <w:p w:rsidR="00656AC1" w:rsidRPr="00203191" w:rsidRDefault="00656AC1" w:rsidP="00364E4D">
      <w:pPr>
        <w:pStyle w:val="Nagwek4"/>
        <w:rPr>
          <w:rFonts w:ascii="Calibri" w:hAnsi="Calibri" w:cs="Calibri"/>
        </w:rPr>
      </w:pPr>
      <w:r w:rsidRPr="00203191">
        <w:rPr>
          <w:rFonts w:ascii="Calibri" w:hAnsi="Calibri" w:cs="Calibri"/>
        </w:rPr>
        <w:t xml:space="preserve">1.1. Przedmiot </w:t>
      </w:r>
      <w:r w:rsidR="005B48CA">
        <w:rPr>
          <w:rFonts w:ascii="Calibri" w:hAnsi="Calibri" w:cs="Calibri"/>
        </w:rPr>
        <w:t>STWiORB</w:t>
      </w:r>
    </w:p>
    <w:p w:rsidR="00656AC1" w:rsidRPr="00203191" w:rsidRDefault="00656AC1" w:rsidP="00364E4D">
      <w:pPr>
        <w:pStyle w:val="tekstost"/>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są wymagania ogólne dotyczące wykonania i odbioru robót drogowych, wspólne dla wszystkich dalszych </w:t>
      </w:r>
      <w:r w:rsidR="00ED6D29">
        <w:rPr>
          <w:rFonts w:ascii="Calibri" w:hAnsi="Calibri" w:cs="Calibri"/>
        </w:rPr>
        <w:t>specyfikacji</w:t>
      </w:r>
      <w:r w:rsidRPr="00203191">
        <w:rPr>
          <w:rFonts w:ascii="Calibri" w:hAnsi="Calibri" w:cs="Calibri"/>
        </w:rPr>
        <w:t>.</w:t>
      </w:r>
    </w:p>
    <w:p w:rsidR="00656AC1" w:rsidRPr="00203191" w:rsidRDefault="00656AC1" w:rsidP="00364E4D">
      <w:pPr>
        <w:pStyle w:val="Nagwek4"/>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7A3283" w:rsidRDefault="00FE60E3" w:rsidP="007A3283">
      <w:pPr>
        <w:rPr>
          <w:rFonts w:ascii="Calibri" w:hAnsi="Calibri" w:cs="Calibri"/>
        </w:rPr>
      </w:pPr>
      <w:r>
        <w:rPr>
          <w:rFonts w:ascii="Calibri" w:hAnsi="Calibri" w:cs="Calibri"/>
        </w:rPr>
        <w:t>Specyfikacja techniczna</w:t>
      </w:r>
      <w:r w:rsidR="00E22F37">
        <w:rPr>
          <w:rFonts w:ascii="Calibri" w:hAnsi="Calibri" w:cs="Calibri"/>
        </w:rPr>
        <w:t xml:space="preserve"> stanowi </w:t>
      </w:r>
      <w:r w:rsidR="00656AC1" w:rsidRPr="00203191">
        <w:rPr>
          <w:rFonts w:ascii="Calibri" w:hAnsi="Calibri" w:cs="Calibri"/>
        </w:rPr>
        <w:t xml:space="preserve">dokument przetargowy i kontraktowy przy realizacji  </w:t>
      </w:r>
      <w:r w:rsidR="00656AC1" w:rsidRPr="00F57D49">
        <w:rPr>
          <w:rFonts w:ascii="Calibri" w:hAnsi="Calibri" w:cs="Calibri"/>
        </w:rPr>
        <w:t xml:space="preserve">zadania </w:t>
      </w:r>
      <w:r w:rsidR="00F57D49" w:rsidRPr="00F57D49">
        <w:rPr>
          <w:rFonts w:asciiTheme="minorHAnsi" w:hAnsiTheme="minorHAnsi"/>
        </w:rPr>
        <w:t>„Budowa parkingu wraz z drogą manewrową przy ul. Armii Krajowej w Wałbrzychu zlokalizowanego na dz. nr ew. 113, 116/1, obr. 20 Stary Zdrój (przy budynkach mieszkalnych nr 46 i 54)"</w:t>
      </w:r>
    </w:p>
    <w:p w:rsidR="00656AC1" w:rsidRPr="00203191" w:rsidRDefault="00656AC1" w:rsidP="007A3283">
      <w:pPr>
        <w:pStyle w:val="Nagwek4"/>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656AC1" w:rsidRPr="00203191" w:rsidRDefault="00656AC1" w:rsidP="00364E4D">
      <w:pPr>
        <w:rPr>
          <w:rFonts w:ascii="Calibri" w:hAnsi="Calibri" w:cs="Calibri"/>
        </w:rPr>
      </w:pPr>
      <w:r w:rsidRPr="00203191">
        <w:rPr>
          <w:rFonts w:ascii="Calibri" w:hAnsi="Calibri" w:cs="Calibri"/>
        </w:rPr>
        <w:t xml:space="preserve">Ustalenia zawarte w </w:t>
      </w:r>
      <w:r w:rsidR="00FE60E3">
        <w:rPr>
          <w:rFonts w:ascii="Calibri" w:hAnsi="Calibri" w:cs="Calibri"/>
        </w:rPr>
        <w:t>niniejszej</w:t>
      </w:r>
      <w:r w:rsidR="00E22F37">
        <w:rPr>
          <w:rFonts w:ascii="Calibri" w:hAnsi="Calibri" w:cs="Calibri"/>
        </w:rPr>
        <w:t xml:space="preserve"> </w:t>
      </w:r>
      <w:r w:rsidR="00FE60E3">
        <w:rPr>
          <w:rFonts w:ascii="Calibri" w:hAnsi="Calibri" w:cs="Calibri"/>
        </w:rPr>
        <w:t>specyfikacji</w:t>
      </w:r>
      <w:r w:rsidR="00E22F37">
        <w:rPr>
          <w:rFonts w:ascii="Calibri" w:hAnsi="Calibri" w:cs="Calibri"/>
        </w:rPr>
        <w:t xml:space="preserve"> </w:t>
      </w:r>
      <w:r w:rsidRPr="00203191">
        <w:rPr>
          <w:rFonts w:ascii="Calibri" w:hAnsi="Calibri" w:cs="Calibri"/>
        </w:rPr>
        <w:t xml:space="preserve">obejmują wymagania ogólne, wspólne dla robót objętych </w:t>
      </w:r>
      <w:r w:rsidR="00A46FA8">
        <w:rPr>
          <w:rFonts w:ascii="Calibri" w:hAnsi="Calibri" w:cs="Calibri"/>
        </w:rPr>
        <w:t>warunkami</w:t>
      </w:r>
      <w:r w:rsidRPr="00203191">
        <w:rPr>
          <w:rFonts w:ascii="Calibri" w:hAnsi="Calibri" w:cs="Calibri"/>
        </w:rPr>
        <w:t xml:space="preserve"> technicznymi, zawartymi w dalszej części opracowania.</w:t>
      </w:r>
    </w:p>
    <w:p w:rsidR="00656AC1" w:rsidRPr="00203191" w:rsidRDefault="00656AC1" w:rsidP="00364E4D">
      <w:pPr>
        <w:pStyle w:val="Nagwek4"/>
        <w:rPr>
          <w:rFonts w:ascii="Calibri" w:hAnsi="Calibri" w:cs="Calibri"/>
        </w:rPr>
      </w:pPr>
      <w:r w:rsidRPr="00203191">
        <w:rPr>
          <w:rFonts w:ascii="Calibri" w:hAnsi="Calibri" w:cs="Calibri"/>
        </w:rPr>
        <w:t>1.4. Określenia podstawowe</w:t>
      </w:r>
    </w:p>
    <w:p w:rsidR="00656AC1" w:rsidRPr="00203191" w:rsidRDefault="00656AC1" w:rsidP="00364E4D">
      <w:pPr>
        <w:pStyle w:val="tekstost"/>
        <w:rPr>
          <w:rFonts w:ascii="Calibri" w:hAnsi="Calibri" w:cs="Calibri"/>
        </w:rPr>
      </w:pPr>
      <w:r w:rsidRPr="00203191">
        <w:rPr>
          <w:rFonts w:ascii="Calibri" w:hAnsi="Calibri" w:cs="Calibri"/>
        </w:rPr>
        <w:t xml:space="preserve">Użyte w </w:t>
      </w:r>
      <w:r w:rsidR="005B48CA">
        <w:rPr>
          <w:rFonts w:ascii="Calibri" w:hAnsi="Calibri" w:cs="Calibri"/>
        </w:rPr>
        <w:t>STWiORB</w:t>
      </w:r>
      <w:r w:rsidRPr="00203191">
        <w:rPr>
          <w:rFonts w:ascii="Calibri" w:hAnsi="Calibri" w:cs="Calibri"/>
        </w:rPr>
        <w:t xml:space="preserve"> wymienione poniżej określenia należy rozumieć w każdym przypadku następująco:</w:t>
      </w:r>
    </w:p>
    <w:p w:rsidR="00656AC1" w:rsidRPr="00203191" w:rsidRDefault="00656AC1" w:rsidP="00364E4D">
      <w:pPr>
        <w:pStyle w:val="Nagwek7"/>
        <w:rPr>
          <w:rFonts w:ascii="Calibri" w:hAnsi="Calibri" w:cs="Calibri"/>
        </w:rPr>
      </w:pPr>
      <w:r w:rsidRPr="00203191">
        <w:rPr>
          <w:rFonts w:ascii="Calibri" w:hAnsi="Calibri" w:cs="Calibri"/>
          <w:b/>
          <w:bCs/>
          <w:i/>
          <w:iCs/>
        </w:rPr>
        <w:t>1.4.1.</w:t>
      </w:r>
      <w:r w:rsidRPr="00203191">
        <w:rPr>
          <w:rFonts w:ascii="Calibri" w:hAnsi="Calibri" w:cs="Calibri"/>
        </w:rPr>
        <w:t xml:space="preserve"> Budowla drogowa - obiekt budowlany, nie będący budynkiem, stanowiący całość techniczno-użytkową (droga) albo jego część stanowiącą odrębny element konstrukcyjny lub technologiczny.</w:t>
      </w:r>
    </w:p>
    <w:p w:rsidR="00656AC1" w:rsidRPr="00203191" w:rsidRDefault="00656AC1" w:rsidP="00364E4D">
      <w:pPr>
        <w:pStyle w:val="Nagwek7"/>
        <w:rPr>
          <w:rFonts w:ascii="Calibri" w:hAnsi="Calibri" w:cs="Calibri"/>
        </w:rPr>
      </w:pPr>
      <w:r w:rsidRPr="00203191">
        <w:rPr>
          <w:rFonts w:ascii="Calibri" w:hAnsi="Calibri" w:cs="Calibri"/>
          <w:b/>
          <w:bCs/>
          <w:i/>
          <w:iCs/>
        </w:rPr>
        <w:t>1.4.2.</w:t>
      </w:r>
      <w:r w:rsidRPr="00203191">
        <w:rPr>
          <w:rFonts w:ascii="Calibri" w:hAnsi="Calibri" w:cs="Calibri"/>
        </w:rPr>
        <w:t xml:space="preserve"> Chodnik - wyznaczony pas terenu przy jezdni lub odsunięty od jezdni, przeznaczony do ruchu pieszych.</w:t>
      </w:r>
    </w:p>
    <w:p w:rsidR="00656AC1" w:rsidRPr="00203191" w:rsidRDefault="00656AC1" w:rsidP="00364E4D">
      <w:pPr>
        <w:pStyle w:val="Nagwek7"/>
        <w:rPr>
          <w:rFonts w:ascii="Calibri" w:hAnsi="Calibri" w:cs="Calibri"/>
        </w:rPr>
      </w:pPr>
      <w:r w:rsidRPr="00203191">
        <w:rPr>
          <w:rFonts w:ascii="Calibri" w:hAnsi="Calibri" w:cs="Calibri"/>
          <w:b/>
          <w:bCs/>
          <w:i/>
          <w:iCs/>
        </w:rPr>
        <w:t>1.4.3.</w:t>
      </w:r>
      <w:r w:rsidRPr="00203191">
        <w:rPr>
          <w:rFonts w:ascii="Calibri" w:hAnsi="Calibri" w:cs="Calibri"/>
        </w:rPr>
        <w:t xml:space="preserve"> Droga - wydzielony pas terenu przeznaczony do ruchu lub postoju pojazdów oraz ruchu pieszych wraz z wszelkimi urządzeniami technicznymi związanymi z prowadzeniem i zabezpieczeniem ruchu.</w:t>
      </w:r>
    </w:p>
    <w:p w:rsidR="00656AC1" w:rsidRPr="00203191" w:rsidRDefault="00656AC1" w:rsidP="00364E4D">
      <w:pPr>
        <w:pStyle w:val="Nagwek7"/>
        <w:rPr>
          <w:rFonts w:ascii="Calibri" w:hAnsi="Calibri" w:cs="Calibri"/>
        </w:rPr>
      </w:pPr>
      <w:r w:rsidRPr="00203191">
        <w:rPr>
          <w:rFonts w:ascii="Calibri" w:hAnsi="Calibri" w:cs="Calibri"/>
          <w:b/>
          <w:bCs/>
          <w:i/>
          <w:iCs/>
        </w:rPr>
        <w:t>1.4.4.</w:t>
      </w:r>
      <w:r w:rsidRPr="00203191">
        <w:rPr>
          <w:rFonts w:ascii="Calibri" w:hAnsi="Calibri" w:cs="Calibri"/>
        </w:rPr>
        <w:t xml:space="preserve"> Droga tymczasowa (montażowa) - droga specjalnie przygotowana, przeznaczona do ruchu pojazdów obsługujących zadanie budowlane na czas jego wykonania, przewidziana do usunięcia po jego zakończeniu.</w:t>
      </w:r>
    </w:p>
    <w:p w:rsidR="00656AC1" w:rsidRPr="00203191" w:rsidRDefault="00656AC1" w:rsidP="00364E4D">
      <w:pPr>
        <w:pStyle w:val="Nagwek7"/>
        <w:rPr>
          <w:rFonts w:ascii="Calibri" w:hAnsi="Calibri" w:cs="Calibri"/>
        </w:rPr>
      </w:pPr>
      <w:r w:rsidRPr="00203191">
        <w:rPr>
          <w:rFonts w:ascii="Calibri" w:hAnsi="Calibri" w:cs="Calibri"/>
          <w:b/>
          <w:bCs/>
          <w:i/>
          <w:iCs/>
        </w:rPr>
        <w:t>1.4.5.</w:t>
      </w:r>
      <w:r w:rsidRPr="00203191">
        <w:rPr>
          <w:rFonts w:ascii="Calibri" w:hAnsi="Calibri" w:cs="Calibri"/>
        </w:rPr>
        <w:t xml:space="preserve"> 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Wykonawcą i projektantem.</w:t>
      </w:r>
    </w:p>
    <w:p w:rsidR="00656AC1" w:rsidRPr="00203191" w:rsidRDefault="00656AC1" w:rsidP="00364E4D">
      <w:pPr>
        <w:pStyle w:val="Nagwek7"/>
        <w:rPr>
          <w:rFonts w:ascii="Calibri" w:hAnsi="Calibri" w:cs="Calibri"/>
        </w:rPr>
      </w:pPr>
      <w:r w:rsidRPr="00203191">
        <w:rPr>
          <w:rFonts w:ascii="Calibri" w:hAnsi="Calibri" w:cs="Calibri"/>
          <w:b/>
          <w:bCs/>
          <w:i/>
          <w:iCs/>
        </w:rPr>
        <w:t>1.4.6.</w:t>
      </w:r>
      <w:r w:rsidRPr="00203191">
        <w:rPr>
          <w:rFonts w:ascii="Calibri" w:hAnsi="Calibri" w:cs="Calibri"/>
        </w:rPr>
        <w:t xml:space="preserve"> Inżynier – osoba wymieniona w danych kontraktowych (wyznaczona przez Zamawiającego, o której wyznaczeniu poinformowany jest Wykonawca), odpowiedzialna za nadzorowanie robót i administrowanie kontraktem.</w:t>
      </w:r>
    </w:p>
    <w:p w:rsidR="00656AC1" w:rsidRPr="00203191" w:rsidRDefault="00656AC1" w:rsidP="00364E4D">
      <w:pPr>
        <w:pStyle w:val="Nagwek7"/>
        <w:rPr>
          <w:rFonts w:ascii="Calibri" w:hAnsi="Calibri" w:cs="Calibri"/>
        </w:rPr>
      </w:pPr>
      <w:r w:rsidRPr="00203191">
        <w:rPr>
          <w:rFonts w:ascii="Calibri" w:hAnsi="Calibri" w:cs="Calibri"/>
          <w:b/>
          <w:bCs/>
          <w:i/>
          <w:iCs/>
        </w:rPr>
        <w:t>1.4.7.</w:t>
      </w:r>
      <w:r w:rsidRPr="00203191">
        <w:rPr>
          <w:rFonts w:ascii="Calibri" w:hAnsi="Calibri" w:cs="Calibri"/>
        </w:rPr>
        <w:t xml:space="preserve"> Jezdnia - część korony drogi przeznaczona do ruchu pojazdów.</w:t>
      </w:r>
    </w:p>
    <w:p w:rsidR="00656AC1" w:rsidRPr="00203191" w:rsidRDefault="00656AC1" w:rsidP="00364E4D">
      <w:pPr>
        <w:pStyle w:val="Nagwek7"/>
        <w:rPr>
          <w:rFonts w:ascii="Calibri" w:hAnsi="Calibri" w:cs="Calibri"/>
        </w:rPr>
      </w:pPr>
      <w:r w:rsidRPr="00203191">
        <w:rPr>
          <w:rFonts w:ascii="Calibri" w:hAnsi="Calibri" w:cs="Calibri"/>
          <w:b/>
          <w:bCs/>
          <w:i/>
          <w:iCs/>
        </w:rPr>
        <w:t>1.4.8.</w:t>
      </w:r>
      <w:r w:rsidRPr="00203191">
        <w:rPr>
          <w:rFonts w:ascii="Calibri" w:hAnsi="Calibri" w:cs="Calibri"/>
        </w:rPr>
        <w:t xml:space="preserve"> Kierownik budowy - osoba wyznaczona przez Wykonawcę, upoważniona do kierowania robotami i do występowania w jego imieniu w sprawach realizacji kontraktu.</w:t>
      </w:r>
    </w:p>
    <w:p w:rsidR="00656AC1" w:rsidRPr="00203191" w:rsidRDefault="00656AC1" w:rsidP="00364E4D">
      <w:pPr>
        <w:pStyle w:val="Nagwek7"/>
        <w:rPr>
          <w:rFonts w:ascii="Calibri" w:hAnsi="Calibri" w:cs="Calibri"/>
        </w:rPr>
      </w:pPr>
      <w:r w:rsidRPr="00203191">
        <w:rPr>
          <w:rFonts w:ascii="Calibri" w:hAnsi="Calibri" w:cs="Calibri"/>
          <w:b/>
          <w:bCs/>
          <w:i/>
          <w:iCs/>
        </w:rPr>
        <w:t>1.4.9.</w:t>
      </w:r>
      <w:r w:rsidRPr="00203191">
        <w:rPr>
          <w:rFonts w:ascii="Calibri" w:hAnsi="Calibri" w:cs="Calibri"/>
        </w:rPr>
        <w:t xml:space="preserve"> Korona drogi - jezdnia (jezdnie) z poboczami lub chodnikami, zatokami, pasami awaryjnego postoju i pasami dzielącymi jezdnie.</w:t>
      </w:r>
    </w:p>
    <w:p w:rsidR="00656AC1" w:rsidRPr="00203191" w:rsidRDefault="00656AC1" w:rsidP="00364E4D">
      <w:pPr>
        <w:pStyle w:val="Nagwek7"/>
        <w:rPr>
          <w:rFonts w:ascii="Calibri" w:hAnsi="Calibri" w:cs="Calibri"/>
        </w:rPr>
      </w:pPr>
      <w:r w:rsidRPr="00203191">
        <w:rPr>
          <w:rFonts w:ascii="Calibri" w:hAnsi="Calibri" w:cs="Calibri"/>
          <w:b/>
          <w:bCs/>
          <w:i/>
          <w:iCs/>
        </w:rPr>
        <w:t>1.4.10.</w:t>
      </w:r>
      <w:r w:rsidRPr="00203191">
        <w:rPr>
          <w:rFonts w:ascii="Calibri" w:hAnsi="Calibri" w:cs="Calibri"/>
        </w:rPr>
        <w:t xml:space="preserve"> Konstrukcja nawierzchni - układ warstw nawierzchni wraz ze sposobem ich połączenia.</w:t>
      </w:r>
    </w:p>
    <w:p w:rsidR="00656AC1" w:rsidRPr="00203191" w:rsidRDefault="00656AC1" w:rsidP="00364E4D">
      <w:pPr>
        <w:pStyle w:val="Nagwek7"/>
        <w:rPr>
          <w:rFonts w:ascii="Calibri" w:hAnsi="Calibri" w:cs="Calibri"/>
        </w:rPr>
      </w:pPr>
      <w:r w:rsidRPr="00203191">
        <w:rPr>
          <w:rFonts w:ascii="Calibri" w:hAnsi="Calibri" w:cs="Calibri"/>
          <w:b/>
          <w:bCs/>
          <w:i/>
          <w:iCs/>
        </w:rPr>
        <w:t>1.4.11.</w:t>
      </w:r>
      <w:r w:rsidRPr="00203191">
        <w:rPr>
          <w:rFonts w:ascii="Calibri" w:hAnsi="Calibri" w:cs="Calibri"/>
        </w:rPr>
        <w:t xml:space="preserve"> Korpus drogowy - nasyp lub ta część wykopu, która jest ograniczona koroną drogi i skarpami rowów.</w:t>
      </w:r>
    </w:p>
    <w:p w:rsidR="00656AC1" w:rsidRPr="00203191" w:rsidRDefault="00656AC1" w:rsidP="00364E4D">
      <w:pPr>
        <w:pStyle w:val="Nagwek7"/>
        <w:rPr>
          <w:rFonts w:ascii="Calibri" w:hAnsi="Calibri" w:cs="Calibri"/>
        </w:rPr>
      </w:pPr>
      <w:r w:rsidRPr="00203191">
        <w:rPr>
          <w:rFonts w:ascii="Calibri" w:hAnsi="Calibri" w:cs="Calibri"/>
          <w:b/>
          <w:bCs/>
          <w:i/>
          <w:iCs/>
        </w:rPr>
        <w:t>1.4.12.</w:t>
      </w:r>
      <w:r w:rsidRPr="00203191">
        <w:rPr>
          <w:rFonts w:ascii="Calibri" w:hAnsi="Calibri" w:cs="Calibri"/>
        </w:rPr>
        <w:t xml:space="preserve"> Koryto - element uformowany w korpusie drogowym w celu ułożenia w nim konstrukcji nawierzchni.</w:t>
      </w:r>
    </w:p>
    <w:p w:rsidR="00656AC1" w:rsidRPr="00203191" w:rsidRDefault="00656AC1" w:rsidP="00364E4D">
      <w:pPr>
        <w:pStyle w:val="Nagwek7"/>
        <w:rPr>
          <w:rFonts w:ascii="Calibri" w:hAnsi="Calibri" w:cs="Calibri"/>
        </w:rPr>
      </w:pPr>
      <w:r w:rsidRPr="00203191">
        <w:rPr>
          <w:rFonts w:ascii="Calibri" w:hAnsi="Calibri" w:cs="Calibri"/>
          <w:b/>
          <w:bCs/>
          <w:i/>
          <w:iCs/>
        </w:rPr>
        <w:t>1.4.13.</w:t>
      </w:r>
      <w:r w:rsidRPr="00203191">
        <w:rPr>
          <w:rFonts w:ascii="Calibri" w:hAnsi="Calibri" w:cs="Calibri"/>
        </w:rPr>
        <w:t xml:space="preserve"> Książka obmiarów - akceptowany przez Inżyniera zeszyt z ponumerowanymi stronami, służący do wpisywania przez Wykonawcę obmiaru dokonywanych robót w formie wyliczeń, szkiców i ew. dodatkowych załączników. Wpisy w książce obmiarów podlegają potwierdzeniu przez Inżyniera.</w:t>
      </w:r>
    </w:p>
    <w:p w:rsidR="00656AC1" w:rsidRPr="00203191" w:rsidRDefault="00656AC1" w:rsidP="00364E4D">
      <w:pPr>
        <w:pStyle w:val="Nagwek7"/>
        <w:rPr>
          <w:rFonts w:ascii="Calibri" w:hAnsi="Calibri" w:cs="Calibri"/>
        </w:rPr>
      </w:pPr>
      <w:r w:rsidRPr="00203191">
        <w:rPr>
          <w:rFonts w:ascii="Calibri" w:hAnsi="Calibri" w:cs="Calibri"/>
          <w:b/>
          <w:bCs/>
          <w:i/>
          <w:iCs/>
        </w:rPr>
        <w:t>1.4.14.</w:t>
      </w:r>
      <w:r w:rsidRPr="00203191">
        <w:rPr>
          <w:rFonts w:ascii="Calibri" w:hAnsi="Calibri" w:cs="Calibri"/>
        </w:rPr>
        <w:t xml:space="preserve"> Laboratorium - drogowe lub inne laboratorium badawcze, zaakceptowane przez Zamawiającego, niezbędne do przeprowadzenia wszelkich badań i prób związanych z oceną jakości materiałów oraz robót.</w:t>
      </w:r>
    </w:p>
    <w:p w:rsidR="00656AC1" w:rsidRPr="00203191" w:rsidRDefault="00656AC1" w:rsidP="00364E4D">
      <w:pPr>
        <w:pStyle w:val="Nagwek7"/>
        <w:rPr>
          <w:rFonts w:ascii="Calibri" w:hAnsi="Calibri" w:cs="Calibri"/>
        </w:rPr>
      </w:pPr>
      <w:r w:rsidRPr="00203191">
        <w:rPr>
          <w:rFonts w:ascii="Calibri" w:hAnsi="Calibri" w:cs="Calibri"/>
          <w:b/>
          <w:bCs/>
          <w:i/>
          <w:iCs/>
        </w:rPr>
        <w:t>1.4.15.</w:t>
      </w:r>
      <w:r w:rsidRPr="00203191">
        <w:rPr>
          <w:rFonts w:ascii="Calibri" w:hAnsi="Calibri" w:cs="Calibri"/>
        </w:rPr>
        <w:t xml:space="preserve"> </w:t>
      </w:r>
      <w:r w:rsidR="00A95FEE">
        <w:rPr>
          <w:rFonts w:ascii="Calibri" w:hAnsi="Calibri" w:cs="Calibri"/>
        </w:rPr>
        <w:t>Wyroby budowlane</w:t>
      </w:r>
      <w:r w:rsidRPr="00203191">
        <w:rPr>
          <w:rFonts w:ascii="Calibri" w:hAnsi="Calibri" w:cs="Calibri"/>
        </w:rPr>
        <w:t xml:space="preserve"> - wszelkie tworzywa niezbędne do wykonania robót, zgodne z dokumentacją projektową i specyfikacjami technicznymi, zaakceptowane przez Inżyniera.</w:t>
      </w:r>
    </w:p>
    <w:p w:rsidR="00656AC1" w:rsidRPr="00203191" w:rsidRDefault="00656AC1" w:rsidP="00364E4D">
      <w:pPr>
        <w:pStyle w:val="Nagwek7"/>
        <w:rPr>
          <w:rFonts w:ascii="Calibri" w:hAnsi="Calibri" w:cs="Calibri"/>
        </w:rPr>
      </w:pPr>
      <w:r w:rsidRPr="00203191">
        <w:rPr>
          <w:rFonts w:ascii="Calibri" w:hAnsi="Calibri" w:cs="Calibri"/>
          <w:b/>
          <w:bCs/>
          <w:i/>
          <w:iCs/>
        </w:rPr>
        <w:lastRenderedPageBreak/>
        <w:t>1.4.16.</w:t>
      </w:r>
      <w:r w:rsidRPr="00203191">
        <w:rPr>
          <w:rFonts w:ascii="Calibri" w:hAnsi="Calibri" w:cs="Calibri"/>
        </w:rPr>
        <w:t xml:space="preserve"> Nawierzchnia - warstwa lub zespół warstw służących do przejmowania i rozkładania obciążeń od ruchu na podłoże gruntowe i zapewniających dogodne warunki dla ruchu.</w:t>
      </w:r>
    </w:p>
    <w:p w:rsidR="00656AC1" w:rsidRPr="00203191" w:rsidRDefault="00656AC1" w:rsidP="00364E4D">
      <w:pPr>
        <w:pStyle w:val="Nagwek7"/>
        <w:rPr>
          <w:rFonts w:ascii="Calibri" w:hAnsi="Calibri" w:cs="Calibri"/>
        </w:rPr>
      </w:pPr>
      <w:r w:rsidRPr="00203191">
        <w:rPr>
          <w:rFonts w:ascii="Calibri" w:hAnsi="Calibri" w:cs="Calibri"/>
        </w:rPr>
        <w:t>Warstwa ścieralna - górna warstwa nawierzchni poddana bezpośrednio oddziaływaniu ruchu i czynników atmosferycznych.</w:t>
      </w:r>
    </w:p>
    <w:p w:rsidR="00656AC1" w:rsidRPr="00203191" w:rsidRDefault="00656AC1" w:rsidP="00364E4D">
      <w:pPr>
        <w:pStyle w:val="Nagwek7"/>
        <w:rPr>
          <w:rFonts w:ascii="Calibri" w:hAnsi="Calibri" w:cs="Calibri"/>
        </w:rPr>
      </w:pPr>
      <w:r w:rsidRPr="00203191">
        <w:rPr>
          <w:rFonts w:ascii="Calibri" w:hAnsi="Calibri" w:cs="Calibri"/>
        </w:rPr>
        <w:t>Warstwa wiążąca - warstwa znajdująca się między warstwą ścieralną a podbudową, zapewniająca lepsze rozłożenie naprężeń w nawierzchni i przekazywanie ich na podbudowę.</w:t>
      </w:r>
    </w:p>
    <w:p w:rsidR="00656AC1" w:rsidRPr="00203191" w:rsidRDefault="00656AC1" w:rsidP="00364E4D">
      <w:pPr>
        <w:pStyle w:val="Nagwek7"/>
        <w:rPr>
          <w:rFonts w:ascii="Calibri" w:hAnsi="Calibri" w:cs="Calibri"/>
        </w:rPr>
      </w:pPr>
      <w:r w:rsidRPr="00203191">
        <w:rPr>
          <w:rFonts w:ascii="Calibri" w:hAnsi="Calibri" w:cs="Calibri"/>
        </w:rPr>
        <w:t>Podbudowa - dolna część nawierzchni służąca do przenoszenia obciążeń od ruchu na podłoże. Podbudowa może składać się z podbudowy zasadniczej i podbudowy pomocniczej.</w:t>
      </w:r>
    </w:p>
    <w:p w:rsidR="00656AC1" w:rsidRPr="00203191" w:rsidRDefault="00656AC1" w:rsidP="00364E4D">
      <w:pPr>
        <w:pStyle w:val="Nagwek7"/>
        <w:rPr>
          <w:rFonts w:ascii="Calibri" w:hAnsi="Calibri" w:cs="Calibri"/>
        </w:rPr>
      </w:pPr>
      <w:r w:rsidRPr="00203191">
        <w:rPr>
          <w:rFonts w:ascii="Calibri" w:hAnsi="Calibri" w:cs="Calibri"/>
        </w:rPr>
        <w:t>Podbudowa zasadnicza - górna część podbudowy spełniająca funkcje nośne w konstrukcji nawierzchni. Może ona składać się z jednej lub dwóch warstw.</w:t>
      </w:r>
    </w:p>
    <w:p w:rsidR="00656AC1" w:rsidRPr="00203191" w:rsidRDefault="00656AC1" w:rsidP="00364E4D">
      <w:pPr>
        <w:pStyle w:val="Nagwek7"/>
        <w:rPr>
          <w:rFonts w:ascii="Calibri" w:hAnsi="Calibri" w:cs="Calibri"/>
        </w:rPr>
      </w:pPr>
      <w:r w:rsidRPr="00203191">
        <w:rPr>
          <w:rFonts w:ascii="Calibri" w:hAnsi="Calibri" w:cs="Calibri"/>
        </w:rPr>
        <w:t>Podbudowa pomocnicza - dolna część podbudowy spełniająca, obok funkcji nośnych, funkcje zabezpieczenia nawierzchni przed działaniem wody, mrozu i przenikaniem cząstek podłoża nawierzchni leżącej powyżej.</w:t>
      </w:r>
    </w:p>
    <w:p w:rsidR="00656AC1" w:rsidRPr="00203191" w:rsidRDefault="00656AC1" w:rsidP="00364E4D">
      <w:pPr>
        <w:pStyle w:val="Nagwek7"/>
        <w:rPr>
          <w:rFonts w:ascii="Calibri" w:hAnsi="Calibri" w:cs="Calibri"/>
        </w:rPr>
      </w:pPr>
      <w:r w:rsidRPr="00203191">
        <w:rPr>
          <w:rFonts w:ascii="Calibri" w:hAnsi="Calibri" w:cs="Calibri"/>
          <w:b/>
          <w:bCs/>
          <w:i/>
          <w:iCs/>
        </w:rPr>
        <w:t>1.4.17.</w:t>
      </w:r>
      <w:r w:rsidRPr="00203191">
        <w:rPr>
          <w:rFonts w:ascii="Calibri" w:hAnsi="Calibri" w:cs="Calibri"/>
        </w:rPr>
        <w:t xml:space="preserve"> Niweleta - wysokościowe i geometryczne rozwinięcie na płaszczyźnie pionowego przekroju w osi drogi.</w:t>
      </w:r>
    </w:p>
    <w:p w:rsidR="00656AC1" w:rsidRPr="00203191" w:rsidRDefault="00656AC1" w:rsidP="00364E4D">
      <w:pPr>
        <w:pStyle w:val="Nagwek7"/>
        <w:rPr>
          <w:rFonts w:ascii="Calibri" w:hAnsi="Calibri" w:cs="Calibri"/>
        </w:rPr>
      </w:pPr>
      <w:r w:rsidRPr="00203191">
        <w:rPr>
          <w:rFonts w:ascii="Calibri" w:hAnsi="Calibri" w:cs="Calibri"/>
          <w:b/>
          <w:bCs/>
          <w:i/>
          <w:iCs/>
        </w:rPr>
        <w:t>1.4.18.</w:t>
      </w:r>
      <w:r w:rsidRPr="00203191">
        <w:rPr>
          <w:rFonts w:ascii="Calibri" w:hAnsi="Calibri" w:cs="Calibri"/>
        </w:rPr>
        <w:t xml:space="preserve"> Odpowiednia (bliska) zgodność - zgodność wykonywanych robót z dopuszczonymi tolerancjami, a jeśli przedział tolerancji nie został określony - z przeciętnymi tolerancjami, przyjmowanymi zwyczajowo dla danego rodzaju robót budowlanych.</w:t>
      </w:r>
    </w:p>
    <w:p w:rsidR="00656AC1" w:rsidRPr="00203191" w:rsidRDefault="00656AC1" w:rsidP="00364E4D">
      <w:pPr>
        <w:pStyle w:val="Nagwek7"/>
        <w:rPr>
          <w:rFonts w:ascii="Calibri" w:hAnsi="Calibri" w:cs="Calibri"/>
        </w:rPr>
      </w:pPr>
      <w:r w:rsidRPr="00203191">
        <w:rPr>
          <w:rFonts w:ascii="Calibri" w:hAnsi="Calibri" w:cs="Calibri"/>
          <w:b/>
          <w:bCs/>
          <w:i/>
          <w:iCs/>
        </w:rPr>
        <w:t>1.4.19.</w:t>
      </w:r>
      <w:r w:rsidRPr="00203191">
        <w:rPr>
          <w:rFonts w:ascii="Calibri" w:hAnsi="Calibri" w:cs="Calibri"/>
        </w:rPr>
        <w:t xml:space="preserve"> 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656AC1" w:rsidRPr="00203191" w:rsidRDefault="00656AC1" w:rsidP="00364E4D">
      <w:pPr>
        <w:pStyle w:val="Nagwek7"/>
        <w:rPr>
          <w:rFonts w:ascii="Calibri" w:hAnsi="Calibri" w:cs="Calibri"/>
        </w:rPr>
      </w:pPr>
      <w:r w:rsidRPr="00203191">
        <w:rPr>
          <w:rFonts w:ascii="Calibri" w:hAnsi="Calibri" w:cs="Calibri"/>
          <w:b/>
          <w:bCs/>
          <w:i/>
          <w:iCs/>
        </w:rPr>
        <w:t>1.4.20.</w:t>
      </w:r>
      <w:r w:rsidRPr="00203191">
        <w:rPr>
          <w:rFonts w:ascii="Calibri" w:hAnsi="Calibri" w:cs="Calibri"/>
        </w:rPr>
        <w:t xml:space="preserve"> Pobocze - część korony drogi przeznaczona do chwilowego postoju pojazdów, umieszczenia urządzeń organizacji i bezpieczeństwa ruchu oraz do ruchu pieszych, służąca jednocześnie do bocznego oparcia konstrukcji nawierzchni.</w:t>
      </w:r>
    </w:p>
    <w:p w:rsidR="00656AC1" w:rsidRPr="00203191" w:rsidRDefault="00656AC1" w:rsidP="00364E4D">
      <w:pPr>
        <w:pStyle w:val="Nagwek7"/>
        <w:rPr>
          <w:rFonts w:ascii="Calibri" w:hAnsi="Calibri" w:cs="Calibri"/>
        </w:rPr>
      </w:pPr>
      <w:r w:rsidRPr="00203191">
        <w:rPr>
          <w:rFonts w:ascii="Calibri" w:hAnsi="Calibri" w:cs="Calibri"/>
          <w:b/>
          <w:bCs/>
          <w:i/>
          <w:iCs/>
        </w:rPr>
        <w:t>1.4.21.</w:t>
      </w:r>
      <w:r w:rsidRPr="00203191">
        <w:rPr>
          <w:rFonts w:ascii="Calibri" w:hAnsi="Calibri" w:cs="Calibri"/>
        </w:rPr>
        <w:t xml:space="preserve"> Podłoże nawierzchni - grunt rodzimy lub nasypowy, leżący pod nawierzchnią do głębokości przemarzania.</w:t>
      </w:r>
    </w:p>
    <w:p w:rsidR="00656AC1" w:rsidRPr="00203191" w:rsidRDefault="00656AC1" w:rsidP="00364E4D">
      <w:pPr>
        <w:pStyle w:val="Nagwek7"/>
        <w:rPr>
          <w:rFonts w:ascii="Calibri" w:hAnsi="Calibri" w:cs="Calibri"/>
        </w:rPr>
      </w:pPr>
      <w:r w:rsidRPr="00203191">
        <w:rPr>
          <w:rFonts w:ascii="Calibri" w:hAnsi="Calibri" w:cs="Calibri"/>
          <w:b/>
          <w:bCs/>
          <w:i/>
          <w:iCs/>
        </w:rPr>
        <w:t>1.4.22.</w:t>
      </w:r>
      <w:r w:rsidRPr="00203191">
        <w:rPr>
          <w:rFonts w:ascii="Calibri" w:hAnsi="Calibri" w:cs="Calibri"/>
        </w:rPr>
        <w:t xml:space="preserve"> Podłoże ulepszone nawierzchni - górna warstwa podłoża, leżąca bezpośrednio pod nawierzchnią, ulepszona w celu umożliwienia przejęcia ruchu budowlanego i właściwego wykonania nawierzchni.</w:t>
      </w:r>
    </w:p>
    <w:p w:rsidR="00656AC1" w:rsidRPr="00203191" w:rsidRDefault="00656AC1" w:rsidP="00364E4D">
      <w:pPr>
        <w:pStyle w:val="Nagwek7"/>
        <w:rPr>
          <w:rFonts w:ascii="Calibri" w:hAnsi="Calibri" w:cs="Calibri"/>
        </w:rPr>
      </w:pPr>
      <w:r w:rsidRPr="00203191">
        <w:rPr>
          <w:rFonts w:ascii="Calibri" w:hAnsi="Calibri" w:cs="Calibri"/>
          <w:b/>
          <w:bCs/>
          <w:i/>
          <w:iCs/>
        </w:rPr>
        <w:t>1.4.23.</w:t>
      </w:r>
      <w:r w:rsidRPr="00203191">
        <w:rPr>
          <w:rFonts w:ascii="Calibri" w:hAnsi="Calibri" w:cs="Calibri"/>
        </w:rPr>
        <w:t xml:space="preserve"> Polecenie Inżyniera - wszelkie polecenia przekazane Wykonawcy przez Inżyniera, w formie pisemnej, dotyczące sposobu realizacji robót lub innych spraw związanych z prowadzeniem budowy.</w:t>
      </w:r>
    </w:p>
    <w:p w:rsidR="00656AC1" w:rsidRPr="00203191" w:rsidRDefault="00656AC1" w:rsidP="00364E4D">
      <w:pPr>
        <w:pStyle w:val="Nagwek7"/>
        <w:rPr>
          <w:rFonts w:ascii="Calibri" w:hAnsi="Calibri" w:cs="Calibri"/>
        </w:rPr>
      </w:pPr>
      <w:r w:rsidRPr="00203191">
        <w:rPr>
          <w:rFonts w:ascii="Calibri" w:hAnsi="Calibri" w:cs="Calibri"/>
          <w:b/>
          <w:bCs/>
          <w:i/>
          <w:iCs/>
        </w:rPr>
        <w:t>1.4.24.</w:t>
      </w:r>
      <w:r w:rsidRPr="00203191">
        <w:rPr>
          <w:rFonts w:ascii="Calibri" w:hAnsi="Calibri" w:cs="Calibri"/>
        </w:rPr>
        <w:t xml:space="preserve"> Projektant - uprawniona osoba prawna lub fizyczna będąca autorem dokumentacji projektowej.</w:t>
      </w:r>
    </w:p>
    <w:p w:rsidR="00656AC1" w:rsidRPr="00203191" w:rsidRDefault="00656AC1" w:rsidP="00364E4D">
      <w:pPr>
        <w:pStyle w:val="Nagwek7"/>
        <w:rPr>
          <w:rFonts w:ascii="Calibri" w:hAnsi="Calibri" w:cs="Calibri"/>
        </w:rPr>
      </w:pPr>
      <w:r w:rsidRPr="00203191">
        <w:rPr>
          <w:rFonts w:ascii="Calibri" w:hAnsi="Calibri" w:cs="Calibri"/>
          <w:b/>
          <w:bCs/>
          <w:i/>
          <w:iCs/>
        </w:rPr>
        <w:t>1.4.25.</w:t>
      </w:r>
      <w:r w:rsidRPr="00203191">
        <w:rPr>
          <w:rFonts w:ascii="Calibri" w:hAnsi="Calibri" w:cs="Calibri"/>
        </w:rPr>
        <w:t xml:space="preserve"> Przedsięwzięcie budowlane - kompleksowa realizacja nowego połączenia drogowego lub całkowita modernizacja/przebudowa (zmiana parametrów geometrycznych trasy w planie i przekroju podłużnym) istniejącego połączenia.</w:t>
      </w:r>
    </w:p>
    <w:p w:rsidR="00656AC1" w:rsidRPr="00203191" w:rsidRDefault="00656AC1" w:rsidP="00364E4D">
      <w:pPr>
        <w:pStyle w:val="Nagwek7"/>
        <w:rPr>
          <w:rFonts w:ascii="Calibri" w:hAnsi="Calibri" w:cs="Calibri"/>
        </w:rPr>
      </w:pPr>
      <w:r w:rsidRPr="00203191">
        <w:rPr>
          <w:rFonts w:ascii="Calibri" w:hAnsi="Calibri" w:cs="Calibri"/>
          <w:b/>
          <w:bCs/>
          <w:i/>
          <w:iCs/>
        </w:rPr>
        <w:t>1.4.26.</w:t>
      </w:r>
      <w:r w:rsidRPr="00203191">
        <w:rPr>
          <w:rFonts w:ascii="Calibri" w:hAnsi="Calibri" w:cs="Calibri"/>
        </w:rPr>
        <w:t xml:space="preserve"> Przetargowa dokumentacja projektowa - część dokumentacji projektowej, która wskazuje lokalizację, charakterystykę i wymiary obiektu będącego przedmiotem robót.</w:t>
      </w:r>
    </w:p>
    <w:p w:rsidR="00656AC1" w:rsidRPr="00203191" w:rsidRDefault="00656AC1" w:rsidP="00364E4D">
      <w:pPr>
        <w:pStyle w:val="Nagwek7"/>
        <w:rPr>
          <w:rFonts w:ascii="Calibri" w:hAnsi="Calibri" w:cs="Calibri"/>
        </w:rPr>
      </w:pPr>
      <w:r w:rsidRPr="00203191">
        <w:rPr>
          <w:rFonts w:ascii="Calibri" w:hAnsi="Calibri" w:cs="Calibri"/>
          <w:b/>
          <w:bCs/>
          <w:i/>
          <w:iCs/>
        </w:rPr>
        <w:t>1.4.27.</w:t>
      </w:r>
      <w:r w:rsidRPr="00203191">
        <w:rPr>
          <w:rFonts w:ascii="Calibri" w:hAnsi="Calibri" w:cs="Calibri"/>
        </w:rPr>
        <w:t xml:space="preserve"> Rekultywacja - roboty mające na celu uporządkowanie i przywrócenie pierwotnych funkcji terenom naruszonym w czasie realizacji zadania budowlanego.</w:t>
      </w:r>
    </w:p>
    <w:p w:rsidR="00656AC1" w:rsidRPr="00203191" w:rsidRDefault="00656AC1" w:rsidP="00364E4D">
      <w:pPr>
        <w:pStyle w:val="Nagwek7"/>
        <w:rPr>
          <w:rFonts w:ascii="Calibri" w:hAnsi="Calibri" w:cs="Calibri"/>
        </w:rPr>
      </w:pPr>
      <w:r w:rsidRPr="00203191">
        <w:rPr>
          <w:rFonts w:ascii="Calibri" w:hAnsi="Calibri" w:cs="Calibri"/>
          <w:b/>
          <w:bCs/>
          <w:i/>
          <w:iCs/>
        </w:rPr>
        <w:t>1.4.28.</w:t>
      </w:r>
      <w:r w:rsidRPr="00203191">
        <w:rPr>
          <w:rFonts w:ascii="Calibri" w:hAnsi="Calibri" w:cs="Calibri"/>
        </w:rPr>
        <w:t xml:space="preserve"> Ślepy kosztorys - wykaz robót z podaniem ich ilości (przedmiarem) w kolejności technologicznej ich wykonania.</w:t>
      </w:r>
    </w:p>
    <w:p w:rsidR="00656AC1" w:rsidRPr="00203191" w:rsidRDefault="00656AC1" w:rsidP="00364E4D">
      <w:pPr>
        <w:pStyle w:val="Nagwek7"/>
        <w:rPr>
          <w:rFonts w:ascii="Calibri" w:hAnsi="Calibri" w:cs="Calibri"/>
        </w:rPr>
      </w:pPr>
      <w:r w:rsidRPr="00203191">
        <w:rPr>
          <w:rFonts w:ascii="Calibri" w:hAnsi="Calibri" w:cs="Calibri"/>
          <w:b/>
          <w:bCs/>
          <w:i/>
          <w:iCs/>
        </w:rPr>
        <w:t>1.4.29.</w:t>
      </w:r>
      <w:r w:rsidRPr="00203191">
        <w:rPr>
          <w:rFonts w:ascii="Calibri" w:hAnsi="Calibri" w:cs="Calibri"/>
        </w:rPr>
        <w:t xml:space="preserve"> Teren budowy - teren udostępniony przez Zamawiającego dla wykonania na nim robót oraz inne miejsca wymienione w kontrakcie jako tworzące część terenu budowy.</w:t>
      </w:r>
    </w:p>
    <w:p w:rsidR="00656AC1" w:rsidRPr="00203191" w:rsidRDefault="00656AC1" w:rsidP="00364E4D">
      <w:pPr>
        <w:pStyle w:val="Nagwek7"/>
        <w:rPr>
          <w:rFonts w:ascii="Calibri" w:hAnsi="Calibri" w:cs="Calibri"/>
        </w:rPr>
      </w:pPr>
      <w:r w:rsidRPr="00203191">
        <w:rPr>
          <w:rFonts w:ascii="Calibri" w:hAnsi="Calibri" w:cs="Calibri"/>
          <w:b/>
          <w:bCs/>
          <w:i/>
          <w:iCs/>
        </w:rPr>
        <w:t>1.4.30.</w:t>
      </w:r>
      <w:r w:rsidRPr="00203191">
        <w:rPr>
          <w:rFonts w:ascii="Calibri" w:hAnsi="Calibri" w:cs="Calibri"/>
        </w:rPr>
        <w:t xml:space="preserve"> 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rsidR="00656AC1" w:rsidRPr="00203191" w:rsidRDefault="00656AC1" w:rsidP="00364E4D">
      <w:pPr>
        <w:pStyle w:val="Nagwek4"/>
        <w:rPr>
          <w:rFonts w:ascii="Calibri" w:hAnsi="Calibri" w:cs="Calibri"/>
        </w:rPr>
      </w:pPr>
      <w:r w:rsidRPr="00203191">
        <w:rPr>
          <w:rFonts w:ascii="Calibri" w:hAnsi="Calibri" w:cs="Calibri"/>
        </w:rPr>
        <w:t>1.5. Ogólne wymagania dotyczące robót</w:t>
      </w:r>
    </w:p>
    <w:p w:rsidR="00656AC1" w:rsidRPr="00203191" w:rsidRDefault="00656AC1" w:rsidP="00364E4D">
      <w:pPr>
        <w:rPr>
          <w:rFonts w:ascii="Calibri" w:hAnsi="Calibri" w:cs="Calibri"/>
        </w:rPr>
      </w:pPr>
      <w:r w:rsidRPr="00203191">
        <w:rPr>
          <w:rFonts w:ascii="Calibri" w:hAnsi="Calibri" w:cs="Calibri"/>
        </w:rPr>
        <w:t xml:space="preserve">Wykonawca jest odpowiedzialny za jakość wykonanych robót, bezpieczeństwo wszelkich czynności na terenie budowy, metody użyte przy budowie oraz za ich zgodność z dokumentacją projektową, </w:t>
      </w:r>
      <w:r w:rsidR="005B48CA">
        <w:rPr>
          <w:rFonts w:ascii="Calibri" w:hAnsi="Calibri" w:cs="Calibri"/>
        </w:rPr>
        <w:t>STWiORB</w:t>
      </w:r>
      <w:r w:rsidRPr="00203191">
        <w:rPr>
          <w:rFonts w:ascii="Calibri" w:hAnsi="Calibri" w:cs="Calibri"/>
        </w:rPr>
        <w:t xml:space="preserve"> i poleceniami Inżyniera.</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1.5.1. Przekazanie terenu budowy</w:t>
      </w:r>
    </w:p>
    <w:p w:rsidR="00656AC1" w:rsidRPr="00203191" w:rsidRDefault="00656AC1" w:rsidP="00364E4D">
      <w:pPr>
        <w:rPr>
          <w:rFonts w:ascii="Calibri" w:hAnsi="Calibri" w:cs="Calibri"/>
        </w:rPr>
      </w:pPr>
      <w:r w:rsidRPr="00203191">
        <w:rPr>
          <w:rFonts w:ascii="Calibri" w:hAnsi="Calibri" w:cs="Calibri"/>
        </w:rPr>
        <w:t xml:space="preserve">Zamawiający w terminie określonym w dokumentach kontraktowych przekaże Wykonawcy teren budowy wraz ze wszystkimi wymaganymi uzgodnieniami prawnymi i administracyjnymi, lokalizację i współrzędne punktów </w:t>
      </w:r>
      <w:r w:rsidRPr="00203191">
        <w:rPr>
          <w:rFonts w:ascii="Calibri" w:hAnsi="Calibri" w:cs="Calibri"/>
        </w:rPr>
        <w:lastRenderedPageBreak/>
        <w:t xml:space="preserve">głównych trasy oraz reperów, dziennik budowy oraz dwa egzemplarze dokumentacji projektowej i dwa komplety </w:t>
      </w:r>
      <w:r w:rsidR="005B48CA">
        <w:rPr>
          <w:rFonts w:ascii="Calibri" w:hAnsi="Calibri" w:cs="Calibri"/>
        </w:rPr>
        <w:t>STWiORB</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Na Wykonawcy spoczywa odpowiedzialność za ochronę przekazanych mu punktów pomiarowych do chwili odbioru ostatecznego robót. Uszkodzone lub zniszczone znaki geodezyjne Wykonawca odtworzy i utrwali na własny koszt.</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1.5.2. Dokumentacja projektowa</w:t>
      </w:r>
    </w:p>
    <w:p w:rsidR="00656AC1" w:rsidRPr="00203191" w:rsidRDefault="00656AC1" w:rsidP="00364E4D">
      <w:pPr>
        <w:rPr>
          <w:rFonts w:ascii="Calibri" w:hAnsi="Calibri" w:cs="Calibri"/>
        </w:rPr>
      </w:pPr>
      <w:r w:rsidRPr="00203191">
        <w:rPr>
          <w:rFonts w:ascii="Calibri" w:hAnsi="Calibri" w:cs="Calibri"/>
        </w:rPr>
        <w:t>Dokumentacja projektowa będzie zawierać rysunki, obliczenia i dokumenty, zgodne z wykazem podanym w szczegółowych warunkach umowy.</w:t>
      </w:r>
    </w:p>
    <w:p w:rsidR="00656AC1" w:rsidRPr="00203191" w:rsidRDefault="00656AC1" w:rsidP="00364E4D">
      <w:pPr>
        <w:pStyle w:val="Nagwek7"/>
        <w:rPr>
          <w:rFonts w:ascii="Calibri" w:hAnsi="Calibri" w:cs="Calibri"/>
          <w:b/>
          <w:bCs/>
          <w:i/>
          <w:iCs/>
        </w:rPr>
      </w:pPr>
      <w:r w:rsidRPr="00203191">
        <w:rPr>
          <w:rFonts w:ascii="Calibri" w:hAnsi="Calibri" w:cs="Calibri"/>
          <w:b/>
          <w:bCs/>
          <w:i/>
          <w:iCs/>
        </w:rPr>
        <w:t xml:space="preserve">1.5.3. Zgodność robót z dokumentacją projektową i </w:t>
      </w:r>
      <w:r w:rsidR="005B48CA">
        <w:rPr>
          <w:rFonts w:ascii="Calibri" w:hAnsi="Calibri" w:cs="Calibri"/>
          <w:b/>
          <w:bCs/>
          <w:i/>
          <w:iCs/>
        </w:rPr>
        <w:t>STWiORB</w:t>
      </w:r>
    </w:p>
    <w:p w:rsidR="00656AC1" w:rsidRPr="00203191" w:rsidRDefault="00656AC1" w:rsidP="00364E4D">
      <w:pPr>
        <w:rPr>
          <w:rFonts w:ascii="Calibri" w:hAnsi="Calibri" w:cs="Calibri"/>
        </w:rPr>
      </w:pPr>
      <w:r w:rsidRPr="00203191">
        <w:rPr>
          <w:rFonts w:ascii="Calibri" w:hAnsi="Calibri" w:cs="Calibri"/>
        </w:rPr>
        <w:t xml:space="preserve">Dokumentacja projektowa, </w:t>
      </w:r>
      <w:r w:rsidR="005B48CA">
        <w:rPr>
          <w:rFonts w:ascii="Calibri" w:hAnsi="Calibri" w:cs="Calibri"/>
        </w:rPr>
        <w:t>STWiORB</w:t>
      </w:r>
      <w:r w:rsidRPr="00203191">
        <w:rPr>
          <w:rFonts w:ascii="Calibri" w:hAnsi="Calibri" w:cs="Calibri"/>
        </w:rPr>
        <w:t xml:space="preserve"> i wszystkie dodatkowe dokumenty przekazane Wykonawcy przez Inżyniera stanowią część umowy, a wymagania określone w choćby jednym z nich są obowiązujące dla Wykonawcy tak jakby zawarte były w całej dokumentacji.</w:t>
      </w:r>
    </w:p>
    <w:p w:rsidR="00656AC1" w:rsidRPr="00203191" w:rsidRDefault="00656AC1" w:rsidP="00364E4D">
      <w:pPr>
        <w:rPr>
          <w:rFonts w:ascii="Calibri" w:hAnsi="Calibri" w:cs="Calibri"/>
        </w:rPr>
      </w:pPr>
      <w:r w:rsidRPr="00203191">
        <w:rPr>
          <w:rFonts w:ascii="Calibri" w:hAnsi="Calibri" w:cs="Calibri"/>
        </w:rPr>
        <w:t>W przypadku rozbieżności w ustaleniach poszczególnych dokumentów obowiązuje kolejność ich ważności wymieniona w „Ogólnych warunkach umowy”.</w:t>
      </w:r>
    </w:p>
    <w:p w:rsidR="00656AC1" w:rsidRPr="00203191" w:rsidRDefault="00656AC1" w:rsidP="00364E4D">
      <w:pPr>
        <w:rPr>
          <w:rFonts w:ascii="Calibri" w:hAnsi="Calibri" w:cs="Calibri"/>
        </w:rPr>
      </w:pPr>
      <w:r w:rsidRPr="00203191">
        <w:rPr>
          <w:rFonts w:ascii="Calibri" w:hAnsi="Calibri" w:cs="Calibri"/>
        </w:rPr>
        <w:t>Wykonawca nie może wykorzystywać błędów lub opuszczeń w dokumentach kontraktowych, a o ich wykryciu winien natychmiast powiadomić Inżyniera, który podejmie decyzję o wprowadzeniu odpowiednich zmian i poprawek.</w:t>
      </w:r>
    </w:p>
    <w:p w:rsidR="00656AC1" w:rsidRPr="00203191" w:rsidRDefault="00656AC1" w:rsidP="00364E4D">
      <w:pPr>
        <w:rPr>
          <w:rFonts w:ascii="Calibri" w:hAnsi="Calibri" w:cs="Calibri"/>
        </w:rPr>
      </w:pPr>
      <w:r w:rsidRPr="00203191">
        <w:rPr>
          <w:rFonts w:ascii="Calibri" w:hAnsi="Calibri" w:cs="Calibri"/>
        </w:rPr>
        <w:t>W przypadku rozbieżności, wymiary podane na piśmie są ważniejsze od wymiarów określonych na podstawie odczytu ze skali rysunku.</w:t>
      </w:r>
    </w:p>
    <w:p w:rsidR="00656AC1" w:rsidRPr="00203191" w:rsidRDefault="00656AC1" w:rsidP="00364E4D">
      <w:pPr>
        <w:rPr>
          <w:rFonts w:ascii="Calibri" w:hAnsi="Calibri" w:cs="Calibri"/>
        </w:rPr>
      </w:pPr>
      <w:r w:rsidRPr="00203191">
        <w:rPr>
          <w:rFonts w:ascii="Calibri" w:hAnsi="Calibri" w:cs="Calibri"/>
        </w:rPr>
        <w:t xml:space="preserve">Wszystkie wykonane roboty i dostarczone </w:t>
      </w:r>
      <w:r w:rsidR="00A95FEE">
        <w:rPr>
          <w:rFonts w:ascii="Calibri" w:hAnsi="Calibri" w:cs="Calibri"/>
        </w:rPr>
        <w:t>wyroby budowlane</w:t>
      </w:r>
      <w:r w:rsidRPr="00203191">
        <w:rPr>
          <w:rFonts w:ascii="Calibri" w:hAnsi="Calibri" w:cs="Calibri"/>
        </w:rPr>
        <w:t xml:space="preserve"> będą zgodne z dokumentacją projektową i </w:t>
      </w:r>
      <w:r w:rsidR="005B48CA">
        <w:rPr>
          <w:rFonts w:ascii="Calibri" w:hAnsi="Calibri" w:cs="Calibri"/>
        </w:rPr>
        <w:t>STWiORB</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 xml:space="preserve">Dane określone w dokumentacji projektowej i w </w:t>
      </w:r>
      <w:r w:rsidR="005B48CA">
        <w:rPr>
          <w:rFonts w:ascii="Calibri" w:hAnsi="Calibri" w:cs="Calibri"/>
        </w:rPr>
        <w:t>STWiORB</w:t>
      </w:r>
      <w:r w:rsidRPr="00203191">
        <w:rPr>
          <w:rFonts w:ascii="Calibri" w:hAnsi="Calibri" w:cs="Calibri"/>
        </w:rPr>
        <w:t xml:space="preserve">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rsidR="00656AC1" w:rsidRPr="00203191" w:rsidRDefault="00656AC1" w:rsidP="00364E4D">
      <w:pPr>
        <w:rPr>
          <w:rFonts w:ascii="Calibri" w:hAnsi="Calibri" w:cs="Calibri"/>
        </w:rPr>
      </w:pPr>
      <w:r w:rsidRPr="00203191">
        <w:rPr>
          <w:rFonts w:ascii="Calibri" w:hAnsi="Calibri" w:cs="Calibri"/>
        </w:rPr>
        <w:t xml:space="preserve">W przypadku, gdy </w:t>
      </w:r>
      <w:r w:rsidR="00A95FEE">
        <w:rPr>
          <w:rFonts w:ascii="Calibri" w:hAnsi="Calibri" w:cs="Calibri"/>
        </w:rPr>
        <w:t>wyroby budowlane</w:t>
      </w:r>
      <w:r w:rsidRPr="00203191">
        <w:rPr>
          <w:rFonts w:ascii="Calibri" w:hAnsi="Calibri" w:cs="Calibri"/>
        </w:rPr>
        <w:t xml:space="preserve"> lub roboty nie będą w pełni zgodne z dokumentacją projektową lub </w:t>
      </w:r>
      <w:r w:rsidR="005B48CA">
        <w:rPr>
          <w:rFonts w:ascii="Calibri" w:hAnsi="Calibri" w:cs="Calibri"/>
        </w:rPr>
        <w:t>STWiORB</w:t>
      </w:r>
      <w:r w:rsidRPr="00203191">
        <w:rPr>
          <w:rFonts w:ascii="Calibri" w:hAnsi="Calibri" w:cs="Calibri"/>
        </w:rPr>
        <w:t xml:space="preserve"> i wpłynie to na niezadowalającą jakość elementu budowli, to takie </w:t>
      </w:r>
      <w:r w:rsidR="00A95FEE">
        <w:rPr>
          <w:rFonts w:ascii="Calibri" w:hAnsi="Calibri" w:cs="Calibri"/>
        </w:rPr>
        <w:t>wyroby budowlane</w:t>
      </w:r>
      <w:r w:rsidRPr="00203191">
        <w:rPr>
          <w:rFonts w:ascii="Calibri" w:hAnsi="Calibri" w:cs="Calibri"/>
        </w:rPr>
        <w:t xml:space="preserve"> zostaną zastąpione innymi, a elementy budowli rozebrane i wykonane ponownie na koszt Wykonawcy.</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1.5.4. Zabezpieczenie terenu budowy</w:t>
      </w:r>
    </w:p>
    <w:p w:rsidR="00656AC1" w:rsidRPr="00203191" w:rsidRDefault="00656AC1" w:rsidP="00364E4D">
      <w:pPr>
        <w:rPr>
          <w:rFonts w:ascii="Calibri" w:hAnsi="Calibri" w:cs="Calibri"/>
        </w:rPr>
      </w:pPr>
      <w:r w:rsidRPr="00203191">
        <w:rPr>
          <w:rFonts w:ascii="Calibri" w:hAnsi="Calibri" w:cs="Calibri"/>
        </w:rPr>
        <w:t>Wykonawca jest zobowiązany do utrzymania ruchu publicznego oraz utrzymania istniejących obiektów (jezdnie, ciągi piesze, znaki drogowe, bariery ochronne, urządzenia odwodnienia itp.) na terenie budowy, w okresie trwania realizacji kontraktu, aż do zakończenia i odbioru ostatecznego robót.</w:t>
      </w:r>
    </w:p>
    <w:p w:rsidR="00656AC1" w:rsidRPr="00203191" w:rsidRDefault="00656AC1" w:rsidP="00364E4D">
      <w:pPr>
        <w:rPr>
          <w:rFonts w:ascii="Calibri" w:hAnsi="Calibri" w:cs="Calibri"/>
        </w:rPr>
      </w:pPr>
      <w:r w:rsidRPr="00203191">
        <w:rPr>
          <w:rFonts w:ascii="Calibri" w:hAnsi="Calibri" w:cs="Calibri"/>
        </w:rPr>
        <w:t>W czasie wykonywania robót Wykonawca dostarczy, zainstaluje i będzie obsługiwał wszystkie tymczasowe urządzenia zabezpieczające takie jak: zapory, światła ostrzegawcze, sygnały, itp., zapewniając w ten sposób bezpieczeństwo pojazdów i pieszych.</w:t>
      </w:r>
    </w:p>
    <w:p w:rsidR="00656AC1" w:rsidRPr="00203191" w:rsidRDefault="00656AC1" w:rsidP="00364E4D">
      <w:pPr>
        <w:rPr>
          <w:rFonts w:ascii="Calibri" w:hAnsi="Calibri" w:cs="Calibri"/>
        </w:rPr>
      </w:pPr>
      <w:r w:rsidRPr="00203191">
        <w:rPr>
          <w:rFonts w:ascii="Calibri" w:hAnsi="Calibri" w:cs="Calibri"/>
        </w:rPr>
        <w:t>Wykonawca zapewni stałe warunki widoczności w dzień i w nocy tych zapór i znaków, dla których jest to nieodzowne ze względów bezpieczeństwa.</w:t>
      </w:r>
    </w:p>
    <w:p w:rsidR="00656AC1" w:rsidRPr="00203191" w:rsidRDefault="00656AC1" w:rsidP="00364E4D">
      <w:pPr>
        <w:rPr>
          <w:rFonts w:ascii="Calibri" w:hAnsi="Calibri" w:cs="Calibri"/>
        </w:rPr>
      </w:pPr>
      <w:r w:rsidRPr="00203191">
        <w:rPr>
          <w:rFonts w:ascii="Calibri" w:hAnsi="Calibri" w:cs="Calibri"/>
        </w:rPr>
        <w:t>Wszystkie znaki, zapory i inne urządzenia zabezpieczające będą akceptowane przez Inżyniera</w:t>
      </w:r>
      <w:r w:rsidR="0079565D">
        <w:rPr>
          <w:rFonts w:ascii="Calibri" w:hAnsi="Calibri" w:cs="Calibri"/>
        </w:rPr>
        <w:t xml:space="preserve">. </w:t>
      </w:r>
      <w:r w:rsidRPr="00203191">
        <w:rPr>
          <w:rFonts w:ascii="Calibri" w:hAnsi="Calibri" w:cs="Calibri"/>
        </w:rPr>
        <w:t>Fakt przystąpienia do robót Wykonawca obwieści publicznie przed ich rozpoczęciem w</w:t>
      </w:r>
      <w:r w:rsidR="00A26048">
        <w:rPr>
          <w:rFonts w:ascii="Calibri" w:hAnsi="Calibri" w:cs="Calibri"/>
        </w:rPr>
        <w:t xml:space="preserve"> sposób uzgodniony z Inżynierem</w:t>
      </w:r>
      <w:r w:rsidRPr="00203191">
        <w:rPr>
          <w:rFonts w:ascii="Calibri" w:hAnsi="Calibri" w:cs="Calibri"/>
        </w:rPr>
        <w:t xml:space="preserve"> oraz przez umieszczenie, w miejscach i ilościach określonych przez Inżyniera, tablic informacyjnych, których treść będzie zatwierdzona przez Inżyniera. Tablice informacyjne będą utrzymywane przez Wykonawcę w dobrym stanie przez cały okres realizacji robót.</w:t>
      </w:r>
    </w:p>
    <w:p w:rsidR="00656AC1" w:rsidRPr="00203191" w:rsidRDefault="00656AC1" w:rsidP="00364E4D">
      <w:pPr>
        <w:rPr>
          <w:rFonts w:ascii="Calibri" w:hAnsi="Calibri" w:cs="Calibri"/>
        </w:rPr>
      </w:pPr>
      <w:r w:rsidRPr="00203191">
        <w:rPr>
          <w:rFonts w:ascii="Calibri" w:hAnsi="Calibri" w:cs="Calibri"/>
        </w:rPr>
        <w:t>Koszt zabezpieczenia terenu budowy nie podlega odrębnej zapłacie i przyjmuje się, że jest włączony w cenę kontraktową.</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1.5.5. Ochrona środowiska w czasie wykonywania robót</w:t>
      </w:r>
    </w:p>
    <w:p w:rsidR="00656AC1" w:rsidRPr="00203191" w:rsidRDefault="00656AC1" w:rsidP="00364E4D">
      <w:pPr>
        <w:rPr>
          <w:rFonts w:ascii="Calibri" w:hAnsi="Calibri" w:cs="Calibri"/>
        </w:rPr>
      </w:pPr>
      <w:r w:rsidRPr="00203191">
        <w:rPr>
          <w:rFonts w:ascii="Calibri" w:hAnsi="Calibri" w:cs="Calibri"/>
        </w:rPr>
        <w:t>Wykonawca ma obowiązek znać i stosować w czasie prowadzenia robót wszelkie przepisy dotyczące ochrony środowiska naturalnego.</w:t>
      </w:r>
    </w:p>
    <w:p w:rsidR="00656AC1" w:rsidRPr="00203191" w:rsidRDefault="00656AC1" w:rsidP="00364E4D">
      <w:pPr>
        <w:rPr>
          <w:rFonts w:ascii="Calibri" w:hAnsi="Calibri" w:cs="Calibri"/>
        </w:rPr>
      </w:pPr>
      <w:r w:rsidRPr="00203191">
        <w:rPr>
          <w:rFonts w:ascii="Calibri" w:hAnsi="Calibri" w:cs="Calibri"/>
        </w:rPr>
        <w:t>W okresie trwania budowy i wykańczania robót Wykonawca będzie:</w:t>
      </w:r>
    </w:p>
    <w:p w:rsidR="00656AC1" w:rsidRPr="00203191" w:rsidRDefault="00656AC1" w:rsidP="00954A11">
      <w:pPr>
        <w:numPr>
          <w:ilvl w:val="0"/>
          <w:numId w:val="2"/>
        </w:numPr>
        <w:rPr>
          <w:rFonts w:ascii="Calibri" w:hAnsi="Calibri" w:cs="Calibri"/>
        </w:rPr>
      </w:pPr>
      <w:r w:rsidRPr="00203191">
        <w:rPr>
          <w:rFonts w:ascii="Calibri" w:hAnsi="Calibri" w:cs="Calibri"/>
        </w:rPr>
        <w:t>utrzymywać teren budowy i wykopy w stanie bez wody stojącej,</w:t>
      </w:r>
    </w:p>
    <w:p w:rsidR="00656AC1" w:rsidRPr="00203191" w:rsidRDefault="00656AC1" w:rsidP="00954A11">
      <w:pPr>
        <w:numPr>
          <w:ilvl w:val="0"/>
          <w:numId w:val="2"/>
        </w:numPr>
        <w:rPr>
          <w:rFonts w:ascii="Calibri" w:hAnsi="Calibri" w:cs="Calibri"/>
        </w:rPr>
      </w:pPr>
      <w:r w:rsidRPr="00203191">
        <w:rPr>
          <w:rFonts w:ascii="Calibri" w:hAnsi="Calibri" w:cs="Calibri"/>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656AC1" w:rsidRPr="00203191" w:rsidRDefault="00656AC1" w:rsidP="00364E4D">
      <w:pPr>
        <w:rPr>
          <w:rFonts w:ascii="Calibri" w:hAnsi="Calibri" w:cs="Calibri"/>
        </w:rPr>
      </w:pPr>
      <w:r w:rsidRPr="00203191">
        <w:rPr>
          <w:rFonts w:ascii="Calibri" w:hAnsi="Calibri" w:cs="Calibri"/>
        </w:rPr>
        <w:t>Stosując się do tych wymagań będzie miał szczególny wzgląd na:</w:t>
      </w:r>
    </w:p>
    <w:p w:rsidR="00656AC1" w:rsidRPr="00203191" w:rsidRDefault="00656AC1" w:rsidP="00954A11">
      <w:pPr>
        <w:numPr>
          <w:ilvl w:val="0"/>
          <w:numId w:val="3"/>
        </w:numPr>
        <w:rPr>
          <w:rFonts w:ascii="Calibri" w:hAnsi="Calibri" w:cs="Calibri"/>
        </w:rPr>
      </w:pPr>
      <w:r w:rsidRPr="00203191">
        <w:rPr>
          <w:rFonts w:ascii="Calibri" w:hAnsi="Calibri" w:cs="Calibri"/>
        </w:rPr>
        <w:lastRenderedPageBreak/>
        <w:t>lokalizację baz, warsztatów, magazynów, składowisk, ukopów i dróg dojazdowych,</w:t>
      </w:r>
    </w:p>
    <w:p w:rsidR="00656AC1" w:rsidRPr="00203191" w:rsidRDefault="00656AC1" w:rsidP="00954A11">
      <w:pPr>
        <w:numPr>
          <w:ilvl w:val="0"/>
          <w:numId w:val="3"/>
        </w:numPr>
        <w:rPr>
          <w:rFonts w:ascii="Calibri" w:hAnsi="Calibri" w:cs="Calibri"/>
        </w:rPr>
      </w:pPr>
      <w:r w:rsidRPr="00203191">
        <w:rPr>
          <w:rFonts w:ascii="Calibri" w:hAnsi="Calibri" w:cs="Calibri"/>
        </w:rPr>
        <w:t>środki ostrożności i zabezpieczenia przed:</w:t>
      </w:r>
    </w:p>
    <w:p w:rsidR="00656AC1" w:rsidRPr="00203191" w:rsidRDefault="00656AC1" w:rsidP="00954A11">
      <w:pPr>
        <w:numPr>
          <w:ilvl w:val="0"/>
          <w:numId w:val="4"/>
        </w:numPr>
        <w:ind w:left="283"/>
        <w:rPr>
          <w:rFonts w:ascii="Calibri" w:hAnsi="Calibri" w:cs="Calibri"/>
        </w:rPr>
      </w:pPr>
      <w:r w:rsidRPr="00203191">
        <w:rPr>
          <w:rFonts w:ascii="Calibri" w:hAnsi="Calibri" w:cs="Calibri"/>
        </w:rPr>
        <w:t>zanieczyszczeniem zbiorników i cieków wodnych pyłami lub substancjami toksycznymi,</w:t>
      </w:r>
    </w:p>
    <w:p w:rsidR="00656AC1" w:rsidRPr="00203191" w:rsidRDefault="00656AC1" w:rsidP="00954A11">
      <w:pPr>
        <w:numPr>
          <w:ilvl w:val="0"/>
          <w:numId w:val="4"/>
        </w:numPr>
        <w:ind w:left="283"/>
        <w:rPr>
          <w:rFonts w:ascii="Calibri" w:hAnsi="Calibri" w:cs="Calibri"/>
        </w:rPr>
      </w:pPr>
      <w:r w:rsidRPr="00203191">
        <w:rPr>
          <w:rFonts w:ascii="Calibri" w:hAnsi="Calibri" w:cs="Calibri"/>
        </w:rPr>
        <w:t>zanieczyszczeniem powietrza pyłami i gazami,</w:t>
      </w:r>
    </w:p>
    <w:p w:rsidR="00656AC1" w:rsidRPr="00203191" w:rsidRDefault="00656AC1" w:rsidP="00954A11">
      <w:pPr>
        <w:numPr>
          <w:ilvl w:val="0"/>
          <w:numId w:val="4"/>
        </w:numPr>
        <w:ind w:left="284" w:hanging="284"/>
        <w:rPr>
          <w:rFonts w:ascii="Calibri" w:hAnsi="Calibri" w:cs="Calibri"/>
        </w:rPr>
      </w:pPr>
      <w:r w:rsidRPr="00203191">
        <w:rPr>
          <w:rFonts w:ascii="Calibri" w:hAnsi="Calibri" w:cs="Calibri"/>
        </w:rPr>
        <w:t>możliwością powstania pożaru.</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1.5.6. Ochrona przeciwpożarowa</w:t>
      </w:r>
    </w:p>
    <w:p w:rsidR="00656AC1" w:rsidRPr="00203191" w:rsidRDefault="00656AC1" w:rsidP="00364E4D">
      <w:pPr>
        <w:rPr>
          <w:rFonts w:ascii="Calibri" w:hAnsi="Calibri" w:cs="Calibri"/>
        </w:rPr>
      </w:pPr>
      <w:r w:rsidRPr="00203191">
        <w:rPr>
          <w:rFonts w:ascii="Calibri" w:hAnsi="Calibri" w:cs="Calibri"/>
        </w:rPr>
        <w:t>Wykonawca będzie przestrzegać przepisy ochrony przeciwpożarowej.</w:t>
      </w:r>
    </w:p>
    <w:p w:rsidR="00656AC1" w:rsidRPr="00203191" w:rsidRDefault="00656AC1" w:rsidP="00364E4D">
      <w:pPr>
        <w:rPr>
          <w:rFonts w:ascii="Calibri" w:hAnsi="Calibri" w:cs="Calibri"/>
        </w:rPr>
      </w:pPr>
      <w:r w:rsidRPr="00203191">
        <w:rPr>
          <w:rFonts w:ascii="Calibri" w:hAnsi="Calibri" w:cs="Calibri"/>
        </w:rPr>
        <w:t>Wykonawca będzie utrzymywać, wymagany na podstawie odpowiednich przepisów sprawny sprzęt przeciwpożarowy, na terenie baz produkcyjnych, w pomieszczeniach biurowych, mieszkalnych, magazynach oraz w maszynach i pojazdach.</w:t>
      </w:r>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łatwopalne będą składowane w sposób zgodny z odpowiednimi przepisami i zabezpieczone przed dostępem osób trzecich.</w:t>
      </w:r>
    </w:p>
    <w:p w:rsidR="00656AC1" w:rsidRPr="00203191" w:rsidRDefault="00656AC1" w:rsidP="00364E4D">
      <w:pPr>
        <w:rPr>
          <w:rFonts w:ascii="Calibri" w:hAnsi="Calibri" w:cs="Calibri"/>
        </w:rPr>
      </w:pPr>
      <w:r w:rsidRPr="00203191">
        <w:rPr>
          <w:rFonts w:ascii="Calibri" w:hAnsi="Calibri" w:cs="Calibri"/>
        </w:rPr>
        <w:t>Wykonawca będzie odpowiedzialny za wszelkie straty spowodowane pożarem wywołanym jako rezultat realizacji robót albo przez personel Wykonawcy.</w:t>
      </w:r>
    </w:p>
    <w:p w:rsidR="00656AC1" w:rsidRPr="00203191" w:rsidRDefault="00656AC1" w:rsidP="00364E4D">
      <w:pPr>
        <w:pStyle w:val="Nagwek7"/>
        <w:rPr>
          <w:rFonts w:ascii="Calibri" w:hAnsi="Calibri" w:cs="Calibri"/>
          <w:b/>
          <w:bCs/>
          <w:i/>
          <w:iCs/>
        </w:rPr>
      </w:pPr>
      <w:r w:rsidRPr="00203191">
        <w:rPr>
          <w:rFonts w:ascii="Calibri" w:hAnsi="Calibri" w:cs="Calibri"/>
          <w:b/>
          <w:bCs/>
          <w:i/>
          <w:iCs/>
        </w:rPr>
        <w:t xml:space="preserve">1.5.7. </w:t>
      </w:r>
      <w:r w:rsidR="00A95FEE">
        <w:rPr>
          <w:rFonts w:ascii="Calibri" w:hAnsi="Calibri" w:cs="Calibri"/>
          <w:b/>
          <w:bCs/>
          <w:i/>
          <w:iCs/>
        </w:rPr>
        <w:t>Wyroby budowlane</w:t>
      </w:r>
      <w:r w:rsidRPr="00203191">
        <w:rPr>
          <w:rFonts w:ascii="Calibri" w:hAnsi="Calibri" w:cs="Calibri"/>
          <w:b/>
          <w:bCs/>
          <w:i/>
          <w:iCs/>
        </w:rPr>
        <w:t xml:space="preserve"> szkodliwe dla otoczenia</w:t>
      </w:r>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które w sposób trwały są szkodliwe dla otoczenia, nie będą dopuszczone do użycia.</w:t>
      </w:r>
    </w:p>
    <w:p w:rsidR="00656AC1" w:rsidRPr="00203191" w:rsidRDefault="00656AC1" w:rsidP="00364E4D">
      <w:pPr>
        <w:rPr>
          <w:rFonts w:ascii="Calibri" w:hAnsi="Calibri" w:cs="Calibri"/>
        </w:rPr>
      </w:pPr>
      <w:r w:rsidRPr="00203191">
        <w:rPr>
          <w:rFonts w:ascii="Calibri" w:hAnsi="Calibri" w:cs="Calibri"/>
        </w:rPr>
        <w:t>Nie dopuszcza się użycia materiałów wywołujących szkodliwe promieniowanie o stężeniu większym od dopuszczalnego, określonego odpowiednimi przepisami.</w:t>
      </w:r>
    </w:p>
    <w:p w:rsidR="00656AC1" w:rsidRPr="00203191" w:rsidRDefault="00656AC1" w:rsidP="00364E4D">
      <w:pPr>
        <w:rPr>
          <w:rFonts w:ascii="Calibri" w:hAnsi="Calibri" w:cs="Calibri"/>
        </w:rPr>
      </w:pPr>
      <w:r w:rsidRPr="00203191">
        <w:rPr>
          <w:rFonts w:ascii="Calibri" w:hAnsi="Calibri" w:cs="Calibri"/>
        </w:rPr>
        <w:t>Wszelkie materiały odpadowe użyte do robót będą miały aprobatę techniczną wydaną przez uprawnioną jednostkę, jednoznacznie określającą brak szkodliwego oddziaływania tych materiałów na środowisko.</w:t>
      </w:r>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rsidR="00656AC1" w:rsidRPr="00203191" w:rsidRDefault="00656AC1" w:rsidP="00364E4D">
      <w:pPr>
        <w:rPr>
          <w:rFonts w:ascii="Calibri" w:hAnsi="Calibri" w:cs="Calibri"/>
        </w:rPr>
      </w:pPr>
      <w:r w:rsidRPr="00203191">
        <w:rPr>
          <w:rFonts w:ascii="Calibri" w:hAnsi="Calibri" w:cs="Calibri"/>
        </w:rPr>
        <w:t>Jeżeli Wykonawca użył materiałów szkodliwych dla otoczenia zgodnie ze specyfikacjami, a ich użycie spowodowało jakiekolwiek zagrożenie środowiska, to konsekwencje tego poniesie Zamawiający.</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1.5.8. Ochrona własności publicznej i prywatnej</w:t>
      </w:r>
    </w:p>
    <w:p w:rsidR="00656AC1" w:rsidRPr="00203191" w:rsidRDefault="00656AC1" w:rsidP="00364E4D">
      <w:pPr>
        <w:rPr>
          <w:rFonts w:ascii="Calibri" w:hAnsi="Calibri" w:cs="Calibri"/>
        </w:rPr>
      </w:pPr>
      <w:r w:rsidRPr="00203191">
        <w:rPr>
          <w:rFonts w:ascii="Calibri" w:hAnsi="Calibri" w:cs="Calibri"/>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rsidR="00656AC1" w:rsidRPr="00203191" w:rsidRDefault="00656AC1" w:rsidP="00364E4D">
      <w:pPr>
        <w:rPr>
          <w:rFonts w:ascii="Calibri" w:hAnsi="Calibri" w:cs="Calibri"/>
        </w:rPr>
      </w:pPr>
      <w:r w:rsidRPr="00203191">
        <w:rPr>
          <w:rFonts w:ascii="Calibri" w:hAnsi="Calibri" w:cs="Calibri"/>
        </w:rPr>
        <w:t>Wykonawca zobowiązany jest umieścić w swoim harmonogramie rezerwę czasową dla wszelkiego rodzaju robót, które mają być wykonane w zakresie przełożenia instalacji i urządzeń podziemnych na terenie budowy i powiadomić Inżyniera i władze lokalne o zamiarze rozpoczęcia robót. O fakcie przypadkowego uszkodzenia tych instalacji Wykonawca bezzwłocznie powiadomi Inżyniera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656AC1" w:rsidRPr="00203191" w:rsidRDefault="00656AC1" w:rsidP="00364E4D">
      <w:pPr>
        <w:rPr>
          <w:rFonts w:ascii="Calibri" w:hAnsi="Calibri" w:cs="Calibri"/>
        </w:rPr>
      </w:pPr>
      <w:r w:rsidRPr="00203191">
        <w:rPr>
          <w:rFonts w:ascii="Calibri" w:hAnsi="Calibri" w:cs="Calibri"/>
        </w:rPr>
        <w:t>Wykonawca będzie realizować roboty w sposób powodujący minimalne niedogodności dla mieszkańców. Wykonawca odpowiada za wszelkie uszkodzenia zabudowy mieszkaniowej w sąsiedztwie budowy, spowodowane jego działalnością.</w:t>
      </w:r>
    </w:p>
    <w:p w:rsidR="00656AC1" w:rsidRPr="00203191" w:rsidRDefault="00656AC1" w:rsidP="00364E4D">
      <w:pPr>
        <w:rPr>
          <w:rFonts w:ascii="Calibri" w:hAnsi="Calibri" w:cs="Calibri"/>
        </w:rPr>
      </w:pPr>
      <w:r w:rsidRPr="00203191">
        <w:rPr>
          <w:rFonts w:ascii="Calibri" w:hAnsi="Calibri" w:cs="Calibri"/>
        </w:rPr>
        <w:t>Inżynier będzie na bieżąco informowany o wszystkich umowach zawartych pomiędzy Wykonawcą a właścicielami nieruchomości i dotyczących korzystania z własności i dróg wewnętrznych. Jednakże, ani Inżynier ani Zamawiający nie będzie ingerował w takie porozumienia, o ile nie będą one sprzeczne z postanowieniami zawartymi w warunkach umowy.</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1.5.9. Ograniczenie obciążeń osi pojazdów</w:t>
      </w:r>
    </w:p>
    <w:p w:rsidR="00656AC1" w:rsidRPr="00203191" w:rsidRDefault="00656AC1" w:rsidP="00364E4D">
      <w:pPr>
        <w:rPr>
          <w:rFonts w:ascii="Calibri" w:hAnsi="Calibri" w:cs="Calibri"/>
        </w:rPr>
      </w:pPr>
      <w:r w:rsidRPr="00203191">
        <w:rPr>
          <w:rFonts w:ascii="Calibri" w:hAnsi="Calibri" w:cs="Calibri"/>
        </w:rPr>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w:t>
      </w:r>
      <w:r w:rsidR="00A26048">
        <w:rPr>
          <w:rFonts w:ascii="Calibri" w:hAnsi="Calibri" w:cs="Calibri"/>
        </w:rPr>
        <w:t>ie będzie powiadamiał Inżyniera</w:t>
      </w:r>
      <w:r w:rsidRPr="00203191">
        <w:rPr>
          <w:rFonts w:ascii="Calibri" w:hAnsi="Calibri" w:cs="Calibri"/>
        </w:rPr>
        <w:t xml:space="preserve">. Inżynier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w:t>
      </w:r>
      <w:r w:rsidR="00A26048">
        <w:rPr>
          <w:rFonts w:ascii="Calibri" w:hAnsi="Calibri" w:cs="Calibri"/>
        </w:rPr>
        <w:t>zgodnie z poleceniami Inżyniera</w:t>
      </w:r>
      <w:r w:rsidRPr="00203191">
        <w:rPr>
          <w:rFonts w:ascii="Calibri" w:hAnsi="Calibri" w:cs="Calibri"/>
        </w:rPr>
        <w:t>.</w:t>
      </w:r>
    </w:p>
    <w:p w:rsidR="0079565D" w:rsidRDefault="0079565D" w:rsidP="00364E4D">
      <w:pPr>
        <w:pStyle w:val="Nagwek7"/>
        <w:rPr>
          <w:rFonts w:ascii="Calibri" w:hAnsi="Calibri" w:cs="Calibri"/>
          <w:b/>
          <w:bCs/>
          <w:i/>
          <w:iCs/>
        </w:rPr>
      </w:pPr>
    </w:p>
    <w:p w:rsidR="00656AC1" w:rsidRPr="00203191" w:rsidRDefault="00656AC1" w:rsidP="00364E4D">
      <w:pPr>
        <w:pStyle w:val="Nagwek7"/>
        <w:rPr>
          <w:rFonts w:ascii="Calibri" w:hAnsi="Calibri" w:cs="Calibri"/>
          <w:b/>
          <w:bCs/>
          <w:i/>
          <w:iCs/>
        </w:rPr>
      </w:pPr>
      <w:r w:rsidRPr="00203191">
        <w:rPr>
          <w:rFonts w:ascii="Calibri" w:hAnsi="Calibri" w:cs="Calibri"/>
          <w:b/>
          <w:bCs/>
          <w:i/>
          <w:iCs/>
        </w:rPr>
        <w:lastRenderedPageBreak/>
        <w:t>1.5.10. Bezpieczeństwo i higiena pracy</w:t>
      </w:r>
    </w:p>
    <w:p w:rsidR="00656AC1" w:rsidRPr="00203191" w:rsidRDefault="00656AC1" w:rsidP="00364E4D">
      <w:pPr>
        <w:rPr>
          <w:rFonts w:ascii="Calibri" w:hAnsi="Calibri" w:cs="Calibri"/>
        </w:rPr>
      </w:pPr>
      <w:r w:rsidRPr="00203191">
        <w:rPr>
          <w:rFonts w:ascii="Calibri" w:hAnsi="Calibri" w:cs="Calibri"/>
        </w:rPr>
        <w:t>Podczas realizacji robót Wykonawca będzie przestrzegać przepisów dotyczących bezpieczeństwa i higieny pracy.</w:t>
      </w:r>
    </w:p>
    <w:p w:rsidR="00656AC1" w:rsidRPr="00203191" w:rsidRDefault="00656AC1" w:rsidP="00364E4D">
      <w:pPr>
        <w:rPr>
          <w:rFonts w:ascii="Calibri" w:hAnsi="Calibri" w:cs="Calibri"/>
        </w:rPr>
      </w:pPr>
      <w:r w:rsidRPr="00203191">
        <w:rPr>
          <w:rFonts w:ascii="Calibri" w:hAnsi="Calibri" w:cs="Calibri"/>
        </w:rPr>
        <w:t>W szczególności Wykonawca ma obowiązek zadbać, aby personel nie wykonywał pracy w warunkach niebezpiecznych, szkodliwych dla zdrowia oraz nie spełniających odpowiednich wymagań sanitarnych.</w:t>
      </w:r>
    </w:p>
    <w:p w:rsidR="00656AC1" w:rsidRPr="00203191" w:rsidRDefault="00656AC1" w:rsidP="00364E4D">
      <w:pPr>
        <w:rPr>
          <w:rFonts w:ascii="Calibri" w:hAnsi="Calibri" w:cs="Calibri"/>
        </w:rPr>
      </w:pPr>
      <w:r w:rsidRPr="00203191">
        <w:rPr>
          <w:rFonts w:ascii="Calibri" w:hAnsi="Calibri" w:cs="Calibri"/>
        </w:rPr>
        <w:t>Wykonawca zapewni i będzie utrzymywał wszelkie urządzenia zabezpieczające, socjalne oraz sprzęt i odpowiednią odzież dla ochrony życia i zdrowia osób zatrudnionych na budowie oraz dla zapewnienia bezpieczeństwa publicznego.</w:t>
      </w:r>
    </w:p>
    <w:p w:rsidR="00656AC1" w:rsidRPr="00203191" w:rsidRDefault="00656AC1" w:rsidP="00364E4D">
      <w:pPr>
        <w:rPr>
          <w:rFonts w:ascii="Calibri" w:hAnsi="Calibri" w:cs="Calibri"/>
        </w:rPr>
      </w:pPr>
      <w:r w:rsidRPr="00203191">
        <w:rPr>
          <w:rFonts w:ascii="Calibri" w:hAnsi="Calibri" w:cs="Calibri"/>
        </w:rPr>
        <w:t>Uznaje się, że wszelkie koszty związane z wypełnieniem wymagań określonych powyżej nie podlegają odrębnej zapłacie i są uwzględnione w cenie kontraktowej.</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1.5.11. Ochrona i utrzymanie robót</w:t>
      </w:r>
    </w:p>
    <w:p w:rsidR="00A26048" w:rsidRDefault="00656AC1" w:rsidP="00364E4D">
      <w:pPr>
        <w:rPr>
          <w:rFonts w:ascii="Calibri" w:hAnsi="Calibri" w:cs="Calibri"/>
        </w:rPr>
      </w:pPr>
      <w:bookmarkStart w:id="16" w:name="_Toc412518567"/>
      <w:r w:rsidRPr="00203191">
        <w:rPr>
          <w:rFonts w:ascii="Calibri" w:hAnsi="Calibri" w:cs="Calibri"/>
        </w:rPr>
        <w:t xml:space="preserve">Wykonawca będzie odpowiadał za ochronę robót i za wszelkie </w:t>
      </w:r>
      <w:r w:rsidR="00A95FEE">
        <w:rPr>
          <w:rFonts w:ascii="Calibri" w:hAnsi="Calibri" w:cs="Calibri"/>
        </w:rPr>
        <w:t>wyroby budowlane</w:t>
      </w:r>
      <w:r w:rsidRPr="00203191">
        <w:rPr>
          <w:rFonts w:ascii="Calibri" w:hAnsi="Calibri" w:cs="Calibri"/>
        </w:rPr>
        <w:t xml:space="preserve"> i urządzenia używane do robót od daty rozpoczęcia do daty wydania potwierdzenia zakończenia robót przez Inżyniera</w:t>
      </w:r>
      <w:bookmarkEnd w:id="16"/>
      <w:r w:rsidR="00A26048">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Wykonawca będzie utrzymywać roboty do czasu odbioru ostatecznego. Utrzymanie powinno być prowadzone w taki sposób, aby budowla drogowa lub jej elementy były w zadowalającym stanie przez cały czas, do momentu odbioru ostatecznego.</w:t>
      </w:r>
    </w:p>
    <w:p w:rsidR="00656AC1" w:rsidRPr="00203191" w:rsidRDefault="00656AC1" w:rsidP="00364E4D">
      <w:pPr>
        <w:rPr>
          <w:rFonts w:ascii="Calibri" w:hAnsi="Calibri" w:cs="Calibri"/>
        </w:rPr>
      </w:pPr>
      <w:r w:rsidRPr="00203191">
        <w:rPr>
          <w:rFonts w:ascii="Calibri" w:hAnsi="Calibri" w:cs="Calibri"/>
        </w:rPr>
        <w:t>Jeśli Wykonawca w jakimkolwiek czasie zaniedba utrzymanie, to na polecenie Inżyniera powinien rozpocząć roboty utrzymaniowe nie później niż w 24 godziny po otrzymaniu tego polecenia.</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1.5.12. Stosowanie się do prawa i innych przepisów</w:t>
      </w:r>
    </w:p>
    <w:p w:rsidR="00656AC1" w:rsidRPr="00203191" w:rsidRDefault="00656AC1" w:rsidP="00364E4D">
      <w:pPr>
        <w:rPr>
          <w:rFonts w:ascii="Calibri" w:hAnsi="Calibri" w:cs="Calibri"/>
        </w:rPr>
      </w:pPr>
      <w:r w:rsidRPr="00203191">
        <w:rPr>
          <w:rFonts w:ascii="Calibri" w:hAnsi="Calibri" w:cs="Calibri"/>
        </w:rPr>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rsidR="00656AC1" w:rsidRPr="00203191" w:rsidRDefault="00656AC1" w:rsidP="00364E4D">
      <w:pPr>
        <w:rPr>
          <w:rFonts w:ascii="Calibri" w:hAnsi="Calibri" w:cs="Calibri"/>
        </w:rPr>
      </w:pPr>
      <w:r w:rsidRPr="00203191">
        <w:rPr>
          <w:rFonts w:ascii="Calibri" w:hAnsi="Calibri" w:cs="Calibri"/>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1.5.13. Równoważność norm i zbiorów przepisów prawnych</w:t>
      </w:r>
    </w:p>
    <w:p w:rsidR="00656AC1" w:rsidRPr="00203191" w:rsidRDefault="00656AC1" w:rsidP="00364E4D">
      <w:pPr>
        <w:rPr>
          <w:rFonts w:ascii="Calibri" w:hAnsi="Calibri" w:cs="Calibri"/>
        </w:rPr>
      </w:pPr>
      <w:r w:rsidRPr="00203191">
        <w:rPr>
          <w:rFonts w:ascii="Calibri" w:hAnsi="Calibri" w:cs="Calibri"/>
        </w:rPr>
        <w:t xml:space="preserve">Gdziekolwiek w dokumentach kontraktowych powołane są konkretne normy i przepisy, które spełniać mają </w:t>
      </w:r>
      <w:r w:rsidR="00A95FEE">
        <w:rPr>
          <w:rFonts w:ascii="Calibri" w:hAnsi="Calibri" w:cs="Calibri"/>
        </w:rPr>
        <w:t>wyroby budowlane</w:t>
      </w:r>
      <w:r w:rsidRPr="00203191">
        <w:rPr>
          <w:rFonts w:ascii="Calibri" w:hAnsi="Calibri" w:cs="Calibri"/>
        </w:rPr>
        <w:t>,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 Różnice pomiędzy powołanymi normami a ich proponowanymi zamiennikami muszą być dokładnie opisane przez Wykonawcę i przedłożone Inżynierowi do zatwierdzenia.</w:t>
      </w:r>
    </w:p>
    <w:p w:rsidR="00656AC1" w:rsidRPr="00203191" w:rsidRDefault="00656AC1" w:rsidP="00364E4D">
      <w:pPr>
        <w:pStyle w:val="Nagwek7"/>
        <w:rPr>
          <w:rFonts w:ascii="Calibri" w:hAnsi="Calibri" w:cs="Calibri"/>
          <w:b/>
          <w:bCs/>
          <w:i/>
          <w:iCs/>
        </w:rPr>
      </w:pPr>
      <w:r w:rsidRPr="00203191">
        <w:rPr>
          <w:rFonts w:ascii="Calibri" w:hAnsi="Calibri" w:cs="Calibri"/>
          <w:b/>
          <w:bCs/>
          <w:i/>
          <w:iCs/>
        </w:rPr>
        <w:t>1.5.14. Wykopaliska</w:t>
      </w:r>
    </w:p>
    <w:p w:rsidR="00656AC1" w:rsidRPr="00203191" w:rsidRDefault="00656AC1" w:rsidP="00364E4D">
      <w:pPr>
        <w:rPr>
          <w:rFonts w:ascii="Calibri" w:hAnsi="Calibri" w:cs="Calibri"/>
        </w:rPr>
      </w:pPr>
      <w:r w:rsidRPr="00203191">
        <w:rPr>
          <w:rFonts w:ascii="Calibri" w:hAnsi="Calibri" w:cs="Calibri"/>
        </w:rPr>
        <w:t>Wszelkie wykopaliska, monety, przedmioty wartościowe, budowle oraz inne pozostałości o znaczeniu geologicznym lub archeologicznym odkryte na terenie budowy będą uważane za własność Zamawiającego. Wykonawca zobowiązany jest powiadomić Inżyniera i postępować zgodnie z jego poleceniami. Jeżeli w wyniku tych poleceń Wykonawca poniesie koszty i/lub wystąpią opóźnienia w robotach, Inżynier po uzgodnieniu z Zamawiającym i Wykonawcą ustali wydłużenie czasu wykonania robót i/lub wysokość kwoty, o którą należy zwiększyć cenę kontraktową.</w:t>
      </w:r>
    </w:p>
    <w:p w:rsidR="00656AC1" w:rsidRPr="00203191" w:rsidRDefault="00656AC1" w:rsidP="00364E4D">
      <w:pPr>
        <w:pStyle w:val="Nagwek3"/>
        <w:rPr>
          <w:rFonts w:ascii="Calibri" w:hAnsi="Calibri" w:cs="Calibri"/>
        </w:rPr>
      </w:pPr>
      <w:bookmarkStart w:id="17" w:name="_Toc416830699"/>
      <w:bookmarkStart w:id="18" w:name="_Toc6881280"/>
      <w:bookmarkStart w:id="19" w:name="_Toc6882153"/>
      <w:r w:rsidRPr="00203191">
        <w:rPr>
          <w:rFonts w:ascii="Calibri" w:hAnsi="Calibri" w:cs="Calibri"/>
        </w:rPr>
        <w:t xml:space="preserve">2. </w:t>
      </w:r>
      <w:r w:rsidR="00A95FEE">
        <w:rPr>
          <w:rFonts w:ascii="Calibri" w:hAnsi="Calibri" w:cs="Calibri"/>
        </w:rPr>
        <w:t>WYROBY BUDOWLANE</w:t>
      </w:r>
      <w:bookmarkEnd w:id="17"/>
      <w:bookmarkEnd w:id="18"/>
      <w:bookmarkEnd w:id="19"/>
    </w:p>
    <w:p w:rsidR="00656AC1" w:rsidRPr="00203191" w:rsidRDefault="00656AC1" w:rsidP="00364E4D">
      <w:pPr>
        <w:pStyle w:val="Nagwek4"/>
        <w:rPr>
          <w:rFonts w:ascii="Calibri" w:hAnsi="Calibri" w:cs="Calibri"/>
        </w:rPr>
      </w:pPr>
      <w:r w:rsidRPr="00203191">
        <w:rPr>
          <w:rFonts w:ascii="Calibri" w:hAnsi="Calibri" w:cs="Calibri"/>
        </w:rPr>
        <w:t>2.1. Źródła uzyskania materiałów</w:t>
      </w:r>
    </w:p>
    <w:p w:rsidR="00656AC1" w:rsidRPr="00203191" w:rsidRDefault="00656AC1" w:rsidP="00364E4D">
      <w:pPr>
        <w:rPr>
          <w:rFonts w:ascii="Calibri" w:hAnsi="Calibri" w:cs="Calibri"/>
        </w:rPr>
      </w:pPr>
      <w:r w:rsidRPr="00203191">
        <w:rPr>
          <w:rFonts w:ascii="Calibri" w:hAnsi="Calibri" w:cs="Calibri"/>
        </w:rPr>
        <w:t>Co najmniej na tyd</w:t>
      </w:r>
      <w:r w:rsidR="002B295C">
        <w:rPr>
          <w:rFonts w:ascii="Calibri" w:hAnsi="Calibri" w:cs="Calibri"/>
        </w:rPr>
        <w:t>zień</w:t>
      </w:r>
      <w:r w:rsidRPr="00203191">
        <w:rPr>
          <w:rFonts w:ascii="Calibri" w:hAnsi="Calibri" w:cs="Calibri"/>
        </w:rPr>
        <w:t xml:space="preserve"> przed zaplanowanym wykorzystaniem jakichkolwiek materiałów przeznaczonych do robót, Wykonawca przedstawi Inżynierowi do zatwierdzenia, szczegółowe informacje dotyczące proponowanego źródła wytwarzania, zamawiania lub wydobywania tych materiałów jak również odpowiednie świadectwa badań laboratoryjnych oraz próbki materiałów.</w:t>
      </w:r>
    </w:p>
    <w:p w:rsidR="00656AC1" w:rsidRPr="00203191" w:rsidRDefault="00656AC1" w:rsidP="00364E4D">
      <w:pPr>
        <w:rPr>
          <w:rFonts w:ascii="Calibri" w:hAnsi="Calibri" w:cs="Calibri"/>
        </w:rPr>
      </w:pPr>
      <w:r w:rsidRPr="00203191">
        <w:rPr>
          <w:rFonts w:ascii="Calibri" w:hAnsi="Calibri" w:cs="Calibri"/>
        </w:rPr>
        <w:lastRenderedPageBreak/>
        <w:t xml:space="preserve">Zatwierdzenie partii materiałów z danego źródła nie oznacza automatycznie, że wszelkie </w:t>
      </w:r>
      <w:r w:rsidR="00A95FEE">
        <w:rPr>
          <w:rFonts w:ascii="Calibri" w:hAnsi="Calibri" w:cs="Calibri"/>
        </w:rPr>
        <w:t>wyroby budowlane</w:t>
      </w:r>
      <w:r w:rsidRPr="00203191">
        <w:rPr>
          <w:rFonts w:ascii="Calibri" w:hAnsi="Calibri" w:cs="Calibri"/>
        </w:rPr>
        <w:t xml:space="preserve"> z danego źródła uzyskają zatwierdzenie.</w:t>
      </w:r>
    </w:p>
    <w:p w:rsidR="00656AC1" w:rsidRPr="00203191" w:rsidRDefault="00656AC1" w:rsidP="00364E4D">
      <w:pPr>
        <w:rPr>
          <w:rFonts w:ascii="Calibri" w:hAnsi="Calibri" w:cs="Calibri"/>
        </w:rPr>
      </w:pPr>
      <w:r w:rsidRPr="00203191">
        <w:rPr>
          <w:rFonts w:ascii="Calibri" w:hAnsi="Calibri" w:cs="Calibri"/>
        </w:rPr>
        <w:t xml:space="preserve">Wykonawca zobowiązany jest do prowadzenia badań w celu wykazania, że </w:t>
      </w:r>
      <w:r w:rsidR="00A95FEE">
        <w:rPr>
          <w:rFonts w:ascii="Calibri" w:hAnsi="Calibri" w:cs="Calibri"/>
        </w:rPr>
        <w:t>wyroby budowlane</w:t>
      </w:r>
      <w:r w:rsidRPr="00203191">
        <w:rPr>
          <w:rFonts w:ascii="Calibri" w:hAnsi="Calibri" w:cs="Calibri"/>
        </w:rPr>
        <w:t xml:space="preserve"> uzyskane z dopuszczonego źródła w sposób ciągły spełniają wymagania </w:t>
      </w:r>
      <w:r w:rsidR="005B48CA">
        <w:rPr>
          <w:rFonts w:ascii="Calibri" w:hAnsi="Calibri" w:cs="Calibri"/>
        </w:rPr>
        <w:t>STWiORB</w:t>
      </w:r>
      <w:r w:rsidRPr="00203191">
        <w:rPr>
          <w:rFonts w:ascii="Calibri" w:hAnsi="Calibri" w:cs="Calibri"/>
        </w:rPr>
        <w:t xml:space="preserve"> w czasie realizacji robót.</w:t>
      </w:r>
    </w:p>
    <w:p w:rsidR="00656AC1" w:rsidRPr="00203191" w:rsidRDefault="00656AC1" w:rsidP="00364E4D">
      <w:pPr>
        <w:pStyle w:val="Nagwek4"/>
        <w:rPr>
          <w:rFonts w:ascii="Calibri" w:hAnsi="Calibri" w:cs="Calibri"/>
        </w:rPr>
      </w:pPr>
      <w:r w:rsidRPr="00203191">
        <w:rPr>
          <w:rFonts w:ascii="Calibri" w:hAnsi="Calibri" w:cs="Calibri"/>
        </w:rPr>
        <w:t>2.2. Pozyskiwanie materiałów miejscowych</w:t>
      </w:r>
    </w:p>
    <w:p w:rsidR="00656AC1" w:rsidRPr="00203191" w:rsidRDefault="00656AC1" w:rsidP="00364E4D">
      <w:pPr>
        <w:rPr>
          <w:rFonts w:ascii="Calibri" w:hAnsi="Calibri" w:cs="Calibri"/>
        </w:rPr>
      </w:pPr>
      <w:r w:rsidRPr="00203191">
        <w:rPr>
          <w:rFonts w:ascii="Calibri" w:hAnsi="Calibri" w:cs="Calibri"/>
        </w:rPr>
        <w:t>Wykonawca odpowiada za uzyskanie pozwoleń od właścicieli i odnośnych władz na pozyskanie materiałów ze źródeł miejscowych włączając w to źródła wskazane przez Zamawiającego i jest zobowiązany dostarczyć Inżynierowi wymagane dokumenty przed rozpoczęciem eksploatacji źródła.</w:t>
      </w:r>
    </w:p>
    <w:p w:rsidR="00656AC1" w:rsidRPr="00203191" w:rsidRDefault="00656AC1" w:rsidP="00364E4D">
      <w:pPr>
        <w:rPr>
          <w:rFonts w:ascii="Calibri" w:hAnsi="Calibri" w:cs="Calibri"/>
        </w:rPr>
      </w:pPr>
      <w:r w:rsidRPr="00203191">
        <w:rPr>
          <w:rFonts w:ascii="Calibri" w:hAnsi="Calibri" w:cs="Calibri"/>
        </w:rPr>
        <w:t>Wykonawca przedstawi Inżynierowi do zatwierdzenia dokumentację zawierającą raporty z badań terenowych i laboratoryjnych oraz proponowaną przez siebie metodę wydobycia i selekcji, uwzględniając aktualne decyzje o eksploatacji, organów administracji państwowej i samorządowej.</w:t>
      </w:r>
    </w:p>
    <w:p w:rsidR="00656AC1" w:rsidRPr="00203191" w:rsidRDefault="00656AC1" w:rsidP="00364E4D">
      <w:pPr>
        <w:rPr>
          <w:rFonts w:ascii="Calibri" w:hAnsi="Calibri" w:cs="Calibri"/>
        </w:rPr>
      </w:pPr>
      <w:r w:rsidRPr="00203191">
        <w:rPr>
          <w:rFonts w:ascii="Calibri" w:hAnsi="Calibri" w:cs="Calibri"/>
        </w:rPr>
        <w:t>Wykonawca ponosi odpowiedzialność za spełnienie wymagań ilościowych i jakościowych materiałów pochodzących ze źródeł miejscowych.</w:t>
      </w:r>
    </w:p>
    <w:p w:rsidR="00656AC1" w:rsidRPr="00203191" w:rsidRDefault="00656AC1" w:rsidP="00364E4D">
      <w:pPr>
        <w:rPr>
          <w:rFonts w:ascii="Calibri" w:hAnsi="Calibri" w:cs="Calibri"/>
        </w:rPr>
      </w:pPr>
      <w:r w:rsidRPr="00203191">
        <w:rPr>
          <w:rFonts w:ascii="Calibri" w:hAnsi="Calibri" w:cs="Calibri"/>
        </w:rPr>
        <w:t>Wykonawca ponosi wszystkie koszty, z tytułu wydobycia materiałów, dzierżawy i inne jakie okażą się potrzebne w związku  z dostarczeniem materiałów do robót.</w:t>
      </w:r>
    </w:p>
    <w:p w:rsidR="00656AC1" w:rsidRPr="00203191" w:rsidRDefault="00656AC1" w:rsidP="00364E4D">
      <w:pPr>
        <w:rPr>
          <w:rFonts w:ascii="Calibri" w:hAnsi="Calibri" w:cs="Calibri"/>
        </w:rPr>
      </w:pPr>
      <w:r w:rsidRPr="00203191">
        <w:rPr>
          <w:rFonts w:ascii="Calibri" w:hAnsi="Calibri" w:cs="Calibri"/>
        </w:rPr>
        <w:t>Humus i nadkład czasowo zdjęte z terenu wykopów, dokopów i miejsc pozyskania materiałów miejscowych będą formowane w hałdy i wykorzystane przy zasypce i rekultywacji terenu po ukończeniu robót.</w:t>
      </w:r>
    </w:p>
    <w:p w:rsidR="00656AC1" w:rsidRPr="00203191" w:rsidRDefault="00656AC1" w:rsidP="00364E4D">
      <w:pPr>
        <w:rPr>
          <w:rFonts w:ascii="Calibri" w:hAnsi="Calibri" w:cs="Calibri"/>
        </w:rPr>
      </w:pPr>
      <w:r w:rsidRPr="00203191">
        <w:rPr>
          <w:rFonts w:ascii="Calibri" w:hAnsi="Calibri" w:cs="Calibri"/>
        </w:rPr>
        <w:t xml:space="preserve">Wszystkie odpowiednie </w:t>
      </w:r>
      <w:r w:rsidR="00A95FEE">
        <w:rPr>
          <w:rFonts w:ascii="Calibri" w:hAnsi="Calibri" w:cs="Calibri"/>
        </w:rPr>
        <w:t>wyroby budowlane</w:t>
      </w:r>
      <w:r w:rsidRPr="00203191">
        <w:rPr>
          <w:rFonts w:ascii="Calibri" w:hAnsi="Calibri" w:cs="Calibri"/>
        </w:rPr>
        <w:t xml:space="preserve"> pozyskane z wykopów na terenie budowy lub z innych miejsc wskazanych w dokumentach umowy będą wykorzystane do robót lub odwiezione na odkład odpowiednio do wymagań umowy lub wskazań Inżyniera.</w:t>
      </w:r>
    </w:p>
    <w:p w:rsidR="00656AC1" w:rsidRPr="00203191" w:rsidRDefault="00656AC1" w:rsidP="00364E4D">
      <w:pPr>
        <w:rPr>
          <w:rFonts w:ascii="Calibri" w:hAnsi="Calibri" w:cs="Calibri"/>
        </w:rPr>
      </w:pPr>
      <w:r w:rsidRPr="00203191">
        <w:rPr>
          <w:rFonts w:ascii="Calibri" w:hAnsi="Calibri" w:cs="Calibri"/>
        </w:rPr>
        <w:t>Wykonawca nie będzie prowadzić żadnych wykopów w obrębie terenu budowy poza tymi, które zostały wyszczególnione w dokumentach umowy, chyba, że uzyska na to pisemną zgodę Inżyniera.</w:t>
      </w:r>
    </w:p>
    <w:p w:rsidR="00656AC1" w:rsidRPr="00203191" w:rsidRDefault="00656AC1" w:rsidP="00364E4D">
      <w:pPr>
        <w:rPr>
          <w:rFonts w:ascii="Calibri" w:hAnsi="Calibri" w:cs="Calibri"/>
        </w:rPr>
      </w:pPr>
      <w:r w:rsidRPr="00203191">
        <w:rPr>
          <w:rFonts w:ascii="Calibri" w:hAnsi="Calibri" w:cs="Calibri"/>
        </w:rPr>
        <w:t>Eksploatacja źródeł materiałów będzie zgodna z wszelkimi regulacjami prawnymi obowiązującymi na danym obszarze.</w:t>
      </w:r>
    </w:p>
    <w:p w:rsidR="00656AC1" w:rsidRPr="00203191" w:rsidRDefault="00656AC1" w:rsidP="00364E4D">
      <w:pPr>
        <w:pStyle w:val="Nagwek4"/>
        <w:rPr>
          <w:rFonts w:ascii="Calibri" w:hAnsi="Calibri" w:cs="Calibri"/>
        </w:rPr>
      </w:pPr>
      <w:r w:rsidRPr="00203191">
        <w:rPr>
          <w:rFonts w:ascii="Calibri" w:hAnsi="Calibri" w:cs="Calibri"/>
        </w:rPr>
        <w:t xml:space="preserve">2.3. </w:t>
      </w:r>
      <w:r w:rsidR="00A95FEE">
        <w:rPr>
          <w:rFonts w:ascii="Calibri" w:hAnsi="Calibri" w:cs="Calibri"/>
        </w:rPr>
        <w:t>Wyroby budowlane</w:t>
      </w:r>
      <w:r w:rsidRPr="00203191">
        <w:rPr>
          <w:rFonts w:ascii="Calibri" w:hAnsi="Calibri" w:cs="Calibri"/>
        </w:rPr>
        <w:t xml:space="preserve"> nie odpowiadające wymaganiom</w:t>
      </w:r>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nie odpowiadające wymaganiom zostaną przez Wykonawcę wywiezione z terenu budowy  i złożone w miejscu wskazanym przez Inżyniera. Jeśli Inżynier zezwoli Wykonawcy na użycie tych materiałów do innych robót, niż te dla których zostały zakupione, to koszt tych materiałów zostanie odpowiednio przewartościowany (skorygowany) przez Inżyniera.</w:t>
      </w:r>
    </w:p>
    <w:p w:rsidR="00656AC1" w:rsidRPr="00203191" w:rsidRDefault="00656AC1" w:rsidP="00364E4D">
      <w:pPr>
        <w:rPr>
          <w:rFonts w:ascii="Calibri" w:hAnsi="Calibri" w:cs="Calibri"/>
        </w:rPr>
      </w:pPr>
      <w:r w:rsidRPr="00203191">
        <w:rPr>
          <w:rFonts w:ascii="Calibri" w:hAnsi="Calibri" w:cs="Calibri"/>
        </w:rPr>
        <w:t xml:space="preserve">Każdy rodzaj robót, w którym znajdują się nie zbadane i nie zaakceptowane </w:t>
      </w:r>
      <w:r w:rsidR="00A95FEE">
        <w:rPr>
          <w:rFonts w:ascii="Calibri" w:hAnsi="Calibri" w:cs="Calibri"/>
        </w:rPr>
        <w:t>wyroby budowlane</w:t>
      </w:r>
      <w:r w:rsidRPr="00203191">
        <w:rPr>
          <w:rFonts w:ascii="Calibri" w:hAnsi="Calibri" w:cs="Calibri"/>
        </w:rPr>
        <w:t>, Wykonawca wykonuje na własne ryzyko, licząc się z jego nieprzyjęciem, usunięciem  i niezapłaceniem</w:t>
      </w:r>
    </w:p>
    <w:p w:rsidR="00656AC1" w:rsidRPr="00203191" w:rsidRDefault="00656AC1" w:rsidP="00364E4D">
      <w:pPr>
        <w:pStyle w:val="Nagwek4"/>
        <w:rPr>
          <w:rFonts w:ascii="Calibri" w:hAnsi="Calibri" w:cs="Calibri"/>
        </w:rPr>
      </w:pPr>
      <w:r w:rsidRPr="00203191">
        <w:rPr>
          <w:rFonts w:ascii="Calibri" w:hAnsi="Calibri" w:cs="Calibri"/>
        </w:rPr>
        <w:t>2.4. Wariantowe stosowanie materiałów</w:t>
      </w:r>
    </w:p>
    <w:p w:rsidR="00656AC1" w:rsidRPr="00203191" w:rsidRDefault="00656AC1" w:rsidP="00364E4D">
      <w:pPr>
        <w:rPr>
          <w:rFonts w:ascii="Calibri" w:hAnsi="Calibri" w:cs="Calibri"/>
        </w:rPr>
      </w:pPr>
      <w:r w:rsidRPr="00203191">
        <w:rPr>
          <w:rFonts w:ascii="Calibri" w:hAnsi="Calibri" w:cs="Calibri"/>
        </w:rPr>
        <w:t xml:space="preserve">Jeśli dokumentacja projektowa lub </w:t>
      </w:r>
      <w:r w:rsidR="005B48CA">
        <w:rPr>
          <w:rFonts w:ascii="Calibri" w:hAnsi="Calibri" w:cs="Calibri"/>
        </w:rPr>
        <w:t>STWiORB</w:t>
      </w:r>
      <w:r w:rsidRPr="00203191">
        <w:rPr>
          <w:rFonts w:ascii="Calibri" w:hAnsi="Calibri" w:cs="Calibri"/>
        </w:rPr>
        <w:t xml:space="preserve"> przewidują możliwość wariantowego zastosowania rodzaju materiału w wykonywanych robotach, Wykonawca powiadomi Inżyniera o swoim zamiarze co najmniej 3 tygodnie przed użyciem tego materiału, albo w okresie dłuższym, jeśli będzie to potrzebne z uwagi na wykonanie badań wymaganych przez Inżyniera. Wybrany i zaakceptowany rodzaj materiału nie może być później zmieniany bez zgody Inżyniera.</w:t>
      </w:r>
    </w:p>
    <w:p w:rsidR="00656AC1" w:rsidRPr="00203191" w:rsidRDefault="00656AC1" w:rsidP="00364E4D">
      <w:pPr>
        <w:pStyle w:val="Nagwek4"/>
        <w:rPr>
          <w:rFonts w:ascii="Calibri" w:hAnsi="Calibri" w:cs="Calibri"/>
        </w:rPr>
      </w:pPr>
      <w:r w:rsidRPr="00203191">
        <w:rPr>
          <w:rFonts w:ascii="Calibri" w:hAnsi="Calibri" w:cs="Calibri"/>
        </w:rPr>
        <w:t>2.5. Przechowywanie i składowanie materiałów</w:t>
      </w:r>
    </w:p>
    <w:p w:rsidR="00656AC1" w:rsidRPr="00203191" w:rsidRDefault="00656AC1" w:rsidP="00364E4D">
      <w:pPr>
        <w:rPr>
          <w:rFonts w:ascii="Calibri" w:hAnsi="Calibri" w:cs="Calibri"/>
        </w:rPr>
      </w:pPr>
      <w:r w:rsidRPr="00203191">
        <w:rPr>
          <w:rFonts w:ascii="Calibri" w:hAnsi="Calibri" w:cs="Calibri"/>
        </w:rPr>
        <w:t xml:space="preserve">Wykonawca zapewni, aby tymczasowo składowane </w:t>
      </w:r>
      <w:r w:rsidR="00A95FEE">
        <w:rPr>
          <w:rFonts w:ascii="Calibri" w:hAnsi="Calibri" w:cs="Calibri"/>
        </w:rPr>
        <w:t>wyroby budowlane</w:t>
      </w:r>
      <w:r w:rsidRPr="00203191">
        <w:rPr>
          <w:rFonts w:ascii="Calibri" w:hAnsi="Calibri" w:cs="Calibri"/>
        </w:rPr>
        <w:t>, do czasu gdy będą one użyte do robót, były zabezpieczone przed zanieczyszczeniami, zachowały swoją jakość i właściwości i były dostępne do kontroli przez Inżyniera.</w:t>
      </w:r>
    </w:p>
    <w:p w:rsidR="00656AC1" w:rsidRPr="00203191" w:rsidRDefault="00656AC1" w:rsidP="00364E4D">
      <w:pPr>
        <w:rPr>
          <w:rFonts w:ascii="Calibri" w:hAnsi="Calibri" w:cs="Calibri"/>
        </w:rPr>
      </w:pPr>
      <w:r w:rsidRPr="00203191">
        <w:rPr>
          <w:rFonts w:ascii="Calibri" w:hAnsi="Calibri" w:cs="Calibri"/>
        </w:rPr>
        <w:t>Miejsca czasowego składowania materiałów będą zlokalizowane w obrębie terenu budowy w miejscach uzgodnionych z Inżynierem lub poza terenem budowy w miejscach zorganizowanych przez Wykonawcę i zaakceptowanych przez Inżyniera.</w:t>
      </w:r>
    </w:p>
    <w:p w:rsidR="00656AC1" w:rsidRPr="00203191" w:rsidRDefault="00656AC1" w:rsidP="00364E4D">
      <w:pPr>
        <w:pStyle w:val="Nagwek4"/>
        <w:rPr>
          <w:rFonts w:ascii="Calibri" w:hAnsi="Calibri" w:cs="Calibri"/>
        </w:rPr>
      </w:pPr>
      <w:r w:rsidRPr="00203191">
        <w:rPr>
          <w:rFonts w:ascii="Calibri" w:hAnsi="Calibri" w:cs="Calibri"/>
        </w:rPr>
        <w:t>2.6. Inspekcja wytwórni materiałów</w:t>
      </w:r>
    </w:p>
    <w:p w:rsidR="00656AC1" w:rsidRPr="00203191" w:rsidRDefault="00656AC1" w:rsidP="00364E4D">
      <w:pPr>
        <w:rPr>
          <w:rFonts w:ascii="Calibri" w:hAnsi="Calibri" w:cs="Calibri"/>
        </w:rPr>
      </w:pPr>
      <w:r w:rsidRPr="00203191">
        <w:rPr>
          <w:rFonts w:ascii="Calibri" w:hAnsi="Calibri" w:cs="Calibri"/>
        </w:rPr>
        <w:t xml:space="preserve">Wytwórnie materiałów mogą być okresowo kontrolowane przez Inżyniera w celu sprawdzenia zgodności stosowanych metod produkcji z wymaganiami. Próbki materiałów mogą być pobierane w celu sprawdzenia ich </w:t>
      </w:r>
      <w:r w:rsidRPr="00203191">
        <w:rPr>
          <w:rFonts w:ascii="Calibri" w:hAnsi="Calibri" w:cs="Calibri"/>
        </w:rPr>
        <w:lastRenderedPageBreak/>
        <w:t>właściwości. Wyniki tych kontroli będą stanowić podstawę do akceptacji określonej partii materiałów pod względem jakości.</w:t>
      </w:r>
    </w:p>
    <w:p w:rsidR="00656AC1" w:rsidRPr="00203191" w:rsidRDefault="00656AC1" w:rsidP="00364E4D">
      <w:pPr>
        <w:rPr>
          <w:rFonts w:ascii="Calibri" w:hAnsi="Calibri" w:cs="Calibri"/>
        </w:rPr>
      </w:pPr>
      <w:r w:rsidRPr="00203191">
        <w:rPr>
          <w:rFonts w:ascii="Calibri" w:hAnsi="Calibri" w:cs="Calibri"/>
        </w:rPr>
        <w:t>W przypadku, gdy Inżynier będzie przeprowadzał inspekcję wytwórni, muszą być spełnione następujące warunki:</w:t>
      </w:r>
    </w:p>
    <w:p w:rsidR="00656AC1" w:rsidRPr="00203191" w:rsidRDefault="00656AC1" w:rsidP="00954A11">
      <w:pPr>
        <w:numPr>
          <w:ilvl w:val="0"/>
          <w:numId w:val="5"/>
        </w:numPr>
        <w:rPr>
          <w:rFonts w:ascii="Calibri" w:hAnsi="Calibri" w:cs="Calibri"/>
        </w:rPr>
      </w:pPr>
      <w:r w:rsidRPr="00203191">
        <w:rPr>
          <w:rFonts w:ascii="Calibri" w:hAnsi="Calibri" w:cs="Calibri"/>
        </w:rPr>
        <w:t>Inżynier będzie miał zapewnioną współpracę i pomoc Wykonawcy oraz producenta materiałów w czasie przeprowadzania inspekcji,</w:t>
      </w:r>
    </w:p>
    <w:p w:rsidR="00656AC1" w:rsidRPr="00203191" w:rsidRDefault="00656AC1" w:rsidP="00954A11">
      <w:pPr>
        <w:numPr>
          <w:ilvl w:val="0"/>
          <w:numId w:val="5"/>
        </w:numPr>
        <w:rPr>
          <w:rFonts w:ascii="Calibri" w:hAnsi="Calibri" w:cs="Calibri"/>
        </w:rPr>
      </w:pPr>
      <w:r w:rsidRPr="00203191">
        <w:rPr>
          <w:rFonts w:ascii="Calibri" w:hAnsi="Calibri" w:cs="Calibri"/>
        </w:rPr>
        <w:t>Inżynier będzie miał wolny dostęp, w dowolnym czasie, do tych części wytwórni, gdzie odbywa się produkcja materiałów przeznaczonych do realizacji robót,</w:t>
      </w:r>
    </w:p>
    <w:p w:rsidR="00656AC1" w:rsidRPr="00203191" w:rsidRDefault="00656AC1" w:rsidP="00954A11">
      <w:pPr>
        <w:numPr>
          <w:ilvl w:val="0"/>
          <w:numId w:val="5"/>
        </w:numPr>
        <w:rPr>
          <w:rFonts w:ascii="Calibri" w:hAnsi="Calibri" w:cs="Calibri"/>
        </w:rPr>
      </w:pPr>
      <w:r w:rsidRPr="00203191">
        <w:rPr>
          <w:rFonts w:ascii="Calibri" w:hAnsi="Calibri" w:cs="Calibri"/>
        </w:rPr>
        <w:t>Jeżeli produkcja odbywa się w miejscu nie należącym do Wykonawcy, Wykonawca uzyska dla Inżyniera zezwolenie dla przeprowadzenia inspekcji i badań w tych miejscach.</w:t>
      </w:r>
    </w:p>
    <w:p w:rsidR="00656AC1" w:rsidRPr="00203191" w:rsidRDefault="00656AC1" w:rsidP="00364E4D">
      <w:pPr>
        <w:pStyle w:val="Nagwek3"/>
        <w:rPr>
          <w:rFonts w:ascii="Calibri" w:hAnsi="Calibri" w:cs="Calibri"/>
        </w:rPr>
      </w:pPr>
      <w:bookmarkStart w:id="20" w:name="_Toc416830700"/>
      <w:bookmarkStart w:id="21" w:name="_Toc6881281"/>
      <w:bookmarkStart w:id="22" w:name="_Toc6882154"/>
      <w:r w:rsidRPr="00203191">
        <w:rPr>
          <w:rFonts w:ascii="Calibri" w:hAnsi="Calibri" w:cs="Calibri"/>
        </w:rPr>
        <w:t>3. SPRZĘT</w:t>
      </w:r>
      <w:bookmarkEnd w:id="20"/>
      <w:bookmarkEnd w:id="21"/>
      <w:bookmarkEnd w:id="22"/>
    </w:p>
    <w:p w:rsidR="00656AC1" w:rsidRPr="00203191" w:rsidRDefault="00656AC1" w:rsidP="00364E4D">
      <w:pPr>
        <w:rPr>
          <w:rFonts w:ascii="Calibri" w:hAnsi="Calibri" w:cs="Calibri"/>
        </w:rPr>
      </w:pPr>
      <w:r w:rsidRPr="00203191">
        <w:rPr>
          <w:rFonts w:ascii="Calibri" w:hAnsi="Calibri" w:cs="Calibri"/>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w:t>
      </w:r>
      <w:r w:rsidR="005B48CA">
        <w:rPr>
          <w:rFonts w:ascii="Calibri" w:hAnsi="Calibri" w:cs="Calibri"/>
        </w:rPr>
        <w:t>STWiORB</w:t>
      </w:r>
      <w:r w:rsidRPr="00203191">
        <w:rPr>
          <w:rFonts w:ascii="Calibri" w:hAnsi="Calibri" w:cs="Calibri"/>
        </w:rPr>
        <w:t>, PZJ lub projekcie organizacji robót, zaakceptowanym przez Inżyniera; w przypadku braku ustaleń w wymienionych wyżej dokumentach, sprzęt powinien być uzgodniony i zaakceptowany przez Inżyniera.</w:t>
      </w:r>
    </w:p>
    <w:p w:rsidR="00656AC1" w:rsidRPr="00203191" w:rsidRDefault="00656AC1" w:rsidP="00364E4D">
      <w:pPr>
        <w:rPr>
          <w:rFonts w:ascii="Calibri" w:hAnsi="Calibri" w:cs="Calibri"/>
        </w:rPr>
      </w:pPr>
      <w:r w:rsidRPr="00203191">
        <w:rPr>
          <w:rFonts w:ascii="Calibri" w:hAnsi="Calibri" w:cs="Calibri"/>
        </w:rPr>
        <w:t xml:space="preserve">Liczba i wydajność sprzętu powinny gwarantować przeprowadzenie robót, zgodnie z zasadami określonymi w dokumentacji projektowej, </w:t>
      </w:r>
      <w:r w:rsidR="005B48CA">
        <w:rPr>
          <w:rFonts w:ascii="Calibri" w:hAnsi="Calibri" w:cs="Calibri"/>
        </w:rPr>
        <w:t>STWiORB</w:t>
      </w:r>
      <w:r w:rsidRPr="00203191">
        <w:rPr>
          <w:rFonts w:ascii="Calibri" w:hAnsi="Calibri" w:cs="Calibri"/>
        </w:rPr>
        <w:t xml:space="preserve"> i wskazaniach Inżyniera.</w:t>
      </w:r>
    </w:p>
    <w:p w:rsidR="00656AC1" w:rsidRPr="00203191" w:rsidRDefault="00656AC1" w:rsidP="00364E4D">
      <w:pPr>
        <w:rPr>
          <w:rFonts w:ascii="Calibri" w:hAnsi="Calibri" w:cs="Calibri"/>
        </w:rPr>
      </w:pPr>
      <w:r w:rsidRPr="00203191">
        <w:rPr>
          <w:rFonts w:ascii="Calibri" w:hAnsi="Calibri" w:cs="Calibri"/>
        </w:rPr>
        <w:t>Sprzęt będący własnością Wykonawcy lub wynajęty do wykonania robót ma być utrzymywany w dobrym stanie i gotowości do pracy. Powinien być zgodny z normami ochrony środowiska i przepisami dotyczącymi jego użytkowania.</w:t>
      </w:r>
    </w:p>
    <w:p w:rsidR="00656AC1" w:rsidRPr="00203191" w:rsidRDefault="00656AC1" w:rsidP="00364E4D">
      <w:pPr>
        <w:rPr>
          <w:rFonts w:ascii="Calibri" w:hAnsi="Calibri" w:cs="Calibri"/>
        </w:rPr>
      </w:pPr>
      <w:r w:rsidRPr="00203191">
        <w:rPr>
          <w:rFonts w:ascii="Calibri" w:hAnsi="Calibri" w:cs="Calibri"/>
        </w:rPr>
        <w:t>Wykonawca dostarczy Inżynierowi kopie dokumentów potwierdzających dopuszczenie sprzętu do użytkowania i badań okresowych, tam gdzie jest to wymagane przepisami.</w:t>
      </w:r>
    </w:p>
    <w:p w:rsidR="00656AC1" w:rsidRPr="00203191" w:rsidRDefault="00656AC1" w:rsidP="00364E4D">
      <w:pPr>
        <w:rPr>
          <w:rFonts w:ascii="Calibri" w:hAnsi="Calibri" w:cs="Calibri"/>
        </w:rPr>
      </w:pPr>
      <w:r w:rsidRPr="00203191">
        <w:rPr>
          <w:rFonts w:ascii="Calibri" w:hAnsi="Calibri" w:cs="Calibri"/>
        </w:rPr>
        <w:t>Wykonawca będzie konserwować sprzęt jak również naprawiać lub wymieniać sprzęt niesprawny.</w:t>
      </w:r>
    </w:p>
    <w:p w:rsidR="00656AC1" w:rsidRPr="00203191" w:rsidRDefault="00656AC1" w:rsidP="00364E4D">
      <w:pPr>
        <w:rPr>
          <w:rFonts w:ascii="Calibri" w:hAnsi="Calibri" w:cs="Calibri"/>
        </w:rPr>
      </w:pPr>
      <w:r w:rsidRPr="00203191">
        <w:rPr>
          <w:rFonts w:ascii="Calibri" w:hAnsi="Calibri" w:cs="Calibri"/>
        </w:rPr>
        <w:t xml:space="preserve">Jeżeli dokumentacja projektowa lub </w:t>
      </w:r>
      <w:r w:rsidR="005B48CA">
        <w:rPr>
          <w:rFonts w:ascii="Calibri" w:hAnsi="Calibri" w:cs="Calibri"/>
        </w:rPr>
        <w:t>STWiORB</w:t>
      </w:r>
      <w:r w:rsidRPr="00203191">
        <w:rPr>
          <w:rFonts w:ascii="Calibri" w:hAnsi="Calibri" w:cs="Calibri"/>
        </w:rPr>
        <w:t xml:space="preserve"> przewidują możliwość wariantowego użycia sprzętu przy wykonywanych robotach, Wykonawca powiadomi Inżyniera o swoim zamiarze wyboru i uzyska jego akceptację przed użyciem sprzętu. Wybrany sprzęt, po akceptacji Inżyniera, nie może być później zmieniany bez jego zgody.</w:t>
      </w:r>
    </w:p>
    <w:p w:rsidR="00656AC1" w:rsidRPr="00203191" w:rsidRDefault="00656AC1" w:rsidP="00364E4D">
      <w:pPr>
        <w:rPr>
          <w:rFonts w:ascii="Calibri" w:hAnsi="Calibri" w:cs="Calibri"/>
        </w:rPr>
      </w:pPr>
      <w:r w:rsidRPr="00203191">
        <w:rPr>
          <w:rFonts w:ascii="Calibri" w:hAnsi="Calibri" w:cs="Calibri"/>
        </w:rPr>
        <w:t>Jakikolwiek sprzęt, maszyny, urządzenia i narzędzia nie gwarantujące zachowania warunków umowy, zostaną przez Inżyniera zdyskwalifikowane i nie dopuszczone do robót.</w:t>
      </w:r>
    </w:p>
    <w:p w:rsidR="00656AC1" w:rsidRPr="00203191" w:rsidRDefault="00656AC1" w:rsidP="00364E4D">
      <w:pPr>
        <w:pStyle w:val="Nagwek3"/>
        <w:rPr>
          <w:rFonts w:ascii="Calibri" w:hAnsi="Calibri" w:cs="Calibri"/>
        </w:rPr>
      </w:pPr>
      <w:bookmarkStart w:id="23" w:name="_Toc416830701"/>
      <w:bookmarkStart w:id="24" w:name="_Toc6881282"/>
      <w:bookmarkStart w:id="25" w:name="_Toc6882155"/>
      <w:r w:rsidRPr="00203191">
        <w:rPr>
          <w:rFonts w:ascii="Calibri" w:hAnsi="Calibri" w:cs="Calibri"/>
        </w:rPr>
        <w:t>4. TRANSPORT</w:t>
      </w:r>
      <w:bookmarkEnd w:id="23"/>
      <w:bookmarkEnd w:id="24"/>
      <w:bookmarkEnd w:id="25"/>
    </w:p>
    <w:p w:rsidR="00656AC1" w:rsidRPr="00203191" w:rsidRDefault="00656AC1" w:rsidP="00364E4D">
      <w:pPr>
        <w:rPr>
          <w:rFonts w:ascii="Calibri" w:hAnsi="Calibri" w:cs="Calibri"/>
        </w:rPr>
      </w:pPr>
      <w:r w:rsidRPr="00203191">
        <w:rPr>
          <w:rFonts w:ascii="Calibri" w:hAnsi="Calibri" w:cs="Calibri"/>
        </w:rPr>
        <w:t>Wykonawca jest zobowiązany do stosowania jedynie takich środków transportu, które nie wpłyną niekorzystnie na jakość wykonywanych robót i właściwości przewożonych materiałów.</w:t>
      </w:r>
    </w:p>
    <w:p w:rsidR="00656AC1" w:rsidRPr="00203191" w:rsidRDefault="00656AC1" w:rsidP="00364E4D">
      <w:pPr>
        <w:rPr>
          <w:rFonts w:ascii="Calibri" w:hAnsi="Calibri" w:cs="Calibri"/>
        </w:rPr>
      </w:pPr>
      <w:r w:rsidRPr="00203191">
        <w:rPr>
          <w:rFonts w:ascii="Calibri" w:hAnsi="Calibri" w:cs="Calibri"/>
        </w:rPr>
        <w:t xml:space="preserve">Liczba środków transportu powinna zapewniać prowadzenie robót zgodnie z zasadami określonymi w dokumentacji projektowej, </w:t>
      </w:r>
      <w:r w:rsidR="005B48CA">
        <w:rPr>
          <w:rFonts w:ascii="Calibri" w:hAnsi="Calibri" w:cs="Calibri"/>
        </w:rPr>
        <w:t>STWiORB</w:t>
      </w:r>
      <w:r w:rsidRPr="00203191">
        <w:rPr>
          <w:rFonts w:ascii="Calibri" w:hAnsi="Calibri" w:cs="Calibri"/>
        </w:rPr>
        <w:t xml:space="preserve"> i wskazaniach Inżyniera, w terminie przewidzianym umową.</w:t>
      </w:r>
    </w:p>
    <w:p w:rsidR="00656AC1" w:rsidRPr="00203191" w:rsidRDefault="00656AC1" w:rsidP="00364E4D">
      <w:pPr>
        <w:rPr>
          <w:rFonts w:ascii="Calibri" w:hAnsi="Calibri" w:cs="Calibri"/>
        </w:rPr>
      </w:pPr>
      <w:r w:rsidRPr="00203191">
        <w:rPr>
          <w:rFonts w:ascii="Calibri" w:hAnsi="Calibri" w:cs="Calibri"/>
        </w:rPr>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 pod warunkiem przywrócenia stanu pierwotnego użytkowanych odcinków dróg na koszt Wykonawcy.</w:t>
      </w:r>
    </w:p>
    <w:p w:rsidR="00656AC1" w:rsidRPr="00203191" w:rsidRDefault="00656AC1" w:rsidP="00364E4D">
      <w:pPr>
        <w:rPr>
          <w:rFonts w:ascii="Calibri" w:hAnsi="Calibri" w:cs="Calibri"/>
        </w:rPr>
      </w:pPr>
      <w:r w:rsidRPr="00203191">
        <w:rPr>
          <w:rFonts w:ascii="Calibri" w:hAnsi="Calibri" w:cs="Calibri"/>
        </w:rPr>
        <w:t>Wykonawca będzie usuwać na bieżąco, na własny koszt, wszelkie zanieczyszczenia, uszkodzenia spowodowane jego pojazdami na drogach publicznych oraz dojazdach do terenu budowy.</w:t>
      </w:r>
    </w:p>
    <w:p w:rsidR="00656AC1" w:rsidRPr="00203191" w:rsidRDefault="00656AC1" w:rsidP="00364E4D">
      <w:pPr>
        <w:pStyle w:val="Nagwek3"/>
        <w:rPr>
          <w:rFonts w:ascii="Calibri" w:hAnsi="Calibri" w:cs="Calibri"/>
        </w:rPr>
      </w:pPr>
      <w:bookmarkStart w:id="26" w:name="_Toc416830702"/>
      <w:bookmarkStart w:id="27" w:name="_Toc6881283"/>
      <w:bookmarkStart w:id="28" w:name="_Toc6882156"/>
      <w:r w:rsidRPr="00203191">
        <w:rPr>
          <w:rFonts w:ascii="Calibri" w:hAnsi="Calibri" w:cs="Calibri"/>
        </w:rPr>
        <w:t>5. WYKONANIE ROBÓT</w:t>
      </w:r>
      <w:bookmarkEnd w:id="26"/>
      <w:bookmarkEnd w:id="27"/>
      <w:bookmarkEnd w:id="28"/>
    </w:p>
    <w:p w:rsidR="00656AC1" w:rsidRPr="00203191" w:rsidRDefault="00656AC1" w:rsidP="00364E4D">
      <w:pPr>
        <w:pStyle w:val="tekstost"/>
        <w:rPr>
          <w:rFonts w:ascii="Calibri" w:hAnsi="Calibri" w:cs="Calibri"/>
        </w:rPr>
      </w:pPr>
      <w:r w:rsidRPr="00203191">
        <w:rPr>
          <w:rFonts w:ascii="Calibri" w:hAnsi="Calibri" w:cs="Calibri"/>
        </w:rPr>
        <w:t xml:space="preserve">Wykonawca jest odpowiedzialny za prowadzenie robót zgodnie z warunkami umowy oraz za jakość zastosowanych materiałów i wykonywanych robót, za ich zgodność z dokumentacją projektową, wymaganiami </w:t>
      </w:r>
      <w:r w:rsidR="005B48CA">
        <w:rPr>
          <w:rFonts w:ascii="Calibri" w:hAnsi="Calibri" w:cs="Calibri"/>
        </w:rPr>
        <w:t>STWiORB</w:t>
      </w:r>
      <w:r w:rsidRPr="00203191">
        <w:rPr>
          <w:rFonts w:ascii="Calibri" w:hAnsi="Calibri" w:cs="Calibri"/>
        </w:rPr>
        <w:t>, PZJ, projektem organizacji robót opracowanym przez Wykonawcę oraz poleceniami Inżyniera.</w:t>
      </w:r>
    </w:p>
    <w:p w:rsidR="00656AC1" w:rsidRPr="00203191" w:rsidRDefault="00656AC1" w:rsidP="00364E4D">
      <w:pPr>
        <w:pStyle w:val="tekstost"/>
        <w:rPr>
          <w:rFonts w:ascii="Calibri" w:hAnsi="Calibri" w:cs="Calibri"/>
        </w:rPr>
      </w:pPr>
      <w:r w:rsidRPr="00203191">
        <w:rPr>
          <w:rFonts w:ascii="Calibri" w:hAnsi="Calibri" w:cs="Calibri"/>
        </w:rPr>
        <w:t>Wykonawca jest odpowiedzialny za stosowane metody wykonywania robót.</w:t>
      </w:r>
    </w:p>
    <w:p w:rsidR="00656AC1" w:rsidRPr="00203191" w:rsidRDefault="00656AC1" w:rsidP="00364E4D">
      <w:pPr>
        <w:pStyle w:val="tekstost"/>
        <w:rPr>
          <w:rFonts w:ascii="Calibri" w:hAnsi="Calibri" w:cs="Calibri"/>
        </w:rPr>
      </w:pPr>
      <w:r w:rsidRPr="00203191">
        <w:rPr>
          <w:rFonts w:ascii="Calibri" w:hAnsi="Calibri" w:cs="Calibri"/>
        </w:rPr>
        <w:t>Wykonawca jest odpowiedzialny za dokładne wytyczenie w planie i wyznaczenie wysokości wszystkich elementów robót zgodnie z wymiarami i rzędnymi określonymi w dokumentacji projektowej lub przekazanymi na piśmie przez Inżyniera</w:t>
      </w:r>
    </w:p>
    <w:p w:rsidR="00656AC1" w:rsidRPr="00203191" w:rsidRDefault="00656AC1" w:rsidP="00364E4D">
      <w:pPr>
        <w:pStyle w:val="tekstost"/>
        <w:rPr>
          <w:rFonts w:ascii="Calibri" w:hAnsi="Calibri" w:cs="Calibri"/>
        </w:rPr>
      </w:pPr>
      <w:r w:rsidRPr="00203191">
        <w:rPr>
          <w:rFonts w:ascii="Calibri" w:hAnsi="Calibri" w:cs="Calibri"/>
        </w:rPr>
        <w:lastRenderedPageBreak/>
        <w:t>Błędy popełnione przez Wykonawcę w wytyczeniu i wyznaczaniu robót zostaną, usunięte przez Wykonawcę na własny koszt, z wyjątkiem, kiedy dany błąd okaże się skutkiem błędu zawartego w danych dostarczonych Wykonawcy na piśmie przez Inżyniera.</w:t>
      </w:r>
    </w:p>
    <w:p w:rsidR="00656AC1" w:rsidRPr="00203191" w:rsidRDefault="00656AC1" w:rsidP="00364E4D">
      <w:pPr>
        <w:pStyle w:val="tekstost"/>
        <w:rPr>
          <w:rFonts w:ascii="Calibri" w:hAnsi="Calibri" w:cs="Calibri"/>
        </w:rPr>
      </w:pPr>
      <w:r w:rsidRPr="00203191">
        <w:rPr>
          <w:rFonts w:ascii="Calibri" w:hAnsi="Calibri" w:cs="Calibri"/>
        </w:rPr>
        <w:t>Sprawdzenie wytyczenia robót lub wyznaczenia wysokości przez Inżyniera nie zwalnia Wykonawcy od odpowiedzialności za ich dokładność.</w:t>
      </w:r>
    </w:p>
    <w:p w:rsidR="00656AC1" w:rsidRPr="00203191" w:rsidRDefault="00656AC1" w:rsidP="00364E4D">
      <w:pPr>
        <w:pStyle w:val="tekstost"/>
        <w:rPr>
          <w:rFonts w:ascii="Calibri" w:hAnsi="Calibri" w:cs="Calibri"/>
        </w:rPr>
      </w:pPr>
      <w:r w:rsidRPr="00203191">
        <w:rPr>
          <w:rFonts w:ascii="Calibri" w:hAnsi="Calibri" w:cs="Calibri"/>
        </w:rPr>
        <w:t xml:space="preserve">Decyzje Inżyniera dotyczące akceptacji lub odrzucenia materiałów i elementów robót będą oparte na wymaganiach określonych w dokumentach umowy, dokumentacji projektowej i w </w:t>
      </w:r>
      <w:r w:rsidR="005B48CA">
        <w:rPr>
          <w:rFonts w:ascii="Calibri" w:hAnsi="Calibri" w:cs="Calibri"/>
        </w:rPr>
        <w:t>STWiORB</w:t>
      </w:r>
      <w:r w:rsidRPr="00203191">
        <w:rPr>
          <w:rFonts w:ascii="Calibri" w:hAnsi="Calibri" w:cs="Calibri"/>
        </w:rPr>
        <w:t>, a także w normach i wytycznych. Przy podejmowaniu decyzji Inżynier uwzględni wyniki badań materiałów i robót, rozrzuty normalnie występujące przy produkcji i przy badaniach materiałów, doświadczenia z przeszłości, wyniki badań naukowych oraz inne czynniki wpływające na rozważaną kwestię.</w:t>
      </w:r>
    </w:p>
    <w:p w:rsidR="00656AC1" w:rsidRPr="00203191" w:rsidRDefault="00656AC1" w:rsidP="00364E4D">
      <w:pPr>
        <w:pStyle w:val="tekstost"/>
        <w:rPr>
          <w:rFonts w:ascii="Calibri" w:hAnsi="Calibri" w:cs="Calibri"/>
        </w:rPr>
      </w:pPr>
      <w:r w:rsidRPr="00203191">
        <w:rPr>
          <w:rFonts w:ascii="Calibri" w:hAnsi="Calibri" w:cs="Calibri"/>
        </w:rPr>
        <w:t>Polecenia Inżyniera powinny być wykonywane przez Wykonawcę w czasie określonym przez Inżyniera, pod groźbą zatrzymania robót. Skutki finansowe z tego tytułu poniesie Wykonawca.</w:t>
      </w:r>
    </w:p>
    <w:p w:rsidR="00656AC1" w:rsidRPr="00203191" w:rsidRDefault="00656AC1" w:rsidP="00364E4D">
      <w:pPr>
        <w:pStyle w:val="Nagwek3"/>
        <w:rPr>
          <w:rFonts w:ascii="Calibri" w:hAnsi="Calibri" w:cs="Calibri"/>
        </w:rPr>
      </w:pPr>
      <w:bookmarkStart w:id="29" w:name="_Toc416830703"/>
      <w:bookmarkStart w:id="30" w:name="_Toc6881284"/>
      <w:bookmarkStart w:id="31" w:name="_Toc6882157"/>
      <w:r w:rsidRPr="00203191">
        <w:rPr>
          <w:rFonts w:ascii="Calibri" w:hAnsi="Calibri" w:cs="Calibri"/>
        </w:rPr>
        <w:t>6. KONTROLA JAKOŚCI ROBÓT</w:t>
      </w:r>
      <w:bookmarkEnd w:id="29"/>
      <w:bookmarkEnd w:id="30"/>
      <w:bookmarkEnd w:id="31"/>
    </w:p>
    <w:p w:rsidR="00656AC1" w:rsidRPr="00203191" w:rsidRDefault="00656AC1" w:rsidP="00364E4D">
      <w:pPr>
        <w:pStyle w:val="Nagwek4"/>
        <w:rPr>
          <w:rFonts w:ascii="Calibri" w:hAnsi="Calibri" w:cs="Calibri"/>
        </w:rPr>
      </w:pPr>
      <w:r w:rsidRPr="00203191">
        <w:rPr>
          <w:rFonts w:ascii="Calibri" w:hAnsi="Calibri" w:cs="Calibri"/>
        </w:rPr>
        <w:t xml:space="preserve">6.1. Program zapewnienia jakości </w:t>
      </w:r>
    </w:p>
    <w:p w:rsidR="00656AC1" w:rsidRPr="00203191" w:rsidRDefault="00656AC1" w:rsidP="00364E4D">
      <w:pPr>
        <w:pStyle w:val="tekstost"/>
        <w:rPr>
          <w:rFonts w:ascii="Calibri" w:hAnsi="Calibri" w:cs="Calibri"/>
        </w:rPr>
      </w:pPr>
      <w:r w:rsidRPr="00203191">
        <w:rPr>
          <w:rFonts w:ascii="Calibri" w:hAnsi="Calibri" w:cs="Calibri"/>
        </w:rPr>
        <w:t xml:space="preserve">Wykonawca jest zobowiązany opracować i przedstawić do akceptacji Inżyniera program zapewnienia jakości. W programie zapewnienia jakości Wykonawca powinien określić, zamierzony sposób wykonywania robót, możliwości techniczne, kadrowe i plan organizacji robót gwarantujący wykonanie robót zgodnie z dokumentacją projektową, </w:t>
      </w:r>
      <w:r w:rsidR="005B48CA">
        <w:rPr>
          <w:rFonts w:ascii="Calibri" w:hAnsi="Calibri" w:cs="Calibri"/>
        </w:rPr>
        <w:t>STWiORB</w:t>
      </w:r>
      <w:r w:rsidRPr="00203191">
        <w:rPr>
          <w:rFonts w:ascii="Calibri" w:hAnsi="Calibri" w:cs="Calibri"/>
        </w:rPr>
        <w:t xml:space="preserve"> oraz ustaleniami. </w:t>
      </w:r>
    </w:p>
    <w:p w:rsidR="00656AC1" w:rsidRPr="00203191" w:rsidRDefault="00656AC1" w:rsidP="00364E4D">
      <w:pPr>
        <w:pStyle w:val="tekstost"/>
        <w:rPr>
          <w:rFonts w:ascii="Calibri" w:hAnsi="Calibri" w:cs="Calibri"/>
        </w:rPr>
      </w:pPr>
      <w:r w:rsidRPr="00203191">
        <w:rPr>
          <w:rFonts w:ascii="Calibri" w:hAnsi="Calibri" w:cs="Calibri"/>
        </w:rPr>
        <w:t>Program zapewnienia jakości powinien zawierać:</w:t>
      </w:r>
    </w:p>
    <w:p w:rsidR="00656AC1" w:rsidRPr="00203191" w:rsidRDefault="00656AC1" w:rsidP="00364E4D">
      <w:pPr>
        <w:pStyle w:val="tekstost"/>
        <w:rPr>
          <w:rFonts w:ascii="Calibri" w:hAnsi="Calibri" w:cs="Calibri"/>
        </w:rPr>
      </w:pPr>
      <w:r w:rsidRPr="00203191">
        <w:rPr>
          <w:rFonts w:ascii="Calibri" w:hAnsi="Calibri" w:cs="Calibri"/>
        </w:rPr>
        <w:t>a) część ogólną opisującą:</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organizację wykonania robót, w tym terminy i sposób prowadzenia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organizację ruchu na budowie wraz z oznakowaniem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sposób zapewnienia bhp.,</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wykaz zespołów roboczych, ich kwalifikacje i przygotowanie praktyczne,</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wykaz osób odpowiedzialnych za jakość i terminowość wykonania poszczególnych elementów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system (sposób i procedurę) proponowanej kontroli i sterowania jakością wykonywanych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wyposażenie w sprzęt i urządzenia do pomiarów i kontroli (opis laboratorium własnego lub laboratorium, któremu Wykonawca zamierza zlecić prowadzenie badań),</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sposób oraz formę gromadzenia wyników badań laboratoryjnych, zapis pomiarów, nastaw mechanizmów sterujących, a także wyciąganych wniosków i zastosowanych korekt w procesie technologicznym, proponowany sposób i formę przekazywania tych informacji Inżynierowi.</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b) część szczegółową opisującą dla każdego asortymentu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wykaz maszyn i urządzeń stosowanych na budowie z ich parametrami technicznymi oraz wyposażeniem w mechanizmy do sterowania i urządzenia pomiarowo-kontrolne,</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rodzaje i ilość środków transportu oraz urządzeń do magazynowania i załadunku materiałów, spoiw, lepiszczy, kruszyw itp.,</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sposób zabezpieczenia i ochrony ładunków przed utratą ich właściwości w czasie transportu,</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sposób i procedurę pomiarów i badań (rodzaj i częstotliwość, pobieranie próbek, legalizacja i sprawdzanie urządzeń, itp.) prowadzonych podczas dostaw materiałów, wytwarzania mieszanek i wykonywania poszczególnych elementów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sposób postępowania z materiałami i robotami nie odpowiadającymi wymaganiom.</w:t>
      </w:r>
    </w:p>
    <w:p w:rsidR="00656AC1" w:rsidRPr="00203191" w:rsidRDefault="00656AC1" w:rsidP="00364E4D">
      <w:pPr>
        <w:pStyle w:val="Nagwek4"/>
        <w:rPr>
          <w:rFonts w:ascii="Calibri" w:hAnsi="Calibri" w:cs="Calibri"/>
        </w:rPr>
      </w:pPr>
      <w:r w:rsidRPr="00203191">
        <w:rPr>
          <w:rFonts w:ascii="Calibri" w:hAnsi="Calibri" w:cs="Calibri"/>
        </w:rPr>
        <w:t>6.2. Zasady kontroli jakości robót</w:t>
      </w:r>
    </w:p>
    <w:p w:rsidR="00656AC1" w:rsidRPr="00203191" w:rsidRDefault="00656AC1" w:rsidP="00364E4D">
      <w:pPr>
        <w:pStyle w:val="tekstost"/>
        <w:rPr>
          <w:rFonts w:ascii="Calibri" w:hAnsi="Calibri" w:cs="Calibri"/>
        </w:rPr>
      </w:pPr>
      <w:r w:rsidRPr="00203191">
        <w:rPr>
          <w:rFonts w:ascii="Calibri" w:hAnsi="Calibri" w:cs="Calibri"/>
        </w:rPr>
        <w:t>Celem kontroli robót będzie takie sterowanie ich przygotowaniem i wykonaniem, aby osiągnąć założoną jakość robót.</w:t>
      </w:r>
    </w:p>
    <w:p w:rsidR="00656AC1" w:rsidRPr="00203191" w:rsidRDefault="00656AC1" w:rsidP="00364E4D">
      <w:pPr>
        <w:pStyle w:val="tekstost"/>
        <w:rPr>
          <w:rFonts w:ascii="Calibri" w:hAnsi="Calibri" w:cs="Calibri"/>
        </w:rPr>
      </w:pPr>
      <w:r w:rsidRPr="00203191">
        <w:rPr>
          <w:rFonts w:ascii="Calibri" w:hAnsi="Calibri" w:cs="Calibri"/>
        </w:rPr>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rsidR="00656AC1" w:rsidRPr="00203191" w:rsidRDefault="00656AC1" w:rsidP="00364E4D">
      <w:pPr>
        <w:pStyle w:val="tekstost"/>
        <w:rPr>
          <w:rFonts w:ascii="Calibri" w:hAnsi="Calibri" w:cs="Calibri"/>
        </w:rPr>
      </w:pPr>
      <w:r w:rsidRPr="00203191">
        <w:rPr>
          <w:rFonts w:ascii="Calibri" w:hAnsi="Calibri" w:cs="Calibri"/>
        </w:rPr>
        <w:t>Przed zatwierdzeniem systemu kontroli Inżynier może zażądać od Wykonawcy przeprowadzenia badań w celu zademonstrowania, że poziom ich wykonywania jest zadowalający.</w:t>
      </w:r>
    </w:p>
    <w:p w:rsidR="00656AC1" w:rsidRPr="00203191" w:rsidRDefault="00656AC1" w:rsidP="00364E4D">
      <w:pPr>
        <w:pStyle w:val="tekstost"/>
        <w:rPr>
          <w:rFonts w:ascii="Calibri" w:hAnsi="Calibri" w:cs="Calibri"/>
        </w:rPr>
      </w:pPr>
      <w:r w:rsidRPr="00203191">
        <w:rPr>
          <w:rFonts w:ascii="Calibri" w:hAnsi="Calibri" w:cs="Calibri"/>
        </w:rPr>
        <w:lastRenderedPageBreak/>
        <w:t xml:space="preserve">Wykonawca będzie przeprowadzać pomiary i badania materiałów oraz robót z częstotliwością zapewniającą stwierdzenie, że roboty wykonano zgodnie z wymaganiami zawartymi w dokumentacji projektowej i </w:t>
      </w:r>
      <w:r w:rsidR="005B48CA">
        <w:rPr>
          <w:rFonts w:ascii="Calibri" w:hAnsi="Calibri" w:cs="Calibri"/>
        </w:rPr>
        <w:t>STWiORB</w:t>
      </w:r>
    </w:p>
    <w:p w:rsidR="00656AC1" w:rsidRPr="00203191" w:rsidRDefault="00656AC1" w:rsidP="00364E4D">
      <w:pPr>
        <w:pStyle w:val="tekstost"/>
        <w:rPr>
          <w:rFonts w:ascii="Calibri" w:hAnsi="Calibri" w:cs="Calibri"/>
        </w:rPr>
      </w:pPr>
      <w:r w:rsidRPr="00203191">
        <w:rPr>
          <w:rFonts w:ascii="Calibri" w:hAnsi="Calibri" w:cs="Calibri"/>
        </w:rPr>
        <w:t xml:space="preserve">Minimalne wymagania co do zakresu badań i ich częstotliwość są określone w </w:t>
      </w:r>
      <w:r w:rsidR="005B48CA">
        <w:rPr>
          <w:rFonts w:ascii="Calibri" w:hAnsi="Calibri" w:cs="Calibri"/>
        </w:rPr>
        <w:t>STWiORB</w:t>
      </w:r>
      <w:r w:rsidRPr="00203191">
        <w:rPr>
          <w:rFonts w:ascii="Calibri" w:hAnsi="Calibri" w:cs="Calibri"/>
        </w:rPr>
        <w:t>, normach i wytycznych. W przypadku, gdy nie zostały one tam określone, Inżynier ustali jaki zakres kontroli jest konieczny, aby zapewnić wykonanie robót zgodnie z umową.</w:t>
      </w:r>
    </w:p>
    <w:p w:rsidR="00656AC1" w:rsidRPr="00203191" w:rsidRDefault="00656AC1" w:rsidP="00364E4D">
      <w:pPr>
        <w:pStyle w:val="tekstost"/>
        <w:rPr>
          <w:rFonts w:ascii="Calibri" w:hAnsi="Calibri" w:cs="Calibri"/>
        </w:rPr>
      </w:pPr>
      <w:r w:rsidRPr="00203191">
        <w:rPr>
          <w:rFonts w:ascii="Calibri" w:hAnsi="Calibri" w:cs="Calibri"/>
        </w:rPr>
        <w:t>Wykonawca dostarczy Inżynierowi świadectwa, że wszystkie stosowane urządzenia i sprzęt badawczy posiadają ważną legalizację, zostały prawidłowo wykalibrowane i odpowiadają wymaganiom norm określających procedury badań.</w:t>
      </w:r>
    </w:p>
    <w:p w:rsidR="00656AC1" w:rsidRPr="00203191" w:rsidRDefault="00656AC1" w:rsidP="00364E4D">
      <w:pPr>
        <w:pStyle w:val="tekstost"/>
        <w:rPr>
          <w:rFonts w:ascii="Calibri" w:hAnsi="Calibri" w:cs="Calibri"/>
        </w:rPr>
      </w:pPr>
      <w:r w:rsidRPr="00203191">
        <w:rPr>
          <w:rFonts w:ascii="Calibri" w:hAnsi="Calibri" w:cs="Calibri"/>
        </w:rPr>
        <w:t>Inżynier będzie mieć nieograniczony dostęp do pomieszczeń laboratoryjnych, w celu ich inspekcji.</w:t>
      </w:r>
    </w:p>
    <w:p w:rsidR="00656AC1" w:rsidRPr="00203191" w:rsidRDefault="00656AC1" w:rsidP="00364E4D">
      <w:pPr>
        <w:pStyle w:val="tekstost"/>
        <w:rPr>
          <w:rFonts w:ascii="Calibri" w:hAnsi="Calibri" w:cs="Calibri"/>
        </w:rPr>
      </w:pPr>
      <w:r w:rsidRPr="00203191">
        <w:rPr>
          <w:rFonts w:ascii="Calibri" w:hAnsi="Calibri" w:cs="Calibri"/>
        </w:rPr>
        <w:t>Inżynier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natychmiast wstrzyma użycie do robót badanych materiałów i dopuści je do użycia dopiero wtedy, gdy niedociągnięcia w pracy laboratorium Wykonawcy zostaną usunięte i stwierdzona zostanie odpowiednia jakość tych materiałów.</w:t>
      </w:r>
    </w:p>
    <w:p w:rsidR="00656AC1" w:rsidRPr="00203191" w:rsidRDefault="00656AC1" w:rsidP="00364E4D">
      <w:pPr>
        <w:pStyle w:val="tekstost"/>
        <w:rPr>
          <w:rFonts w:ascii="Calibri" w:hAnsi="Calibri" w:cs="Calibri"/>
        </w:rPr>
      </w:pPr>
      <w:r w:rsidRPr="00203191">
        <w:rPr>
          <w:rFonts w:ascii="Calibri" w:hAnsi="Calibri" w:cs="Calibri"/>
        </w:rPr>
        <w:t>Wszystkie koszty związane z organizowaniem i prowadzeniem badań materiałów ponosi Wykonawca.</w:t>
      </w:r>
    </w:p>
    <w:p w:rsidR="00656AC1" w:rsidRPr="00203191" w:rsidRDefault="00656AC1" w:rsidP="00364E4D">
      <w:pPr>
        <w:pStyle w:val="Nagwek4"/>
        <w:rPr>
          <w:rFonts w:ascii="Calibri" w:hAnsi="Calibri" w:cs="Calibri"/>
        </w:rPr>
      </w:pPr>
      <w:r w:rsidRPr="00203191">
        <w:rPr>
          <w:rFonts w:ascii="Calibri" w:hAnsi="Calibri" w:cs="Calibri"/>
        </w:rPr>
        <w:t>6.3. Pobieranie próbek</w:t>
      </w:r>
    </w:p>
    <w:p w:rsidR="00656AC1" w:rsidRPr="00203191" w:rsidRDefault="00656AC1" w:rsidP="00364E4D">
      <w:pPr>
        <w:pStyle w:val="tekstost"/>
        <w:rPr>
          <w:rFonts w:ascii="Calibri" w:hAnsi="Calibri" w:cs="Calibri"/>
        </w:rPr>
      </w:pPr>
      <w:r w:rsidRPr="00203191">
        <w:rPr>
          <w:rFonts w:ascii="Calibri" w:hAnsi="Calibri" w:cs="Calibri"/>
        </w:rPr>
        <w:t>Próbki będą pobierane losowo. Zaleca się stosowanie statystycznych metod pobierania próbek, opartych na zasadzie, że wszystkie jednostkowe elementy produkcji mogą być z jednakowym prawdopodobieństwem wytypowane do badań.</w:t>
      </w:r>
    </w:p>
    <w:p w:rsidR="00656AC1" w:rsidRPr="00203191" w:rsidRDefault="00656AC1" w:rsidP="00364E4D">
      <w:pPr>
        <w:pStyle w:val="tekstost"/>
        <w:rPr>
          <w:rFonts w:ascii="Calibri" w:hAnsi="Calibri" w:cs="Calibri"/>
        </w:rPr>
      </w:pPr>
      <w:r w:rsidRPr="00203191">
        <w:rPr>
          <w:rFonts w:ascii="Calibri" w:hAnsi="Calibri" w:cs="Calibri"/>
        </w:rPr>
        <w:t>Inżynier będzie mieć zapewnioną możliwość udziału w pobieraniu próbek.</w:t>
      </w:r>
    </w:p>
    <w:p w:rsidR="00656AC1" w:rsidRPr="00203191" w:rsidRDefault="00656AC1" w:rsidP="00364E4D">
      <w:pPr>
        <w:pStyle w:val="tekstost"/>
        <w:rPr>
          <w:rFonts w:ascii="Calibri" w:hAnsi="Calibri" w:cs="Calibri"/>
        </w:rPr>
      </w:pPr>
      <w:r w:rsidRPr="00203191">
        <w:rPr>
          <w:rFonts w:ascii="Calibri" w:hAnsi="Calibri" w:cs="Calibri"/>
        </w:rPr>
        <w:t>Pojemniki do pobierania próbek będą dostarczone przez Wykonawcę i zatwierdzone przez Inżyniera. Próbki dostarczone przez Wykonawcę do badań wykonywanych przez Inżyniera będą odpowiednio opisane i oznakowane, w sposób zaakceptowany przez Inżyniera.</w:t>
      </w:r>
    </w:p>
    <w:p w:rsidR="00656AC1" w:rsidRPr="00203191" w:rsidRDefault="00656AC1" w:rsidP="00364E4D">
      <w:pPr>
        <w:pStyle w:val="tekstost"/>
        <w:rPr>
          <w:rFonts w:ascii="Calibri" w:hAnsi="Calibri" w:cs="Calibri"/>
        </w:rPr>
      </w:pPr>
      <w:r w:rsidRPr="00203191">
        <w:rPr>
          <w:rFonts w:ascii="Calibri" w:hAnsi="Calibri" w:cs="Calibri"/>
        </w:rPr>
        <w:t xml:space="preserve">Na zlecenie Inżyniera Wykonawca będzie przeprowadzać dodatkowe badania tych materiałów, które budzą wątpliwości co do jakości, o ile kwestionowane </w:t>
      </w:r>
      <w:r w:rsidR="00A95FEE">
        <w:rPr>
          <w:rFonts w:ascii="Calibri" w:hAnsi="Calibri" w:cs="Calibri"/>
        </w:rPr>
        <w:t>wyroby budowlane</w:t>
      </w:r>
      <w:r w:rsidRPr="00203191">
        <w:rPr>
          <w:rFonts w:ascii="Calibri" w:hAnsi="Calibri" w:cs="Calibri"/>
        </w:rPr>
        <w:t xml:space="preserve"> nie zostaną przez Wykonawcę usunięte lub ulepszone z własnej woli. Koszty tych dodatkowych badań pokrywa Wykonawca tylko w przypadku stwierdzenia usterek; w przeciwnym przypadku koszty te pokrywa Zamawiający.</w:t>
      </w:r>
    </w:p>
    <w:p w:rsidR="00656AC1" w:rsidRPr="00203191" w:rsidRDefault="00656AC1" w:rsidP="00364E4D">
      <w:pPr>
        <w:pStyle w:val="Nagwek4"/>
        <w:rPr>
          <w:rFonts w:ascii="Calibri" w:hAnsi="Calibri" w:cs="Calibri"/>
        </w:rPr>
      </w:pPr>
      <w:r w:rsidRPr="00203191">
        <w:rPr>
          <w:rFonts w:ascii="Calibri" w:hAnsi="Calibri" w:cs="Calibri"/>
        </w:rPr>
        <w:t>6.4. Badania i pomiary</w:t>
      </w:r>
    </w:p>
    <w:p w:rsidR="00656AC1" w:rsidRPr="00203191" w:rsidRDefault="00656AC1" w:rsidP="00364E4D">
      <w:pPr>
        <w:pStyle w:val="tekstost"/>
        <w:rPr>
          <w:rFonts w:ascii="Calibri" w:hAnsi="Calibri" w:cs="Calibri"/>
        </w:rPr>
      </w:pPr>
      <w:r w:rsidRPr="00203191">
        <w:rPr>
          <w:rFonts w:ascii="Calibri" w:hAnsi="Calibri" w:cs="Calibri"/>
        </w:rPr>
        <w:t xml:space="preserve">Wszystkie badania i pomiary będą przeprowadzone zgodnie z wymaganiami norm. W przypadku, gdy normy nie obejmują jakiegokolwiek badania wymaganego w </w:t>
      </w:r>
      <w:r w:rsidR="005B48CA">
        <w:rPr>
          <w:rFonts w:ascii="Calibri" w:hAnsi="Calibri" w:cs="Calibri"/>
        </w:rPr>
        <w:t>STWiORB</w:t>
      </w:r>
      <w:r w:rsidRPr="00203191">
        <w:rPr>
          <w:rFonts w:ascii="Calibri" w:hAnsi="Calibri" w:cs="Calibri"/>
        </w:rPr>
        <w:t>, stosować można wytyczne krajowe, albo inne procedury, zaakceptowane przez Inżyniera.</w:t>
      </w:r>
    </w:p>
    <w:p w:rsidR="00656AC1" w:rsidRPr="00203191" w:rsidRDefault="00656AC1" w:rsidP="00364E4D">
      <w:pPr>
        <w:pStyle w:val="tekstost"/>
        <w:rPr>
          <w:rFonts w:ascii="Calibri" w:hAnsi="Calibri" w:cs="Calibri"/>
        </w:rPr>
      </w:pPr>
      <w:r w:rsidRPr="00203191">
        <w:rPr>
          <w:rFonts w:ascii="Calibri" w:hAnsi="Calibri" w:cs="Calibri"/>
        </w:rPr>
        <w:t>Przed przystąpieniem do pomiarów lub badań, Wykonawca powiadomi Inżyniera o rodzaju, miejscu i terminie pomiaru lub badania. Po wykonaniu pomiaru lub badania, Wykonawca przedstawi na piśmie ich wyniki do akceptacji Inżyniera.</w:t>
      </w:r>
    </w:p>
    <w:p w:rsidR="00656AC1" w:rsidRPr="00203191" w:rsidRDefault="00656AC1" w:rsidP="00364E4D">
      <w:pPr>
        <w:pStyle w:val="Nagwek4"/>
        <w:rPr>
          <w:rFonts w:ascii="Calibri" w:hAnsi="Calibri" w:cs="Calibri"/>
        </w:rPr>
      </w:pPr>
      <w:r w:rsidRPr="00203191">
        <w:rPr>
          <w:rFonts w:ascii="Calibri" w:hAnsi="Calibri" w:cs="Calibri"/>
        </w:rPr>
        <w:t>6.5. Raporty z badań</w:t>
      </w:r>
    </w:p>
    <w:p w:rsidR="00656AC1" w:rsidRPr="00203191" w:rsidRDefault="00656AC1" w:rsidP="00364E4D">
      <w:pPr>
        <w:pStyle w:val="tekstost"/>
        <w:rPr>
          <w:rFonts w:ascii="Calibri" w:hAnsi="Calibri" w:cs="Calibri"/>
        </w:rPr>
      </w:pPr>
      <w:r w:rsidRPr="00203191">
        <w:rPr>
          <w:rFonts w:ascii="Calibri" w:hAnsi="Calibri" w:cs="Calibri"/>
        </w:rPr>
        <w:t>Wykonawca będzie przekazywać Inżynierowi kopie raportów z wynikami badań jak najszybciej, nie później jednak niż w terminie określonym w programie zapewnienia jakości.</w:t>
      </w:r>
    </w:p>
    <w:p w:rsidR="00656AC1" w:rsidRPr="00203191" w:rsidRDefault="00656AC1" w:rsidP="00364E4D">
      <w:pPr>
        <w:pStyle w:val="tekstost"/>
        <w:rPr>
          <w:rFonts w:ascii="Calibri" w:hAnsi="Calibri" w:cs="Calibri"/>
        </w:rPr>
      </w:pPr>
      <w:r w:rsidRPr="00203191">
        <w:rPr>
          <w:rFonts w:ascii="Calibri" w:hAnsi="Calibri" w:cs="Calibri"/>
        </w:rPr>
        <w:t>Wyniki badań (kopie) będą przekazywane Inżynierowi na formularzach według dostarczonego przez niego wzoru lub innych, przez niego zaaprobowanych.</w:t>
      </w:r>
    </w:p>
    <w:p w:rsidR="00656AC1" w:rsidRPr="00203191" w:rsidRDefault="00656AC1" w:rsidP="00364E4D">
      <w:pPr>
        <w:pStyle w:val="Nagwek4"/>
        <w:rPr>
          <w:rFonts w:ascii="Calibri" w:hAnsi="Calibri" w:cs="Calibri"/>
        </w:rPr>
      </w:pPr>
      <w:r w:rsidRPr="00203191">
        <w:rPr>
          <w:rFonts w:ascii="Calibri" w:hAnsi="Calibri" w:cs="Calibri"/>
        </w:rPr>
        <w:t>6.6. Badania prowadzone przez Inżyniera</w:t>
      </w:r>
    </w:p>
    <w:p w:rsidR="00656AC1" w:rsidRPr="00203191" w:rsidRDefault="00656AC1" w:rsidP="00364E4D">
      <w:pPr>
        <w:pStyle w:val="tekstost"/>
        <w:rPr>
          <w:rFonts w:ascii="Calibri" w:hAnsi="Calibri" w:cs="Calibri"/>
        </w:rPr>
      </w:pPr>
      <w:r w:rsidRPr="00203191">
        <w:rPr>
          <w:rFonts w:ascii="Calibri" w:hAnsi="Calibri" w:cs="Calibri"/>
        </w:rPr>
        <w:t>Inżynier jest uprawniony do dokonywania kontroli, pobierania próbek i badania materiałów w miejscu ich wytwarzania/pozyskiwania, a Wykonawca i producent materiałów powinien udzielić mu niezbędnej pomocy.</w:t>
      </w:r>
    </w:p>
    <w:p w:rsidR="00656AC1" w:rsidRPr="00203191" w:rsidRDefault="00656AC1" w:rsidP="00364E4D">
      <w:pPr>
        <w:pStyle w:val="tekstost"/>
        <w:rPr>
          <w:rFonts w:ascii="Calibri" w:hAnsi="Calibri" w:cs="Calibri"/>
          <w:u w:val="single"/>
        </w:rPr>
      </w:pPr>
      <w:r w:rsidRPr="00203191">
        <w:rPr>
          <w:rFonts w:ascii="Calibri" w:hAnsi="Calibri" w:cs="Calibri"/>
        </w:rPr>
        <w:t xml:space="preserve">Inżynier, dokonując weryfikacji systemu kontroli robót prowadzonego przez Wykonawcę, poprzez między innymi swoje badania, będzie oceniać zgodność materiałów i robót z wymaganiami </w:t>
      </w:r>
      <w:r w:rsidR="005B48CA">
        <w:rPr>
          <w:rFonts w:ascii="Calibri" w:hAnsi="Calibri" w:cs="Calibri"/>
        </w:rPr>
        <w:t>STWiORB</w:t>
      </w:r>
      <w:r w:rsidRPr="00203191">
        <w:rPr>
          <w:rFonts w:ascii="Calibri" w:hAnsi="Calibri" w:cs="Calibri"/>
        </w:rPr>
        <w:t xml:space="preserve"> na podstawie wyników własnych badań kontrolnych jak i wyników badań dostarczonych przez Wykonawcę.</w:t>
      </w:r>
    </w:p>
    <w:p w:rsidR="00656AC1" w:rsidRPr="00203191" w:rsidRDefault="00656AC1" w:rsidP="00364E4D">
      <w:pPr>
        <w:pStyle w:val="tekstost"/>
        <w:rPr>
          <w:rFonts w:ascii="Calibri" w:hAnsi="Calibri" w:cs="Calibri"/>
        </w:rPr>
      </w:pPr>
      <w:r w:rsidRPr="00203191">
        <w:rPr>
          <w:rFonts w:ascii="Calibri" w:hAnsi="Calibri" w:cs="Calibri"/>
        </w:rPr>
        <w:t xml:space="preserve">Inżynier powinien pobierać próbki materiałów i prowadzić badania niezależnie od Wykonawcy, na swój koszt. Jeżeli wyniki tych badań wykażą, że raporty Wykonawcy są niewiarygodne, to Inżynier oprze się wyłącznie na własnych badaniach przy ocenie zgodności materiałów i robót z dokumentacją projektową i </w:t>
      </w:r>
      <w:r w:rsidR="005B48CA">
        <w:rPr>
          <w:rFonts w:ascii="Calibri" w:hAnsi="Calibri" w:cs="Calibri"/>
        </w:rPr>
        <w:t>STWiORB</w:t>
      </w:r>
      <w:r w:rsidRPr="00203191">
        <w:rPr>
          <w:rFonts w:ascii="Calibri" w:hAnsi="Calibri" w:cs="Calibri"/>
        </w:rPr>
        <w:t xml:space="preserve">. Może również zlecić, sam lub poprzez Wykonawcę, przeprowadzenie powtórnych lub dodatkowych badań </w:t>
      </w:r>
      <w:r w:rsidRPr="00203191">
        <w:rPr>
          <w:rFonts w:ascii="Calibri" w:hAnsi="Calibri" w:cs="Calibri"/>
        </w:rPr>
        <w:lastRenderedPageBreak/>
        <w:t>niezależnemu laboratorium. W takim przypadku całkowite koszty powtórnych lub dodatkowych badań i pobierania próbek poniesione zostaną przez Wykonawcę.</w:t>
      </w:r>
    </w:p>
    <w:p w:rsidR="00656AC1" w:rsidRPr="00203191" w:rsidRDefault="00656AC1" w:rsidP="00364E4D">
      <w:pPr>
        <w:pStyle w:val="Nagwek4"/>
        <w:rPr>
          <w:rFonts w:ascii="Calibri" w:hAnsi="Calibri" w:cs="Calibri"/>
        </w:rPr>
      </w:pPr>
      <w:r w:rsidRPr="00203191">
        <w:rPr>
          <w:rFonts w:ascii="Calibri" w:hAnsi="Calibri" w:cs="Calibri"/>
        </w:rPr>
        <w:t>6.7. Certyfikaty i deklaracje</w:t>
      </w:r>
    </w:p>
    <w:p w:rsidR="00656AC1" w:rsidRPr="00203191" w:rsidRDefault="00656AC1" w:rsidP="00364E4D">
      <w:pPr>
        <w:pStyle w:val="tekstost"/>
        <w:rPr>
          <w:rFonts w:ascii="Calibri" w:hAnsi="Calibri" w:cs="Calibri"/>
        </w:rPr>
      </w:pPr>
      <w:r w:rsidRPr="00203191">
        <w:rPr>
          <w:rFonts w:ascii="Calibri" w:hAnsi="Calibri" w:cs="Calibri"/>
        </w:rPr>
        <w:t xml:space="preserve">Inżynier może dopuścić do użycia tylko te </w:t>
      </w:r>
      <w:r w:rsidR="00A95FEE">
        <w:rPr>
          <w:rFonts w:ascii="Calibri" w:hAnsi="Calibri" w:cs="Calibri"/>
        </w:rPr>
        <w:t>wyroby budowlane</w:t>
      </w:r>
      <w:r w:rsidRPr="00203191">
        <w:rPr>
          <w:rFonts w:ascii="Calibri" w:hAnsi="Calibri" w:cs="Calibri"/>
        </w:rPr>
        <w:t>, które posiadają:</w:t>
      </w:r>
    </w:p>
    <w:p w:rsidR="00656AC1" w:rsidRPr="00203191" w:rsidRDefault="00656AC1" w:rsidP="00954A11">
      <w:pPr>
        <w:pStyle w:val="tekstost"/>
        <w:numPr>
          <w:ilvl w:val="0"/>
          <w:numId w:val="6"/>
        </w:numPr>
        <w:rPr>
          <w:rFonts w:ascii="Calibri" w:hAnsi="Calibri" w:cs="Calibri"/>
        </w:rPr>
      </w:pPr>
      <w:r w:rsidRPr="00203191">
        <w:rPr>
          <w:rFonts w:ascii="Calibri" w:hAnsi="Calibri" w:cs="Calibri"/>
        </w:rPr>
        <w:t>certyfikat na znak bezpieczeństwa wykazujący, że zapewniono zgodność z kryteriami technicznymi określonymi na podstawie Polskich Norm, aprobat technicznych oraz właściwych przepisów i dokumentów technicznych,</w:t>
      </w:r>
    </w:p>
    <w:p w:rsidR="00656AC1" w:rsidRPr="00203191" w:rsidRDefault="00656AC1" w:rsidP="00954A11">
      <w:pPr>
        <w:pStyle w:val="tekstost"/>
        <w:numPr>
          <w:ilvl w:val="0"/>
          <w:numId w:val="6"/>
        </w:numPr>
        <w:rPr>
          <w:rFonts w:ascii="Calibri" w:hAnsi="Calibri" w:cs="Calibri"/>
        </w:rPr>
      </w:pPr>
      <w:r w:rsidRPr="00203191">
        <w:rPr>
          <w:rFonts w:ascii="Calibri" w:hAnsi="Calibri" w:cs="Calibri"/>
        </w:rPr>
        <w:t>deklarację zgodności lub certyfikat zgodności z:</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Polską Normą lub</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aprobatą techniczną, w przypadku wyrobów, dla których nie ustanowiono Polskiej Normy, jeżeli nie są objęte certyfikacją określoną w pkt 1</w:t>
      </w:r>
    </w:p>
    <w:p w:rsidR="00656AC1" w:rsidRPr="00203191" w:rsidRDefault="00656AC1" w:rsidP="00364E4D">
      <w:pPr>
        <w:pStyle w:val="tekstost"/>
        <w:numPr>
          <w:ilvl w:val="12"/>
          <w:numId w:val="0"/>
        </w:numPr>
        <w:ind w:firstLine="283"/>
        <w:rPr>
          <w:rFonts w:ascii="Calibri" w:hAnsi="Calibri" w:cs="Calibri"/>
        </w:rPr>
      </w:pPr>
      <w:r w:rsidRPr="00203191">
        <w:rPr>
          <w:rFonts w:ascii="Calibri" w:hAnsi="Calibri" w:cs="Calibri"/>
        </w:rPr>
        <w:t xml:space="preserve">i które spełniają wymogi </w:t>
      </w:r>
      <w:r w:rsidR="005B48CA">
        <w:rPr>
          <w:rFonts w:ascii="Calibri" w:hAnsi="Calibri" w:cs="Calibri"/>
        </w:rPr>
        <w:t>STWiORB</w:t>
      </w:r>
      <w:r w:rsidRPr="00203191">
        <w:rPr>
          <w:rFonts w:ascii="Calibri" w:hAnsi="Calibri" w:cs="Calibri"/>
        </w:rPr>
        <w:t>.</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 xml:space="preserve">W przypadku materiałów, dla których ww. dokumenty są wymagane przez </w:t>
      </w:r>
      <w:r w:rsidR="005B48CA">
        <w:rPr>
          <w:rFonts w:ascii="Calibri" w:hAnsi="Calibri" w:cs="Calibri"/>
        </w:rPr>
        <w:t>STWiORB</w:t>
      </w:r>
      <w:r w:rsidRPr="00203191">
        <w:rPr>
          <w:rFonts w:ascii="Calibri" w:hAnsi="Calibri" w:cs="Calibri"/>
        </w:rPr>
        <w:t>, każda partia dostarczona do robót będzie posiadać te dokumenty, określające w sposób jednoznaczny jej cechy.</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Produkty przemysłowe muszą posiadać ww. dokumenty wydane przez producenta, a w razie potrzeby poparte wynikami badań wykonanych przez niego. Kopie wyników tych badań będą dostarczone przez Wykonawcę Inżynierowi.</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 xml:space="preserve">Jakiekolwiek </w:t>
      </w:r>
      <w:r w:rsidR="00A95FEE">
        <w:rPr>
          <w:rFonts w:ascii="Calibri" w:hAnsi="Calibri" w:cs="Calibri"/>
        </w:rPr>
        <w:t>wyroby budowlane</w:t>
      </w:r>
      <w:r w:rsidRPr="00203191">
        <w:rPr>
          <w:rFonts w:ascii="Calibri" w:hAnsi="Calibri" w:cs="Calibri"/>
        </w:rPr>
        <w:t>, które nie spełniają tych wymagań będą odrzucone.</w:t>
      </w:r>
    </w:p>
    <w:p w:rsidR="00656AC1" w:rsidRPr="00203191" w:rsidRDefault="00656AC1" w:rsidP="00364E4D">
      <w:pPr>
        <w:pStyle w:val="Nagwek4"/>
        <w:rPr>
          <w:rFonts w:ascii="Calibri" w:hAnsi="Calibri" w:cs="Calibri"/>
        </w:rPr>
      </w:pPr>
      <w:r w:rsidRPr="00203191">
        <w:rPr>
          <w:rFonts w:ascii="Calibri" w:hAnsi="Calibri" w:cs="Calibri"/>
        </w:rPr>
        <w:t>6.8. Dokumenty budowy</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(1) Dziennik budowy</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Dziennik budowy jest wymaganym dokumentem prawnym obowiązującym Zamawiającego i Wykonawcę w okresie od przekazania Wykonawcy terenu budowy do końca okresu gwarancyjnego. Odpowiedzialność za prowadzenie dziennika budowy zgodnie z obowiązującymi przepisami Ustawy Prawo Budowlane spoczywa na Wykonawcy.</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Zapisy w dzienniku budowy będą dokonywane na bieżąco i będą dotyczyć przebiegu robót, stanu bezpieczeństwa ludzi i mienia oraz technicznej i gospodarczej strony budowy.</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Załączone do dziennika budowy protokoły i inne dokumenty będą oznaczone kolejnym numerem załącznika i opatrzone datą i podpisem Wykonawcy i Inżyniera.</w:t>
      </w:r>
    </w:p>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Do dziennika budowy należy wpisywać w szczególności:</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datę przekazania Wykonawcy terenu budowy,</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datę przekazania przez Zamawiającego dokumentacji projektowej,</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datę uzgodnienia przez Inżyniera programu zapewnienia jakości i harmonogramów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terminy rozpoczęcia i zakończenia poszczególnych elementów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przebieg robót, trudności i przeszkody w ich prowadzeniu, okresy i przyczyny przerw w robotach,</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uwagi i polecenia Inżyniera,</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daty zarządzenia wstrzymania robót, z podaniem powodu,</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zgłoszenia i daty odbiorów robót zanikających i ulegających zakryciu, częściowych i ostatecznych odbiorów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wyjaśnienia, uwagi i propozycje Wykonawcy,</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stan pogody i temperaturę powietrza w okresie wykonywania robót podlegających ograniczeniom lub wymaganiom szczególnym w związku z warunkami klimatycznymi,</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zgodność rzeczywistych warunków geotechnicznych z ich opisem w dokumentacji projektowej,</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dane dotyczące czynności geodezyjnych (pomiarowych) dokonywanych przed i w trakcie wykonywania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dane dotyczące sposobu wykonywania zabezpieczenia robót,</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dane dotyczące jakości materiałów, pobierania próbek oraz wyniki przeprowadzonych badań z podaniem, kto je przeprowadzał,</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wyniki prób poszczególnych elementów budowli z podaniem, kto je przeprowadzał,</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lastRenderedPageBreak/>
        <w:t>inne istotne informacje o przebiegu robót.</w:t>
      </w:r>
    </w:p>
    <w:p w:rsidR="00656AC1" w:rsidRPr="00203191" w:rsidRDefault="00656AC1" w:rsidP="00364E4D">
      <w:pPr>
        <w:pStyle w:val="tekstost"/>
        <w:rPr>
          <w:rFonts w:ascii="Calibri" w:hAnsi="Calibri" w:cs="Calibri"/>
        </w:rPr>
      </w:pPr>
      <w:r w:rsidRPr="00203191">
        <w:rPr>
          <w:rFonts w:ascii="Calibri" w:hAnsi="Calibri" w:cs="Calibri"/>
        </w:rPr>
        <w:t>Propozycje, uwagi i wyjaśnienia Wykonawcy, wpisane do dziennika budowy będą przedłożone Inżynierowi do ustosunkowania się.</w:t>
      </w:r>
    </w:p>
    <w:p w:rsidR="00656AC1" w:rsidRPr="00203191" w:rsidRDefault="00656AC1" w:rsidP="00364E4D">
      <w:pPr>
        <w:pStyle w:val="tekstost"/>
        <w:rPr>
          <w:rFonts w:ascii="Calibri" w:hAnsi="Calibri" w:cs="Calibri"/>
        </w:rPr>
      </w:pPr>
      <w:r w:rsidRPr="00203191">
        <w:rPr>
          <w:rFonts w:ascii="Calibri" w:hAnsi="Calibri" w:cs="Calibri"/>
        </w:rPr>
        <w:t>Decyzje Inżyniera wpisane do dziennika budowy Wykonawca podpisuje z zaznaczeniem ich przyjęcia lub zajęciem stanowiska.</w:t>
      </w:r>
    </w:p>
    <w:p w:rsidR="00656AC1" w:rsidRPr="00203191" w:rsidRDefault="00656AC1" w:rsidP="00364E4D">
      <w:pPr>
        <w:pStyle w:val="tekstost"/>
        <w:rPr>
          <w:rFonts w:ascii="Calibri" w:hAnsi="Calibri" w:cs="Calibri"/>
        </w:rPr>
      </w:pPr>
      <w:r w:rsidRPr="00203191">
        <w:rPr>
          <w:rFonts w:ascii="Calibri" w:hAnsi="Calibri" w:cs="Calibri"/>
        </w:rPr>
        <w:t>Wpis projektanta do dziennika budowy obliguje Inżyniera do ustosunkowania się. Projektant nie jest jednak stroną umowy i nie ma uprawnień do wydawania poleceń Wykonawcy robót.</w:t>
      </w:r>
    </w:p>
    <w:p w:rsidR="00656AC1" w:rsidRPr="00203191" w:rsidRDefault="00656AC1" w:rsidP="00364E4D">
      <w:pPr>
        <w:pStyle w:val="tekstost"/>
        <w:rPr>
          <w:rFonts w:ascii="Calibri" w:hAnsi="Calibri" w:cs="Calibri"/>
        </w:rPr>
      </w:pPr>
      <w:r w:rsidRPr="00203191">
        <w:rPr>
          <w:rFonts w:ascii="Calibri" w:hAnsi="Calibri" w:cs="Calibri"/>
        </w:rPr>
        <w:t>(2) Książka obmiarów</w:t>
      </w:r>
    </w:p>
    <w:p w:rsidR="00656AC1" w:rsidRPr="00203191" w:rsidRDefault="00656AC1" w:rsidP="00364E4D">
      <w:pPr>
        <w:pStyle w:val="tekstost"/>
        <w:rPr>
          <w:rFonts w:ascii="Calibri" w:hAnsi="Calibri" w:cs="Calibri"/>
        </w:rPr>
      </w:pPr>
      <w:r w:rsidRPr="00203191">
        <w:rPr>
          <w:rFonts w:ascii="Calibri" w:hAnsi="Calibri" w:cs="Calibri"/>
        </w:rPr>
        <w:t>Książka obmiarów stanowi dokument pozwalający na rozliczenie faktycznego postępu każdego z elementów robót. Obmiary wykonanych robót przeprowadza się w sposób ciągły w jednostkach przyjętych w kosztorysie i wpisuje do książki obmiarów.</w:t>
      </w:r>
    </w:p>
    <w:p w:rsidR="00656AC1" w:rsidRPr="00203191" w:rsidRDefault="00656AC1" w:rsidP="00364E4D">
      <w:pPr>
        <w:pStyle w:val="tekstost"/>
        <w:keepNext/>
        <w:rPr>
          <w:rFonts w:ascii="Calibri" w:hAnsi="Calibri" w:cs="Calibri"/>
        </w:rPr>
      </w:pPr>
      <w:r w:rsidRPr="00203191">
        <w:rPr>
          <w:rFonts w:ascii="Calibri" w:hAnsi="Calibri" w:cs="Calibri"/>
        </w:rPr>
        <w:t>(3) Dokumenty laboratoryjne</w:t>
      </w:r>
    </w:p>
    <w:p w:rsidR="00656AC1" w:rsidRPr="00203191" w:rsidRDefault="00656AC1" w:rsidP="00364E4D">
      <w:pPr>
        <w:pStyle w:val="tekstost"/>
        <w:rPr>
          <w:rFonts w:ascii="Calibri" w:hAnsi="Calibri" w:cs="Calibri"/>
        </w:rPr>
      </w:pPr>
      <w:r w:rsidRPr="00203191">
        <w:rPr>
          <w:rFonts w:ascii="Calibri" w:hAnsi="Calibri" w:cs="Calibri"/>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w:t>
      </w:r>
    </w:p>
    <w:p w:rsidR="00656AC1" w:rsidRPr="00203191" w:rsidRDefault="00656AC1" w:rsidP="00364E4D">
      <w:pPr>
        <w:pStyle w:val="tekstost"/>
        <w:rPr>
          <w:rFonts w:ascii="Calibri" w:hAnsi="Calibri" w:cs="Calibri"/>
        </w:rPr>
      </w:pPr>
      <w:r w:rsidRPr="00203191">
        <w:rPr>
          <w:rFonts w:ascii="Calibri" w:hAnsi="Calibri" w:cs="Calibri"/>
        </w:rPr>
        <w:t>(4) Pozostałe dokumenty budowy</w:t>
      </w:r>
    </w:p>
    <w:p w:rsidR="00656AC1" w:rsidRPr="00203191" w:rsidRDefault="00656AC1" w:rsidP="00364E4D">
      <w:pPr>
        <w:pStyle w:val="tekstost"/>
        <w:rPr>
          <w:rFonts w:ascii="Calibri" w:hAnsi="Calibri" w:cs="Calibri"/>
        </w:rPr>
      </w:pPr>
      <w:r w:rsidRPr="00203191">
        <w:rPr>
          <w:rFonts w:ascii="Calibri" w:hAnsi="Calibri" w:cs="Calibri"/>
        </w:rPr>
        <w:t>Do dokumentów budowy zalicza się, oprócz wymienionych w punktach (1) - (3) następujące dokumenty:</w:t>
      </w:r>
    </w:p>
    <w:p w:rsidR="00656AC1" w:rsidRPr="00203191" w:rsidRDefault="00656AC1" w:rsidP="00954A11">
      <w:pPr>
        <w:pStyle w:val="tekstost"/>
        <w:numPr>
          <w:ilvl w:val="0"/>
          <w:numId w:val="7"/>
        </w:numPr>
        <w:ind w:left="288" w:hanging="288"/>
        <w:rPr>
          <w:rFonts w:ascii="Calibri" w:hAnsi="Calibri" w:cs="Calibri"/>
        </w:rPr>
      </w:pPr>
      <w:r w:rsidRPr="00203191">
        <w:rPr>
          <w:rFonts w:ascii="Calibri" w:hAnsi="Calibri" w:cs="Calibri"/>
        </w:rPr>
        <w:t>zezwolenie na realizację inwestycji drogowej,</w:t>
      </w:r>
    </w:p>
    <w:p w:rsidR="00656AC1" w:rsidRPr="00203191" w:rsidRDefault="00656AC1" w:rsidP="00954A11">
      <w:pPr>
        <w:pStyle w:val="tekstost"/>
        <w:numPr>
          <w:ilvl w:val="0"/>
          <w:numId w:val="7"/>
        </w:numPr>
        <w:ind w:left="288" w:hanging="288"/>
        <w:rPr>
          <w:rFonts w:ascii="Calibri" w:hAnsi="Calibri" w:cs="Calibri"/>
        </w:rPr>
      </w:pPr>
      <w:r w:rsidRPr="00203191">
        <w:rPr>
          <w:rFonts w:ascii="Calibri" w:hAnsi="Calibri" w:cs="Calibri"/>
        </w:rPr>
        <w:t>protokoły przekazania terenu budowy,</w:t>
      </w:r>
    </w:p>
    <w:p w:rsidR="00656AC1" w:rsidRPr="00203191" w:rsidRDefault="00656AC1" w:rsidP="00954A11">
      <w:pPr>
        <w:pStyle w:val="tekstost"/>
        <w:numPr>
          <w:ilvl w:val="0"/>
          <w:numId w:val="7"/>
        </w:numPr>
        <w:ind w:left="288" w:hanging="288"/>
        <w:rPr>
          <w:rFonts w:ascii="Calibri" w:hAnsi="Calibri" w:cs="Calibri"/>
        </w:rPr>
      </w:pPr>
      <w:r w:rsidRPr="00203191">
        <w:rPr>
          <w:rFonts w:ascii="Calibri" w:hAnsi="Calibri" w:cs="Calibri"/>
        </w:rPr>
        <w:t>umowy cywilno-prawne z osobami trzecimi i inne umowy cywilno-prawne,</w:t>
      </w:r>
    </w:p>
    <w:p w:rsidR="00656AC1" w:rsidRPr="00203191" w:rsidRDefault="00656AC1" w:rsidP="00954A11">
      <w:pPr>
        <w:pStyle w:val="tekstost"/>
        <w:numPr>
          <w:ilvl w:val="0"/>
          <w:numId w:val="7"/>
        </w:numPr>
        <w:ind w:left="288" w:hanging="288"/>
        <w:rPr>
          <w:rFonts w:ascii="Calibri" w:hAnsi="Calibri" w:cs="Calibri"/>
        </w:rPr>
      </w:pPr>
      <w:r w:rsidRPr="00203191">
        <w:rPr>
          <w:rFonts w:ascii="Calibri" w:hAnsi="Calibri" w:cs="Calibri"/>
        </w:rPr>
        <w:t>protokoły odbioru robót,</w:t>
      </w:r>
    </w:p>
    <w:p w:rsidR="00656AC1" w:rsidRPr="00203191" w:rsidRDefault="00656AC1" w:rsidP="00954A11">
      <w:pPr>
        <w:pStyle w:val="tekstost"/>
        <w:numPr>
          <w:ilvl w:val="0"/>
          <w:numId w:val="7"/>
        </w:numPr>
        <w:ind w:left="288" w:hanging="288"/>
        <w:rPr>
          <w:rFonts w:ascii="Calibri" w:hAnsi="Calibri" w:cs="Calibri"/>
        </w:rPr>
      </w:pPr>
      <w:r w:rsidRPr="00203191">
        <w:rPr>
          <w:rFonts w:ascii="Calibri" w:hAnsi="Calibri" w:cs="Calibri"/>
        </w:rPr>
        <w:t>protokoły z narad i ustaleń,</w:t>
      </w:r>
    </w:p>
    <w:p w:rsidR="00656AC1" w:rsidRPr="00203191" w:rsidRDefault="00656AC1" w:rsidP="00954A11">
      <w:pPr>
        <w:pStyle w:val="tekstost"/>
        <w:numPr>
          <w:ilvl w:val="0"/>
          <w:numId w:val="7"/>
        </w:numPr>
        <w:ind w:left="288" w:hanging="288"/>
        <w:rPr>
          <w:rFonts w:ascii="Calibri" w:hAnsi="Calibri" w:cs="Calibri"/>
        </w:rPr>
      </w:pPr>
      <w:r w:rsidRPr="00203191">
        <w:rPr>
          <w:rFonts w:ascii="Calibri" w:hAnsi="Calibri" w:cs="Calibri"/>
        </w:rPr>
        <w:t>korespondencję na budowie.</w:t>
      </w:r>
    </w:p>
    <w:p w:rsidR="00656AC1" w:rsidRPr="00203191" w:rsidRDefault="00656AC1" w:rsidP="00364E4D">
      <w:pPr>
        <w:pStyle w:val="tekstost"/>
        <w:rPr>
          <w:rFonts w:ascii="Calibri" w:hAnsi="Calibri" w:cs="Calibri"/>
        </w:rPr>
      </w:pPr>
      <w:r w:rsidRPr="00203191">
        <w:rPr>
          <w:rFonts w:ascii="Calibri" w:hAnsi="Calibri" w:cs="Calibri"/>
        </w:rPr>
        <w:t>(5) Przechowywanie dokumentów budowy</w:t>
      </w:r>
    </w:p>
    <w:p w:rsidR="00656AC1" w:rsidRPr="00203191" w:rsidRDefault="00656AC1" w:rsidP="00364E4D">
      <w:pPr>
        <w:pStyle w:val="tekstost"/>
        <w:rPr>
          <w:rFonts w:ascii="Calibri" w:hAnsi="Calibri" w:cs="Calibri"/>
        </w:rPr>
      </w:pPr>
      <w:r w:rsidRPr="00203191">
        <w:rPr>
          <w:rFonts w:ascii="Calibri" w:hAnsi="Calibri" w:cs="Calibri"/>
        </w:rPr>
        <w:t>Dokumenty budowy będą przechowywane na terenie budowy w miejscu odpowiednio zabezpieczonym.</w:t>
      </w:r>
    </w:p>
    <w:p w:rsidR="00656AC1" w:rsidRPr="00203191" w:rsidRDefault="00656AC1" w:rsidP="00364E4D">
      <w:pPr>
        <w:pStyle w:val="tekstost"/>
        <w:rPr>
          <w:rFonts w:ascii="Calibri" w:hAnsi="Calibri" w:cs="Calibri"/>
        </w:rPr>
      </w:pPr>
      <w:r w:rsidRPr="00203191">
        <w:rPr>
          <w:rFonts w:ascii="Calibri" w:hAnsi="Calibri" w:cs="Calibri"/>
        </w:rPr>
        <w:t>Zaginięcie któregokolwiek z dokumentów budowy spowoduje jego natychmiastowe odtworzenie w formie przewidzianej prawem.</w:t>
      </w:r>
    </w:p>
    <w:p w:rsidR="00656AC1" w:rsidRPr="00203191" w:rsidRDefault="00656AC1" w:rsidP="00364E4D">
      <w:pPr>
        <w:pStyle w:val="tekstost"/>
        <w:rPr>
          <w:rFonts w:ascii="Calibri" w:hAnsi="Calibri" w:cs="Calibri"/>
        </w:rPr>
      </w:pPr>
      <w:r w:rsidRPr="00203191">
        <w:rPr>
          <w:rFonts w:ascii="Calibri" w:hAnsi="Calibri" w:cs="Calibri"/>
        </w:rPr>
        <w:t>Wszelkie dokumenty budowy będą zawsze dostępne dla Inżyniera i przedstawiane do wglądu na życzenie Zamawiającego.</w:t>
      </w:r>
    </w:p>
    <w:p w:rsidR="00656AC1" w:rsidRPr="00203191" w:rsidRDefault="00656AC1" w:rsidP="00364E4D">
      <w:pPr>
        <w:pStyle w:val="Nagwek3"/>
        <w:rPr>
          <w:rFonts w:ascii="Calibri" w:hAnsi="Calibri" w:cs="Calibri"/>
        </w:rPr>
      </w:pPr>
      <w:bookmarkStart w:id="32" w:name="_Toc416830704"/>
      <w:bookmarkStart w:id="33" w:name="_Toc6881285"/>
      <w:bookmarkStart w:id="34" w:name="_Toc6882158"/>
      <w:r w:rsidRPr="00203191">
        <w:rPr>
          <w:rFonts w:ascii="Calibri" w:hAnsi="Calibri" w:cs="Calibri"/>
        </w:rPr>
        <w:t>7. OBMIAR ROBÓT</w:t>
      </w:r>
      <w:bookmarkEnd w:id="32"/>
      <w:bookmarkEnd w:id="33"/>
      <w:bookmarkEnd w:id="34"/>
    </w:p>
    <w:p w:rsidR="00464BA1" w:rsidRPr="00203191" w:rsidRDefault="00464BA1" w:rsidP="00464BA1">
      <w:pPr>
        <w:pStyle w:val="Nagwek4"/>
        <w:rPr>
          <w:rFonts w:asciiTheme="minorHAnsi" w:hAnsiTheme="minorHAnsi"/>
        </w:rPr>
      </w:pPr>
      <w:r w:rsidRPr="00203191">
        <w:rPr>
          <w:rFonts w:asciiTheme="minorHAnsi" w:hAnsiTheme="minorHAnsi"/>
        </w:rPr>
        <w:t>7.1. Ogólne zasady obmiaru robót</w:t>
      </w:r>
    </w:p>
    <w:p w:rsidR="00464BA1" w:rsidRPr="00203191" w:rsidRDefault="00464BA1" w:rsidP="00464BA1">
      <w:pPr>
        <w:pStyle w:val="tekstost"/>
        <w:rPr>
          <w:rFonts w:asciiTheme="minorHAnsi" w:hAnsiTheme="minorHAnsi"/>
        </w:rPr>
      </w:pPr>
      <w:r w:rsidRPr="00203191">
        <w:rPr>
          <w:rFonts w:asciiTheme="minorHAnsi" w:hAnsiTheme="minorHAnsi"/>
        </w:rPr>
        <w:t>Obmiar robót będzie określać faktyczny zakres wykonywanych robót zgodnie z dokumentacją projektową i SSTWiORB, w jednostkach ustalonych w kosztorysie.</w:t>
      </w:r>
    </w:p>
    <w:p w:rsidR="00464BA1" w:rsidRPr="00203191" w:rsidRDefault="00464BA1" w:rsidP="00464BA1">
      <w:pPr>
        <w:pStyle w:val="tekstost"/>
        <w:rPr>
          <w:rFonts w:asciiTheme="minorHAnsi" w:hAnsiTheme="minorHAnsi"/>
        </w:rPr>
      </w:pPr>
      <w:r w:rsidRPr="00203191">
        <w:rPr>
          <w:rFonts w:asciiTheme="minorHAnsi" w:hAnsiTheme="minorHAnsi"/>
        </w:rPr>
        <w:t>Obmiaru robót dokonuje Wykonawca po pisemnym powiadomieniu Inżyniera o zakresie obmierzanych robót i terminie obmiaru, co najmniej na 3 dni przed tym terminem.</w:t>
      </w:r>
    </w:p>
    <w:p w:rsidR="00464BA1" w:rsidRPr="00203191" w:rsidRDefault="00464BA1" w:rsidP="00464BA1">
      <w:pPr>
        <w:pStyle w:val="tekstost"/>
        <w:rPr>
          <w:rFonts w:asciiTheme="minorHAnsi" w:hAnsiTheme="minorHAnsi"/>
        </w:rPr>
      </w:pPr>
      <w:r w:rsidRPr="00203191">
        <w:rPr>
          <w:rFonts w:asciiTheme="minorHAnsi" w:hAnsiTheme="minorHAnsi"/>
        </w:rPr>
        <w:t>Wyniki obmiaru będą wpisane do książki obmiarów.</w:t>
      </w:r>
    </w:p>
    <w:p w:rsidR="00464BA1" w:rsidRPr="00203191" w:rsidRDefault="00464BA1" w:rsidP="00464BA1">
      <w:pPr>
        <w:pStyle w:val="tekstost"/>
        <w:rPr>
          <w:rFonts w:asciiTheme="minorHAnsi" w:hAnsiTheme="minorHAnsi"/>
        </w:rPr>
      </w:pPr>
      <w:r w:rsidRPr="00203191">
        <w:rPr>
          <w:rFonts w:asciiTheme="minorHAnsi" w:hAnsiTheme="minorHAnsi"/>
        </w:rPr>
        <w:t>Jakikolwiek błąd lub przeoczenie (opuszczenie) w ilościach podanych w ślepym kosztorysie lub gdzie indziej w SSTWiORB nie zwalnia Wykonawcy od obowiązku ukończenia wszystkich robót. Błędne dane zostaną poprawione wg instrukcji Inżyniera na piśmie.</w:t>
      </w:r>
    </w:p>
    <w:p w:rsidR="00464BA1" w:rsidRPr="00203191" w:rsidRDefault="00464BA1" w:rsidP="00464BA1">
      <w:pPr>
        <w:pStyle w:val="tekstost"/>
        <w:rPr>
          <w:rFonts w:asciiTheme="minorHAnsi" w:hAnsiTheme="minorHAnsi"/>
        </w:rPr>
      </w:pPr>
      <w:r w:rsidRPr="00203191">
        <w:rPr>
          <w:rFonts w:asciiTheme="minorHAnsi" w:hAnsiTheme="minorHAnsi"/>
        </w:rPr>
        <w:t>Obmiar gotowych robót będzie przeprowadzony z częstością wymaganą do celu miesięcznej płatności na rzecz Wykonawcy lub w innym czasie określonym w umowie lub oczekiwanym przez Wykonawcę i Inżyniera.</w:t>
      </w:r>
    </w:p>
    <w:p w:rsidR="00464BA1" w:rsidRPr="00203191" w:rsidRDefault="00464BA1" w:rsidP="00464BA1">
      <w:pPr>
        <w:pStyle w:val="Nagwek4"/>
        <w:rPr>
          <w:rFonts w:asciiTheme="minorHAnsi" w:hAnsiTheme="minorHAnsi"/>
        </w:rPr>
      </w:pPr>
      <w:r w:rsidRPr="00203191">
        <w:rPr>
          <w:rFonts w:asciiTheme="minorHAnsi" w:hAnsiTheme="minorHAnsi"/>
        </w:rPr>
        <w:t>7.2. Zasady określania ilości robót i materiałów</w:t>
      </w:r>
    </w:p>
    <w:p w:rsidR="00464BA1" w:rsidRPr="00203191" w:rsidRDefault="00464BA1" w:rsidP="00464BA1">
      <w:pPr>
        <w:pStyle w:val="tekstost"/>
        <w:rPr>
          <w:rFonts w:asciiTheme="minorHAnsi" w:hAnsiTheme="minorHAnsi"/>
        </w:rPr>
      </w:pPr>
      <w:r w:rsidRPr="00203191">
        <w:rPr>
          <w:rFonts w:asciiTheme="minorHAnsi" w:hAnsiTheme="minorHAnsi"/>
        </w:rPr>
        <w:t>Długości i odległości pomiędzy wyszczególnionymi punktami skrajnymi będą obmierzone poziomo wzdłuż linii osiowej.</w:t>
      </w:r>
    </w:p>
    <w:p w:rsidR="00464BA1" w:rsidRPr="00203191" w:rsidRDefault="00464BA1" w:rsidP="00464BA1">
      <w:pPr>
        <w:pStyle w:val="tekstost"/>
        <w:rPr>
          <w:rFonts w:asciiTheme="minorHAnsi" w:hAnsiTheme="minorHAnsi"/>
        </w:rPr>
      </w:pPr>
      <w:r w:rsidRPr="00203191">
        <w:rPr>
          <w:rFonts w:asciiTheme="minorHAnsi" w:hAnsiTheme="minorHAnsi"/>
        </w:rPr>
        <w:t>Jeśli SSTWiORB właściwe dla danych robót nie wymagają tego inaczej, objętości będą wyliczone w m</w:t>
      </w:r>
      <w:r w:rsidRPr="00203191">
        <w:rPr>
          <w:rFonts w:asciiTheme="minorHAnsi" w:hAnsiTheme="minorHAnsi"/>
          <w:vertAlign w:val="superscript"/>
        </w:rPr>
        <w:t>3</w:t>
      </w:r>
      <w:r w:rsidRPr="00203191">
        <w:rPr>
          <w:rFonts w:asciiTheme="minorHAnsi" w:hAnsiTheme="minorHAnsi"/>
        </w:rPr>
        <w:t xml:space="preserve"> jako długość pomnożona przez średni przekrój.</w:t>
      </w:r>
    </w:p>
    <w:p w:rsidR="00464BA1" w:rsidRPr="00203191" w:rsidRDefault="00464BA1" w:rsidP="00464BA1">
      <w:pPr>
        <w:pStyle w:val="tekstost"/>
        <w:rPr>
          <w:rFonts w:asciiTheme="minorHAnsi" w:hAnsiTheme="minorHAnsi"/>
        </w:rPr>
      </w:pPr>
      <w:r w:rsidRPr="00203191">
        <w:rPr>
          <w:rFonts w:asciiTheme="minorHAnsi" w:hAnsiTheme="minorHAnsi"/>
        </w:rPr>
        <w:t>Ilości, które mają być obmierzone wagowo, będą ważone w tonach lub kilogramach zgodnie z wymaganiami SSTWiORB.</w:t>
      </w:r>
    </w:p>
    <w:p w:rsidR="00464BA1" w:rsidRPr="00203191" w:rsidRDefault="00464BA1" w:rsidP="00464BA1">
      <w:pPr>
        <w:pStyle w:val="Nagwek4"/>
        <w:rPr>
          <w:rFonts w:asciiTheme="minorHAnsi" w:hAnsiTheme="minorHAnsi"/>
        </w:rPr>
      </w:pPr>
      <w:r w:rsidRPr="00203191">
        <w:rPr>
          <w:rFonts w:asciiTheme="minorHAnsi" w:hAnsiTheme="minorHAnsi"/>
        </w:rPr>
        <w:lastRenderedPageBreak/>
        <w:t>7.3. Urządzenia i sprzęt pomiarowy</w:t>
      </w:r>
    </w:p>
    <w:p w:rsidR="00464BA1" w:rsidRPr="00203191" w:rsidRDefault="00464BA1" w:rsidP="00464BA1">
      <w:pPr>
        <w:pStyle w:val="tekstost"/>
        <w:rPr>
          <w:rFonts w:asciiTheme="minorHAnsi" w:hAnsiTheme="minorHAnsi"/>
        </w:rPr>
      </w:pPr>
      <w:r w:rsidRPr="00203191">
        <w:rPr>
          <w:rFonts w:asciiTheme="minorHAnsi" w:hAnsiTheme="minorHAnsi"/>
        </w:rPr>
        <w:t>Wszystkie urządzenia i sprzęt pomiarowy, stosowany w czasie obmiaru robót będą zaakceptowane przez Inżyniera.</w:t>
      </w:r>
    </w:p>
    <w:p w:rsidR="00464BA1" w:rsidRPr="00203191" w:rsidRDefault="00464BA1" w:rsidP="00464BA1">
      <w:pPr>
        <w:pStyle w:val="tekstost"/>
        <w:rPr>
          <w:rFonts w:asciiTheme="minorHAnsi" w:hAnsiTheme="minorHAnsi"/>
        </w:rPr>
      </w:pPr>
      <w:r w:rsidRPr="00203191">
        <w:rPr>
          <w:rFonts w:asciiTheme="minorHAnsi" w:hAnsiTheme="minorHAnsi"/>
        </w:rPr>
        <w:t>Urządzenia i sprzęt pomiarowy zostaną dostarczone przez Wykonawcę. Jeżeli urządzenia te lub sprzęt wymagają badań atestujących to Wykonawca będzie posiadać ważne świadectwa legalizacji.</w:t>
      </w:r>
    </w:p>
    <w:p w:rsidR="00464BA1" w:rsidRPr="00203191" w:rsidRDefault="00464BA1" w:rsidP="00464BA1">
      <w:pPr>
        <w:pStyle w:val="tekstost"/>
        <w:rPr>
          <w:rFonts w:asciiTheme="minorHAnsi" w:hAnsiTheme="minorHAnsi"/>
        </w:rPr>
      </w:pPr>
      <w:r w:rsidRPr="00203191">
        <w:rPr>
          <w:rFonts w:asciiTheme="minorHAnsi" w:hAnsiTheme="minorHAnsi"/>
        </w:rPr>
        <w:t>Wszystkie urządzenia pomiarowe będą przez Wykonawcę utrzymywane w dobrym stanie, w całym okresie trwania robót.</w:t>
      </w:r>
    </w:p>
    <w:p w:rsidR="00464BA1" w:rsidRPr="00203191" w:rsidRDefault="00464BA1" w:rsidP="00464BA1">
      <w:pPr>
        <w:pStyle w:val="Nagwek4"/>
        <w:rPr>
          <w:rFonts w:asciiTheme="minorHAnsi" w:hAnsiTheme="minorHAnsi"/>
        </w:rPr>
      </w:pPr>
      <w:r w:rsidRPr="00203191">
        <w:rPr>
          <w:rFonts w:asciiTheme="minorHAnsi" w:hAnsiTheme="minorHAnsi"/>
        </w:rPr>
        <w:t>7.4. Wagi i zasady ważenia</w:t>
      </w:r>
    </w:p>
    <w:p w:rsidR="00464BA1" w:rsidRPr="00203191" w:rsidRDefault="00464BA1" w:rsidP="00464BA1">
      <w:pPr>
        <w:pStyle w:val="tekstost"/>
        <w:rPr>
          <w:rFonts w:asciiTheme="minorHAnsi" w:hAnsiTheme="minorHAnsi"/>
        </w:rPr>
      </w:pPr>
      <w:r w:rsidRPr="00203191">
        <w:rPr>
          <w:rFonts w:asciiTheme="minorHAnsi" w:hAnsiTheme="minorHAnsi"/>
        </w:rPr>
        <w:t>Wykonawca dostarczy i zainstaluje urządzenia wagowe odpowiadające odnośnym wymaganiom SSTWiORB Będzie utrzymywać to wyposażenie zapewniając w sposób ciągły zachowanie dokładności wg norm zatwierdzonych przez Inżyniera.</w:t>
      </w:r>
    </w:p>
    <w:p w:rsidR="00464BA1" w:rsidRPr="00203191" w:rsidRDefault="00464BA1" w:rsidP="00464BA1">
      <w:pPr>
        <w:pStyle w:val="Nagwek4"/>
        <w:rPr>
          <w:rFonts w:asciiTheme="minorHAnsi" w:hAnsiTheme="minorHAnsi"/>
        </w:rPr>
      </w:pPr>
      <w:r w:rsidRPr="00203191">
        <w:rPr>
          <w:rFonts w:asciiTheme="minorHAnsi" w:hAnsiTheme="minorHAnsi"/>
        </w:rPr>
        <w:t>7.5. Czas przeprowadzenia obmiaru</w:t>
      </w:r>
    </w:p>
    <w:p w:rsidR="00464BA1" w:rsidRPr="00203191" w:rsidRDefault="00464BA1" w:rsidP="00464BA1">
      <w:pPr>
        <w:pStyle w:val="tekstost"/>
        <w:rPr>
          <w:rFonts w:asciiTheme="minorHAnsi" w:hAnsiTheme="minorHAnsi"/>
        </w:rPr>
      </w:pPr>
      <w:r w:rsidRPr="00203191">
        <w:rPr>
          <w:rFonts w:asciiTheme="minorHAnsi" w:hAnsiTheme="minorHAnsi"/>
        </w:rPr>
        <w:t>Obmiary będą przeprowadzone przed częściowym lub ostatecznym odbiorem odcinków robót, a także w przypadku występowania dłuższej przerwy w robotach.</w:t>
      </w:r>
    </w:p>
    <w:p w:rsidR="00464BA1" w:rsidRPr="00203191" w:rsidRDefault="00464BA1" w:rsidP="00464BA1">
      <w:pPr>
        <w:pStyle w:val="tekstost"/>
        <w:rPr>
          <w:rFonts w:asciiTheme="minorHAnsi" w:hAnsiTheme="minorHAnsi"/>
        </w:rPr>
      </w:pPr>
      <w:r w:rsidRPr="00203191">
        <w:rPr>
          <w:rFonts w:asciiTheme="minorHAnsi" w:hAnsiTheme="minorHAnsi"/>
        </w:rPr>
        <w:t>Obmiar robót zanikających przeprowadza się w czasie ich wykonywania.</w:t>
      </w:r>
    </w:p>
    <w:p w:rsidR="00464BA1" w:rsidRPr="00203191" w:rsidRDefault="00464BA1" w:rsidP="00464BA1">
      <w:pPr>
        <w:pStyle w:val="tekstost"/>
        <w:rPr>
          <w:rFonts w:asciiTheme="minorHAnsi" w:hAnsiTheme="minorHAnsi"/>
        </w:rPr>
      </w:pPr>
      <w:r w:rsidRPr="00203191">
        <w:rPr>
          <w:rFonts w:asciiTheme="minorHAnsi" w:hAnsiTheme="minorHAnsi"/>
        </w:rPr>
        <w:t>Obmiar robót podlegających zakryciu przeprowadza się przed ich zakryciem.</w:t>
      </w:r>
    </w:p>
    <w:p w:rsidR="00464BA1" w:rsidRPr="00203191" w:rsidRDefault="00464BA1" w:rsidP="00464BA1">
      <w:pPr>
        <w:pStyle w:val="tekstost"/>
        <w:rPr>
          <w:rFonts w:asciiTheme="minorHAnsi" w:hAnsiTheme="minorHAnsi"/>
        </w:rPr>
      </w:pPr>
      <w:r w:rsidRPr="00203191">
        <w:rPr>
          <w:rFonts w:asciiTheme="minorHAnsi" w:hAnsiTheme="minorHAnsi"/>
        </w:rPr>
        <w:t>Roboty pomiarowe do obmiaru oraz nieodzowne obliczenia będą wykonane w sposób zrozumiały i jednoznaczny.</w:t>
      </w:r>
    </w:p>
    <w:p w:rsidR="00464BA1" w:rsidRPr="00203191" w:rsidRDefault="00464BA1" w:rsidP="00464BA1">
      <w:pPr>
        <w:pStyle w:val="tekstost"/>
        <w:rPr>
          <w:rFonts w:asciiTheme="minorHAnsi" w:hAnsiTheme="minorHAnsi"/>
        </w:rPr>
      </w:pPr>
      <w:r w:rsidRPr="00203191">
        <w:rPr>
          <w:rFonts w:asciiTheme="minorHAnsi" w:hAnsiTheme="minorHAnsi"/>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w:t>
      </w:r>
    </w:p>
    <w:p w:rsidR="00656AC1" w:rsidRPr="00203191" w:rsidRDefault="00656AC1" w:rsidP="00364E4D">
      <w:pPr>
        <w:pStyle w:val="tekstost"/>
        <w:rPr>
          <w:rFonts w:ascii="Calibri" w:hAnsi="Calibri" w:cs="Calibri"/>
        </w:rPr>
      </w:pPr>
    </w:p>
    <w:p w:rsidR="00656AC1" w:rsidRPr="00203191" w:rsidRDefault="00656AC1" w:rsidP="00364E4D">
      <w:pPr>
        <w:pStyle w:val="Nagwek3"/>
        <w:rPr>
          <w:rFonts w:ascii="Calibri" w:hAnsi="Calibri" w:cs="Calibri"/>
        </w:rPr>
      </w:pPr>
      <w:bookmarkStart w:id="35" w:name="_Toc416830705"/>
      <w:bookmarkStart w:id="36" w:name="_Toc6881286"/>
      <w:bookmarkStart w:id="37" w:name="_Toc6882159"/>
      <w:r w:rsidRPr="00203191">
        <w:rPr>
          <w:rFonts w:ascii="Calibri" w:hAnsi="Calibri" w:cs="Calibri"/>
        </w:rPr>
        <w:t>8. ODBIÓR ROBÓT</w:t>
      </w:r>
      <w:bookmarkEnd w:id="35"/>
      <w:bookmarkEnd w:id="36"/>
      <w:bookmarkEnd w:id="37"/>
    </w:p>
    <w:p w:rsidR="00656AC1" w:rsidRPr="00203191" w:rsidRDefault="00656AC1" w:rsidP="00364E4D">
      <w:pPr>
        <w:pStyle w:val="Nagwek4"/>
        <w:rPr>
          <w:rFonts w:ascii="Calibri" w:hAnsi="Calibri" w:cs="Calibri"/>
        </w:rPr>
      </w:pPr>
      <w:r w:rsidRPr="00203191">
        <w:rPr>
          <w:rFonts w:ascii="Calibri" w:hAnsi="Calibri" w:cs="Calibri"/>
        </w:rPr>
        <w:t>8.1. Rodzaje odbiorów robót</w:t>
      </w:r>
    </w:p>
    <w:p w:rsidR="00656AC1" w:rsidRPr="00203191" w:rsidRDefault="00656AC1" w:rsidP="00364E4D">
      <w:pPr>
        <w:pStyle w:val="tekstost"/>
        <w:rPr>
          <w:rFonts w:ascii="Calibri" w:hAnsi="Calibri" w:cs="Calibri"/>
        </w:rPr>
      </w:pPr>
      <w:r w:rsidRPr="00203191">
        <w:rPr>
          <w:rFonts w:ascii="Calibri" w:hAnsi="Calibri" w:cs="Calibri"/>
        </w:rPr>
        <w:t xml:space="preserve">W zależności od ustaleń odpowiednich </w:t>
      </w:r>
      <w:r w:rsidR="005B48CA">
        <w:rPr>
          <w:rFonts w:ascii="Calibri" w:hAnsi="Calibri" w:cs="Calibri"/>
        </w:rPr>
        <w:t>STWiORB</w:t>
      </w:r>
      <w:r w:rsidRPr="00203191">
        <w:rPr>
          <w:rFonts w:ascii="Calibri" w:hAnsi="Calibri" w:cs="Calibri"/>
        </w:rPr>
        <w:t>, roboty podlegają następującym etapom odbioru:</w:t>
      </w:r>
    </w:p>
    <w:p w:rsidR="00656AC1" w:rsidRPr="00203191" w:rsidRDefault="00656AC1" w:rsidP="00954A11">
      <w:pPr>
        <w:pStyle w:val="tekstost"/>
        <w:numPr>
          <w:ilvl w:val="0"/>
          <w:numId w:val="8"/>
        </w:numPr>
        <w:rPr>
          <w:rFonts w:ascii="Calibri" w:hAnsi="Calibri" w:cs="Calibri"/>
        </w:rPr>
      </w:pPr>
      <w:r w:rsidRPr="00203191">
        <w:rPr>
          <w:rFonts w:ascii="Calibri" w:hAnsi="Calibri" w:cs="Calibri"/>
        </w:rPr>
        <w:t>odbiorowi robót zanikających i ulegających zakryciu,</w:t>
      </w:r>
    </w:p>
    <w:p w:rsidR="00656AC1" w:rsidRPr="00203191" w:rsidRDefault="00656AC1" w:rsidP="00954A11">
      <w:pPr>
        <w:pStyle w:val="tekstost"/>
        <w:numPr>
          <w:ilvl w:val="0"/>
          <w:numId w:val="8"/>
        </w:numPr>
        <w:rPr>
          <w:rFonts w:ascii="Calibri" w:hAnsi="Calibri" w:cs="Calibri"/>
        </w:rPr>
      </w:pPr>
      <w:r w:rsidRPr="00203191">
        <w:rPr>
          <w:rFonts w:ascii="Calibri" w:hAnsi="Calibri" w:cs="Calibri"/>
        </w:rPr>
        <w:t>odbiorowi częściowemu,</w:t>
      </w:r>
    </w:p>
    <w:p w:rsidR="00656AC1" w:rsidRPr="00203191" w:rsidRDefault="00656AC1" w:rsidP="00954A11">
      <w:pPr>
        <w:pStyle w:val="tekstost"/>
        <w:numPr>
          <w:ilvl w:val="0"/>
          <w:numId w:val="8"/>
        </w:numPr>
        <w:rPr>
          <w:rFonts w:ascii="Calibri" w:hAnsi="Calibri" w:cs="Calibri"/>
        </w:rPr>
      </w:pPr>
      <w:r w:rsidRPr="00203191">
        <w:rPr>
          <w:rFonts w:ascii="Calibri" w:hAnsi="Calibri" w:cs="Calibri"/>
        </w:rPr>
        <w:t>odbiorowi ostatecznemu,</w:t>
      </w:r>
    </w:p>
    <w:p w:rsidR="00656AC1" w:rsidRPr="00203191" w:rsidRDefault="00656AC1" w:rsidP="00954A11">
      <w:pPr>
        <w:pStyle w:val="tekstost"/>
        <w:numPr>
          <w:ilvl w:val="0"/>
          <w:numId w:val="8"/>
        </w:numPr>
        <w:rPr>
          <w:rFonts w:ascii="Calibri" w:hAnsi="Calibri" w:cs="Calibri"/>
        </w:rPr>
      </w:pPr>
      <w:r w:rsidRPr="00203191">
        <w:rPr>
          <w:rFonts w:ascii="Calibri" w:hAnsi="Calibri" w:cs="Calibri"/>
        </w:rPr>
        <w:t>odbiorowi pogwarancyjnemu.</w:t>
      </w:r>
    </w:p>
    <w:p w:rsidR="00656AC1" w:rsidRPr="00203191" w:rsidRDefault="00656AC1" w:rsidP="00364E4D">
      <w:pPr>
        <w:pStyle w:val="Nagwek4"/>
        <w:rPr>
          <w:rFonts w:ascii="Calibri" w:hAnsi="Calibri" w:cs="Calibri"/>
        </w:rPr>
      </w:pPr>
      <w:r w:rsidRPr="00203191">
        <w:rPr>
          <w:rFonts w:ascii="Calibri" w:hAnsi="Calibri" w:cs="Calibri"/>
        </w:rPr>
        <w:t>8.2. Odbiór robót zanikających i ulegających zakryciu</w:t>
      </w:r>
    </w:p>
    <w:p w:rsidR="00656AC1" w:rsidRPr="00203191" w:rsidRDefault="00656AC1" w:rsidP="00364E4D">
      <w:pPr>
        <w:pStyle w:val="tekstost"/>
        <w:rPr>
          <w:rFonts w:ascii="Calibri" w:hAnsi="Calibri" w:cs="Calibri"/>
        </w:rPr>
      </w:pPr>
      <w:r w:rsidRPr="00203191">
        <w:rPr>
          <w:rFonts w:ascii="Calibri" w:hAnsi="Calibri" w:cs="Calibri"/>
        </w:rPr>
        <w:t>Odbiór robót zanikających i ulegających zakryciu polega na finalnej ocenie ilości i jakości wykonywanych robót, które w dalszym procesie realizacji ulegną zakryciu.</w:t>
      </w:r>
    </w:p>
    <w:p w:rsidR="00656AC1" w:rsidRPr="00203191" w:rsidRDefault="00656AC1" w:rsidP="00364E4D">
      <w:pPr>
        <w:pStyle w:val="tekstost"/>
        <w:rPr>
          <w:rFonts w:ascii="Calibri" w:hAnsi="Calibri" w:cs="Calibri"/>
        </w:rPr>
      </w:pPr>
      <w:r w:rsidRPr="00203191">
        <w:rPr>
          <w:rFonts w:ascii="Calibri" w:hAnsi="Calibri" w:cs="Calibri"/>
        </w:rPr>
        <w:t>Odbiór robót zanikających i ulegających zakryciu będzie dokonany w czasie umożliwiającym wykonanie ewentualnych korekt i poprawek bez hamowania ogólnego postępu robót.</w:t>
      </w:r>
    </w:p>
    <w:p w:rsidR="00656AC1" w:rsidRPr="00203191" w:rsidRDefault="00656AC1" w:rsidP="00364E4D">
      <w:pPr>
        <w:pStyle w:val="tekstost"/>
        <w:rPr>
          <w:rFonts w:ascii="Calibri" w:hAnsi="Calibri" w:cs="Calibri"/>
        </w:rPr>
      </w:pPr>
      <w:r w:rsidRPr="00203191">
        <w:rPr>
          <w:rFonts w:ascii="Calibri" w:hAnsi="Calibri" w:cs="Calibri"/>
        </w:rPr>
        <w:t>Odbioru robót dokonuje Inżynier.</w:t>
      </w:r>
    </w:p>
    <w:p w:rsidR="00656AC1" w:rsidRPr="00203191" w:rsidRDefault="00656AC1" w:rsidP="00364E4D">
      <w:pPr>
        <w:pStyle w:val="tekstost"/>
        <w:rPr>
          <w:rFonts w:ascii="Calibri" w:hAnsi="Calibri" w:cs="Calibri"/>
        </w:rPr>
      </w:pPr>
      <w:r w:rsidRPr="00203191">
        <w:rPr>
          <w:rFonts w:ascii="Calibri" w:hAnsi="Calibri" w:cs="Calibri"/>
        </w:rPr>
        <w:t>Gotowość danej części robót do odbioru zgłasza Wykonawca wpisem do dziennika budowy i jednoczesnym powiadomieniem Inżyniera. Odbiór będzie przeprowadzony niezwłocznie, nie później jednak niż w ciągu 3 dni od daty zgłoszenia wpisem do dziennika budowy i powiadomienia o tym fakcie Inżyniera.</w:t>
      </w:r>
    </w:p>
    <w:p w:rsidR="00656AC1" w:rsidRPr="00203191" w:rsidRDefault="00656AC1" w:rsidP="00364E4D">
      <w:pPr>
        <w:pStyle w:val="tekstost"/>
        <w:rPr>
          <w:rFonts w:ascii="Calibri" w:hAnsi="Calibri" w:cs="Calibri"/>
        </w:rPr>
      </w:pPr>
      <w:r w:rsidRPr="00203191">
        <w:rPr>
          <w:rFonts w:ascii="Calibri" w:hAnsi="Calibri" w:cs="Calibri"/>
        </w:rPr>
        <w:t xml:space="preserve">Jakość i ilość robót ulegających zakryciu ocenia Inżynier na podstawie dokumentów zawierających komplet wyników badań laboratoryjnych i w oparciu o przeprowadzone pomiary, w konfrontacji z dokumentacją projektową, </w:t>
      </w:r>
      <w:r w:rsidR="005B48CA">
        <w:rPr>
          <w:rFonts w:ascii="Calibri" w:hAnsi="Calibri" w:cs="Calibri"/>
        </w:rPr>
        <w:t>STWiORB</w:t>
      </w:r>
      <w:r w:rsidRPr="00203191">
        <w:rPr>
          <w:rFonts w:ascii="Calibri" w:hAnsi="Calibri" w:cs="Calibri"/>
        </w:rPr>
        <w:t xml:space="preserve"> i uprzednimi ustaleniami.</w:t>
      </w:r>
    </w:p>
    <w:p w:rsidR="00656AC1" w:rsidRPr="00203191" w:rsidRDefault="00656AC1" w:rsidP="00364E4D">
      <w:pPr>
        <w:pStyle w:val="Nagwek4"/>
        <w:rPr>
          <w:rFonts w:ascii="Calibri" w:hAnsi="Calibri" w:cs="Calibri"/>
        </w:rPr>
      </w:pPr>
      <w:r w:rsidRPr="00203191">
        <w:rPr>
          <w:rFonts w:ascii="Calibri" w:hAnsi="Calibri" w:cs="Calibri"/>
        </w:rPr>
        <w:t>8.3. Odbiór częściowy</w:t>
      </w:r>
    </w:p>
    <w:p w:rsidR="00656AC1" w:rsidRPr="00203191" w:rsidRDefault="00656AC1" w:rsidP="00364E4D">
      <w:pPr>
        <w:pStyle w:val="tekstost"/>
        <w:rPr>
          <w:rFonts w:ascii="Calibri" w:hAnsi="Calibri" w:cs="Calibri"/>
        </w:rPr>
      </w:pPr>
      <w:r w:rsidRPr="00203191">
        <w:rPr>
          <w:rFonts w:ascii="Calibri" w:hAnsi="Calibri" w:cs="Calibri"/>
        </w:rPr>
        <w:t>Odbiór  częściowy polega na ocenie ilości i jakości wykonanych części robót. Odbioru częściowego robót dokonuje się wg zasad jak przy odbiorze ostatecznym robót. Odbioru robót dokonuje Inżynier</w:t>
      </w:r>
    </w:p>
    <w:p w:rsidR="00656AC1" w:rsidRPr="00203191" w:rsidRDefault="00656AC1" w:rsidP="00364E4D">
      <w:pPr>
        <w:pStyle w:val="Nagwek4"/>
        <w:rPr>
          <w:rFonts w:ascii="Calibri" w:hAnsi="Calibri" w:cs="Calibri"/>
        </w:rPr>
      </w:pPr>
      <w:r w:rsidRPr="00203191">
        <w:rPr>
          <w:rFonts w:ascii="Calibri" w:hAnsi="Calibri" w:cs="Calibri"/>
        </w:rPr>
        <w:lastRenderedPageBreak/>
        <w:t>8.4. Odbiór ostateczny robót</w:t>
      </w:r>
    </w:p>
    <w:p w:rsidR="00656AC1" w:rsidRPr="00203191" w:rsidRDefault="00656AC1" w:rsidP="00364E4D">
      <w:pPr>
        <w:pStyle w:val="Nagwek7"/>
        <w:rPr>
          <w:rFonts w:ascii="Calibri" w:hAnsi="Calibri" w:cs="Calibri"/>
          <w:b/>
          <w:bCs/>
          <w:i/>
          <w:iCs/>
        </w:rPr>
      </w:pPr>
      <w:r w:rsidRPr="00203191">
        <w:rPr>
          <w:rFonts w:ascii="Calibri" w:hAnsi="Calibri" w:cs="Calibri"/>
          <w:b/>
          <w:bCs/>
          <w:i/>
          <w:iCs/>
        </w:rPr>
        <w:t>8.4.1. Zasady odbioru ostatecznego robót</w:t>
      </w:r>
    </w:p>
    <w:p w:rsidR="00656AC1" w:rsidRPr="00203191" w:rsidRDefault="00656AC1" w:rsidP="00364E4D">
      <w:pPr>
        <w:rPr>
          <w:rFonts w:ascii="Calibri" w:hAnsi="Calibri" w:cs="Calibri"/>
        </w:rPr>
      </w:pPr>
      <w:r w:rsidRPr="00203191">
        <w:rPr>
          <w:rFonts w:ascii="Calibri" w:hAnsi="Calibri" w:cs="Calibri"/>
        </w:rPr>
        <w:t>Odbiór ostateczny polega na finalnej ocenie rzeczywistego wykonania robót w odniesieniu do ich ilości, jakości i wartości.</w:t>
      </w:r>
    </w:p>
    <w:p w:rsidR="00656AC1" w:rsidRPr="00203191" w:rsidRDefault="00656AC1" w:rsidP="00364E4D">
      <w:pPr>
        <w:rPr>
          <w:rFonts w:ascii="Calibri" w:hAnsi="Calibri" w:cs="Calibri"/>
        </w:rPr>
      </w:pPr>
      <w:r w:rsidRPr="00203191">
        <w:rPr>
          <w:rFonts w:ascii="Calibri" w:hAnsi="Calibri" w:cs="Calibri"/>
        </w:rPr>
        <w:t>Całkowite zakończenie robót oraz gotowość do odbioru ostatecznego będzie stwierdzona przez Wykonawcę wpisem do dziennika budowy z bezzwłocznym powiadomieniem na piśmie o tym fakc</w:t>
      </w:r>
      <w:r w:rsidR="0069622E">
        <w:rPr>
          <w:rFonts w:ascii="Calibri" w:hAnsi="Calibri" w:cs="Calibri"/>
        </w:rPr>
        <w:t>ie Inżyniera</w:t>
      </w:r>
    </w:p>
    <w:p w:rsidR="00656AC1" w:rsidRPr="00203191" w:rsidRDefault="00656AC1" w:rsidP="00364E4D">
      <w:pPr>
        <w:rPr>
          <w:rFonts w:ascii="Calibri" w:hAnsi="Calibri" w:cs="Calibri"/>
        </w:rPr>
      </w:pPr>
      <w:r w:rsidRPr="00203191">
        <w:rPr>
          <w:rFonts w:ascii="Calibri" w:hAnsi="Calibri" w:cs="Calibri"/>
        </w:rPr>
        <w:t>Odbiór ostateczny robót nastąpi w terminie ustalonym w dokumentach umowy, licząc od dnia potwierdzenia przez Inżyniera projektu zakończenia robót i przyjęcia dokumentów, o których mowa w punkcie 8.4.2.</w:t>
      </w:r>
    </w:p>
    <w:p w:rsidR="00656AC1" w:rsidRPr="00203191" w:rsidRDefault="00656AC1" w:rsidP="00364E4D">
      <w:pPr>
        <w:rPr>
          <w:rFonts w:ascii="Calibri" w:hAnsi="Calibri" w:cs="Calibri"/>
        </w:rPr>
      </w:pPr>
      <w:r w:rsidRPr="00203191">
        <w:rPr>
          <w:rFonts w:ascii="Calibri" w:hAnsi="Calibri" w:cs="Calibri"/>
        </w:rPr>
        <w:t xml:space="preserve">Odbioru ostatecznego robót dokona komisja wyznaczona przez Zamawiającego w obecności Inżyniera i Wykonawcy. Komisja odbierająca roboty dokona ich oceny jakościowej na podstawie przedłożonych dokumentów, wyników badań i pomiarów, ocenie wizualnej oraz zgodności wykonania robót z dokumentacją projektową i </w:t>
      </w:r>
      <w:r w:rsidR="005B48CA">
        <w:rPr>
          <w:rFonts w:ascii="Calibri" w:hAnsi="Calibri" w:cs="Calibri"/>
        </w:rPr>
        <w:t>STWiORB</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W toku odbioru ostatecznego robót komisja zapozna się z realizacją ustaleń przyjętych w trakcie odbiorów robót zanikających i ulegających zakryciu, zwłaszcza w zakresie wykonania robót uzupełniających i robót poprawkowych.</w:t>
      </w:r>
    </w:p>
    <w:p w:rsidR="00656AC1" w:rsidRPr="00203191" w:rsidRDefault="00656AC1" w:rsidP="00364E4D">
      <w:pPr>
        <w:rPr>
          <w:rFonts w:ascii="Calibri" w:hAnsi="Calibri" w:cs="Calibri"/>
        </w:rPr>
      </w:pPr>
      <w:r w:rsidRPr="00203191">
        <w:rPr>
          <w:rFonts w:ascii="Calibri" w:hAnsi="Calibri" w:cs="Calibri"/>
        </w:rPr>
        <w:t>W przypadkach niewykonania wyznaczonych robót poprawkowych lub robót uzupełniających w warstwie ścieralnej lub robotach wykończeniowych, komisja przerwie swoje czynności i ustali nowy termin odbioru ostatecznego.</w:t>
      </w:r>
    </w:p>
    <w:p w:rsidR="00656AC1" w:rsidRPr="00203191" w:rsidRDefault="00656AC1" w:rsidP="00364E4D">
      <w:pPr>
        <w:rPr>
          <w:rFonts w:ascii="Calibri" w:hAnsi="Calibri" w:cs="Calibri"/>
        </w:rPr>
      </w:pPr>
      <w:r w:rsidRPr="00203191">
        <w:rPr>
          <w:rFonts w:ascii="Calibri" w:hAnsi="Calibri" w:cs="Calibri"/>
        </w:rPr>
        <w:t xml:space="preserve">W przypadku stwierdzenia przez komisję, że jakość wykonywanych robót w poszczególnych asortymentach nieznacznie odbiega od wymaganej dokumentacją projektową i </w:t>
      </w:r>
      <w:r w:rsidR="005B48CA">
        <w:rPr>
          <w:rFonts w:ascii="Calibri" w:hAnsi="Calibri" w:cs="Calibri"/>
        </w:rPr>
        <w:t>STWiORB</w:t>
      </w:r>
      <w:r w:rsidRPr="00203191">
        <w:rPr>
          <w:rFonts w:ascii="Calibri" w:hAnsi="Calibri" w:cs="Calibri"/>
        </w:rP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rsidR="00656AC1" w:rsidRPr="00203191" w:rsidRDefault="00656AC1" w:rsidP="00364E4D">
      <w:pPr>
        <w:pStyle w:val="Nagwek7"/>
        <w:rPr>
          <w:rFonts w:ascii="Calibri" w:hAnsi="Calibri" w:cs="Calibri"/>
          <w:b/>
          <w:bCs/>
          <w:i/>
          <w:iCs/>
        </w:rPr>
      </w:pPr>
      <w:bookmarkStart w:id="38" w:name="_Toc412518599"/>
      <w:r w:rsidRPr="00203191">
        <w:rPr>
          <w:rFonts w:ascii="Calibri" w:hAnsi="Calibri" w:cs="Calibri"/>
          <w:b/>
          <w:bCs/>
          <w:i/>
          <w:iCs/>
        </w:rPr>
        <w:t>8.4.2. Dokumenty do odbioru ostatecznego</w:t>
      </w:r>
      <w:bookmarkEnd w:id="38"/>
    </w:p>
    <w:p w:rsidR="00656AC1" w:rsidRPr="00203191" w:rsidRDefault="00656AC1" w:rsidP="00364E4D">
      <w:pPr>
        <w:rPr>
          <w:rFonts w:ascii="Calibri" w:hAnsi="Calibri" w:cs="Calibri"/>
        </w:rPr>
      </w:pPr>
      <w:r w:rsidRPr="00203191">
        <w:rPr>
          <w:rFonts w:ascii="Calibri" w:hAnsi="Calibri" w:cs="Calibri"/>
        </w:rPr>
        <w:t>Podstawowym dokumentem do dokonania odbioru ostatecznego robót jest protokół odbioru ostatecznego robót sporządzony wg wzoru ustalonego przez Zamawiającego.</w:t>
      </w:r>
    </w:p>
    <w:p w:rsidR="00656AC1" w:rsidRPr="00203191" w:rsidRDefault="00656AC1" w:rsidP="00364E4D">
      <w:pPr>
        <w:rPr>
          <w:rFonts w:ascii="Calibri" w:hAnsi="Calibri" w:cs="Calibri"/>
        </w:rPr>
      </w:pPr>
      <w:r w:rsidRPr="00203191">
        <w:rPr>
          <w:rFonts w:ascii="Calibri" w:hAnsi="Calibri" w:cs="Calibri"/>
        </w:rPr>
        <w:t>Do odbioru ostatecznego Wykonawca jest zobowiązany przygotować następujące dokumenty:</w:t>
      </w:r>
    </w:p>
    <w:p w:rsidR="00656AC1" w:rsidRPr="00203191" w:rsidRDefault="00656AC1" w:rsidP="00364E4D">
      <w:pPr>
        <w:rPr>
          <w:rFonts w:ascii="Calibri" w:hAnsi="Calibri" w:cs="Calibri"/>
        </w:rPr>
      </w:pPr>
      <w:r w:rsidRPr="00203191">
        <w:rPr>
          <w:rFonts w:ascii="Calibri" w:hAnsi="Calibri" w:cs="Calibri"/>
        </w:rPr>
        <w:t>dokumentację projektową podstawową z naniesionymi zmianami oraz dodatkową, jeśli została sporządzona w trakcie realizacji umowy,</w:t>
      </w:r>
    </w:p>
    <w:p w:rsidR="00656AC1" w:rsidRPr="00203191" w:rsidRDefault="00656AC1" w:rsidP="00364E4D">
      <w:pPr>
        <w:rPr>
          <w:rFonts w:ascii="Calibri" w:hAnsi="Calibri" w:cs="Calibri"/>
        </w:rPr>
      </w:pPr>
      <w:r w:rsidRPr="00203191">
        <w:rPr>
          <w:rFonts w:ascii="Calibri" w:hAnsi="Calibri" w:cs="Calibri"/>
        </w:rPr>
        <w:t>szczegółowe specyfikacje techniczne (podstawowe z dokumentów umowy i ew. uzupełniające lub zamienne),</w:t>
      </w:r>
    </w:p>
    <w:p w:rsidR="00656AC1" w:rsidRPr="00203191" w:rsidRDefault="00656AC1" w:rsidP="00364E4D">
      <w:pPr>
        <w:rPr>
          <w:rFonts w:ascii="Calibri" w:hAnsi="Calibri" w:cs="Calibri"/>
        </w:rPr>
      </w:pPr>
      <w:r w:rsidRPr="00203191">
        <w:rPr>
          <w:rFonts w:ascii="Calibri" w:hAnsi="Calibri" w:cs="Calibri"/>
        </w:rPr>
        <w:t>recepty i ustalenia technologiczne,</w:t>
      </w:r>
    </w:p>
    <w:p w:rsidR="00656AC1" w:rsidRPr="00203191" w:rsidRDefault="00656AC1" w:rsidP="00364E4D">
      <w:pPr>
        <w:rPr>
          <w:rFonts w:ascii="Calibri" w:hAnsi="Calibri" w:cs="Calibri"/>
        </w:rPr>
      </w:pPr>
      <w:r w:rsidRPr="00203191">
        <w:rPr>
          <w:rFonts w:ascii="Calibri" w:hAnsi="Calibri" w:cs="Calibri"/>
        </w:rPr>
        <w:t>dzienniki budowy i książki obmiarów (oryginały),</w:t>
      </w:r>
    </w:p>
    <w:p w:rsidR="00656AC1" w:rsidRPr="00203191" w:rsidRDefault="00656AC1" w:rsidP="00364E4D">
      <w:pPr>
        <w:rPr>
          <w:rFonts w:ascii="Calibri" w:hAnsi="Calibri" w:cs="Calibri"/>
        </w:rPr>
      </w:pPr>
      <w:r w:rsidRPr="00203191">
        <w:rPr>
          <w:rFonts w:ascii="Calibri" w:hAnsi="Calibri" w:cs="Calibri"/>
        </w:rPr>
        <w:t xml:space="preserve">wyniki pomiarów kontrolnych oraz badań i oznaczeń laboratoryjnych, zgodne z </w:t>
      </w:r>
      <w:r w:rsidR="005B48CA">
        <w:rPr>
          <w:rFonts w:ascii="Calibri" w:hAnsi="Calibri" w:cs="Calibri"/>
        </w:rPr>
        <w:t>STWiORB</w:t>
      </w:r>
      <w:r w:rsidRPr="00203191">
        <w:rPr>
          <w:rFonts w:ascii="Calibri" w:hAnsi="Calibri" w:cs="Calibri"/>
        </w:rPr>
        <w:t xml:space="preserve"> i ew. PZJ,</w:t>
      </w:r>
    </w:p>
    <w:p w:rsidR="00656AC1" w:rsidRPr="00203191" w:rsidRDefault="00656AC1" w:rsidP="00364E4D">
      <w:pPr>
        <w:rPr>
          <w:rFonts w:ascii="Calibri" w:hAnsi="Calibri" w:cs="Calibri"/>
        </w:rPr>
      </w:pPr>
      <w:r w:rsidRPr="00203191">
        <w:rPr>
          <w:rFonts w:ascii="Calibri" w:hAnsi="Calibri" w:cs="Calibri"/>
        </w:rPr>
        <w:t xml:space="preserve">deklaracje zgodności lub certyfikaty zgodności wbudowanych materiałów zgodnie z </w:t>
      </w:r>
      <w:r w:rsidR="005B48CA">
        <w:rPr>
          <w:rFonts w:ascii="Calibri" w:hAnsi="Calibri" w:cs="Calibri"/>
        </w:rPr>
        <w:t>STWiORB</w:t>
      </w:r>
      <w:r w:rsidRPr="00203191">
        <w:rPr>
          <w:rFonts w:ascii="Calibri" w:hAnsi="Calibri" w:cs="Calibri"/>
        </w:rPr>
        <w:t xml:space="preserve"> i ew. PZJ,</w:t>
      </w:r>
    </w:p>
    <w:p w:rsidR="00656AC1" w:rsidRPr="00203191" w:rsidRDefault="00656AC1" w:rsidP="00364E4D">
      <w:pPr>
        <w:rPr>
          <w:rFonts w:ascii="Calibri" w:hAnsi="Calibri" w:cs="Calibri"/>
        </w:rPr>
      </w:pPr>
      <w:r w:rsidRPr="00203191">
        <w:rPr>
          <w:rFonts w:ascii="Calibri" w:hAnsi="Calibri" w:cs="Calibri"/>
        </w:rPr>
        <w:t xml:space="preserve">opinię technologiczną sporządzoną na podstawie wszystkich wyników badań i pomiarów załączonych do dokumentów odbioru, wykonanych zgodnie z </w:t>
      </w:r>
      <w:r w:rsidR="005B48CA">
        <w:rPr>
          <w:rFonts w:ascii="Calibri" w:hAnsi="Calibri" w:cs="Calibri"/>
        </w:rPr>
        <w:t>STWiORB</w:t>
      </w:r>
      <w:r w:rsidRPr="00203191">
        <w:rPr>
          <w:rFonts w:ascii="Calibri" w:hAnsi="Calibri" w:cs="Calibri"/>
        </w:rPr>
        <w:t xml:space="preserve"> i PZJ,</w:t>
      </w:r>
    </w:p>
    <w:p w:rsidR="00656AC1" w:rsidRPr="00203191" w:rsidRDefault="00656AC1" w:rsidP="00364E4D">
      <w:pPr>
        <w:rPr>
          <w:rFonts w:ascii="Calibri" w:hAnsi="Calibri" w:cs="Calibri"/>
        </w:rPr>
      </w:pPr>
      <w:r w:rsidRPr="00203191">
        <w:rPr>
          <w:rFonts w:ascii="Calibri" w:hAnsi="Calibri" w:cs="Calibri"/>
        </w:rPr>
        <w:t>rysunki (dokumentacje) na wykonanie robót towarzyszących (np. na przełożenie linii telefonicznej, energetycznej, gazowej, oświetlenia itp.) oraz protokoły odbioru i przekazania tych robót właścicielom urządzeń,</w:t>
      </w:r>
    </w:p>
    <w:p w:rsidR="00656AC1" w:rsidRPr="00203191" w:rsidRDefault="00656AC1" w:rsidP="00364E4D">
      <w:pPr>
        <w:rPr>
          <w:rFonts w:ascii="Calibri" w:hAnsi="Calibri" w:cs="Calibri"/>
        </w:rPr>
      </w:pPr>
      <w:r w:rsidRPr="00203191">
        <w:rPr>
          <w:rFonts w:ascii="Calibri" w:hAnsi="Calibri" w:cs="Calibri"/>
        </w:rPr>
        <w:t>geodezyjną inwentaryzację powykonawczą robót i sieci uzbrojenia terenu,</w:t>
      </w:r>
    </w:p>
    <w:p w:rsidR="00656AC1" w:rsidRPr="00203191" w:rsidRDefault="00656AC1" w:rsidP="00364E4D">
      <w:pPr>
        <w:rPr>
          <w:rFonts w:ascii="Calibri" w:hAnsi="Calibri" w:cs="Calibri"/>
        </w:rPr>
      </w:pPr>
      <w:r w:rsidRPr="00203191">
        <w:rPr>
          <w:rFonts w:ascii="Calibri" w:hAnsi="Calibri" w:cs="Calibri"/>
        </w:rPr>
        <w:t>kopię mapy zasadniczej powstałej w wyniku geodezyjnej inwentaryzacji powykonawczej.</w:t>
      </w:r>
    </w:p>
    <w:p w:rsidR="00656AC1" w:rsidRPr="00203191" w:rsidRDefault="00656AC1" w:rsidP="00364E4D">
      <w:pPr>
        <w:rPr>
          <w:rFonts w:ascii="Calibri" w:hAnsi="Calibri" w:cs="Calibri"/>
        </w:rPr>
      </w:pPr>
      <w:r w:rsidRPr="00203191">
        <w:rPr>
          <w:rFonts w:ascii="Calibri" w:hAnsi="Calibri" w:cs="Calibri"/>
        </w:rPr>
        <w:t>W przypadku, gdy wg komisji, roboty pod względem przygotowania dokumentacyjnego nie będą gotowe do odbioru ostatecznego, komisja w porozumieniu z Wykonawcą wyznaczy ponowny termin odbioru ostatecznego robót.</w:t>
      </w:r>
    </w:p>
    <w:p w:rsidR="00656AC1" w:rsidRPr="00203191" w:rsidRDefault="00656AC1" w:rsidP="00364E4D">
      <w:pPr>
        <w:rPr>
          <w:rFonts w:ascii="Calibri" w:hAnsi="Calibri" w:cs="Calibri"/>
        </w:rPr>
      </w:pPr>
      <w:r w:rsidRPr="00203191">
        <w:rPr>
          <w:rFonts w:ascii="Calibri" w:hAnsi="Calibri" w:cs="Calibri"/>
        </w:rPr>
        <w:t>Wszystkie zarządzone przez komisję roboty poprawkowe lub uzupełniające będą zestawione wg wzoru ustalonego przez Zamawiającego.</w:t>
      </w:r>
    </w:p>
    <w:p w:rsidR="00656AC1" w:rsidRPr="00203191" w:rsidRDefault="00656AC1" w:rsidP="00364E4D">
      <w:pPr>
        <w:rPr>
          <w:rFonts w:ascii="Calibri" w:hAnsi="Calibri" w:cs="Calibri"/>
        </w:rPr>
      </w:pPr>
      <w:r w:rsidRPr="00203191">
        <w:rPr>
          <w:rFonts w:ascii="Calibri" w:hAnsi="Calibri" w:cs="Calibri"/>
        </w:rPr>
        <w:t>Termin wykonania robót poprawkowych i robót uzupełniających wyznaczy komisja.</w:t>
      </w:r>
    </w:p>
    <w:p w:rsidR="00656AC1" w:rsidRPr="00203191" w:rsidRDefault="00656AC1" w:rsidP="00364E4D">
      <w:pPr>
        <w:pStyle w:val="Nagwek4"/>
        <w:rPr>
          <w:rFonts w:ascii="Calibri" w:hAnsi="Calibri" w:cs="Calibri"/>
        </w:rPr>
      </w:pPr>
      <w:r w:rsidRPr="00203191">
        <w:rPr>
          <w:rFonts w:ascii="Calibri" w:hAnsi="Calibri" w:cs="Calibri"/>
        </w:rPr>
        <w:t>8.5. Odbiór pogwarancyjny</w:t>
      </w:r>
    </w:p>
    <w:p w:rsidR="00656AC1" w:rsidRPr="00203191" w:rsidRDefault="00656AC1" w:rsidP="00364E4D">
      <w:pPr>
        <w:rPr>
          <w:rFonts w:ascii="Calibri" w:hAnsi="Calibri" w:cs="Calibri"/>
        </w:rPr>
      </w:pPr>
      <w:r w:rsidRPr="00203191">
        <w:rPr>
          <w:rFonts w:ascii="Calibri" w:hAnsi="Calibri" w:cs="Calibri"/>
        </w:rPr>
        <w:t>Odbiór pogwarancyjny polega na ocenie wykonanych robót związanych z usunięciem wad stwierdzonych przy odbiorze ostatecznym i zaistniałych w okresie gwarancyjnym.</w:t>
      </w:r>
    </w:p>
    <w:p w:rsidR="00656AC1" w:rsidRPr="00203191" w:rsidRDefault="00656AC1" w:rsidP="00364E4D">
      <w:pPr>
        <w:rPr>
          <w:rFonts w:ascii="Calibri" w:hAnsi="Calibri" w:cs="Calibri"/>
        </w:rPr>
      </w:pPr>
      <w:r w:rsidRPr="00203191">
        <w:rPr>
          <w:rFonts w:ascii="Calibri" w:hAnsi="Calibri" w:cs="Calibri"/>
        </w:rPr>
        <w:t>Odbiór pogwarancyjny będzie dokonany na podstawie oceny wizualnej obiektu z uwzględnieniem zasad opisanych w punkcie 8.4 „Odbiór ostateczny robót”.</w:t>
      </w:r>
    </w:p>
    <w:p w:rsidR="00656AC1" w:rsidRPr="00203191" w:rsidRDefault="00656AC1" w:rsidP="00364E4D">
      <w:pPr>
        <w:pStyle w:val="Nagwek3"/>
        <w:rPr>
          <w:rFonts w:ascii="Calibri" w:hAnsi="Calibri" w:cs="Calibri"/>
        </w:rPr>
      </w:pPr>
      <w:bookmarkStart w:id="39" w:name="_Toc416830706"/>
      <w:bookmarkStart w:id="40" w:name="_Toc6881287"/>
      <w:bookmarkStart w:id="41" w:name="_Toc6882160"/>
      <w:r w:rsidRPr="00203191">
        <w:rPr>
          <w:rFonts w:ascii="Calibri" w:hAnsi="Calibri" w:cs="Calibri"/>
        </w:rPr>
        <w:lastRenderedPageBreak/>
        <w:t>9. PODSTAWA PŁATNOŚCI</w:t>
      </w:r>
      <w:bookmarkEnd w:id="39"/>
      <w:bookmarkEnd w:id="40"/>
      <w:bookmarkEnd w:id="41"/>
    </w:p>
    <w:p w:rsidR="00656AC1" w:rsidRPr="00203191" w:rsidRDefault="00656AC1" w:rsidP="00364E4D">
      <w:pPr>
        <w:pStyle w:val="Nagwek4"/>
        <w:rPr>
          <w:rFonts w:ascii="Calibri" w:hAnsi="Calibri" w:cs="Calibri"/>
        </w:rPr>
      </w:pPr>
      <w:r w:rsidRPr="00203191">
        <w:rPr>
          <w:rFonts w:ascii="Calibri" w:hAnsi="Calibri" w:cs="Calibri"/>
        </w:rPr>
        <w:t>9.1. Ustalenia ogólne</w:t>
      </w:r>
    </w:p>
    <w:p w:rsidR="00656AC1" w:rsidRPr="00203191" w:rsidRDefault="00656AC1" w:rsidP="00364E4D">
      <w:pPr>
        <w:pStyle w:val="tekstost"/>
        <w:rPr>
          <w:rFonts w:ascii="Calibri" w:hAnsi="Calibri" w:cs="Calibri"/>
        </w:rPr>
      </w:pPr>
      <w:r w:rsidRPr="00203191">
        <w:rPr>
          <w:rFonts w:ascii="Calibri" w:hAnsi="Calibri" w:cs="Calibri"/>
        </w:rPr>
        <w:t xml:space="preserve">Podstawą płatności jest cena </w:t>
      </w:r>
      <w:r w:rsidR="0079565D">
        <w:rPr>
          <w:rFonts w:ascii="Calibri" w:hAnsi="Calibri" w:cs="Calibri"/>
        </w:rPr>
        <w:t xml:space="preserve">ryczałtowa </w:t>
      </w:r>
      <w:r w:rsidRPr="00203191">
        <w:rPr>
          <w:rFonts w:ascii="Calibri" w:hAnsi="Calibri" w:cs="Calibri"/>
        </w:rPr>
        <w:t xml:space="preserve">skalkulowana przez Wykonawcę za </w:t>
      </w:r>
      <w:r w:rsidR="0079565D">
        <w:rPr>
          <w:rFonts w:ascii="Calibri" w:hAnsi="Calibri" w:cs="Calibri"/>
        </w:rPr>
        <w:t>wykonanie całości robót</w:t>
      </w:r>
      <w:r w:rsidRPr="00203191">
        <w:rPr>
          <w:rFonts w:ascii="Calibri" w:hAnsi="Calibri" w:cs="Calibri"/>
        </w:rPr>
        <w:t>.</w:t>
      </w:r>
    </w:p>
    <w:p w:rsidR="00656AC1" w:rsidRPr="00203191" w:rsidRDefault="0079565D" w:rsidP="00364E4D">
      <w:pPr>
        <w:pStyle w:val="tekstost"/>
        <w:rPr>
          <w:rFonts w:ascii="Calibri" w:hAnsi="Calibri" w:cs="Calibri"/>
        </w:rPr>
      </w:pPr>
      <w:r>
        <w:rPr>
          <w:rFonts w:ascii="Calibri" w:hAnsi="Calibri" w:cs="Calibri"/>
        </w:rPr>
        <w:t>K</w:t>
      </w:r>
      <w:r w:rsidR="00656AC1" w:rsidRPr="00203191">
        <w:rPr>
          <w:rFonts w:ascii="Calibri" w:hAnsi="Calibri" w:cs="Calibri"/>
        </w:rPr>
        <w:t>wot</w:t>
      </w:r>
      <w:r>
        <w:rPr>
          <w:rFonts w:ascii="Calibri" w:hAnsi="Calibri" w:cs="Calibri"/>
        </w:rPr>
        <w:t>a</w:t>
      </w:r>
      <w:r w:rsidR="00656AC1" w:rsidRPr="00203191">
        <w:rPr>
          <w:rFonts w:ascii="Calibri" w:hAnsi="Calibri" w:cs="Calibri"/>
        </w:rPr>
        <w:t xml:space="preserve"> ryczałtow</w:t>
      </w:r>
      <w:r>
        <w:rPr>
          <w:rFonts w:ascii="Calibri" w:hAnsi="Calibri" w:cs="Calibri"/>
        </w:rPr>
        <w:t>a</w:t>
      </w:r>
      <w:r w:rsidR="00656AC1" w:rsidRPr="00203191">
        <w:rPr>
          <w:rFonts w:ascii="Calibri" w:hAnsi="Calibri" w:cs="Calibri"/>
        </w:rPr>
        <w:t xml:space="preserve"> robót będ</w:t>
      </w:r>
      <w:r>
        <w:rPr>
          <w:rFonts w:ascii="Calibri" w:hAnsi="Calibri" w:cs="Calibri"/>
        </w:rPr>
        <w:t>zie</w:t>
      </w:r>
      <w:r w:rsidR="00656AC1" w:rsidRPr="00203191">
        <w:rPr>
          <w:rFonts w:ascii="Calibri" w:hAnsi="Calibri" w:cs="Calibri"/>
        </w:rPr>
        <w:t xml:space="preserve"> obejmować:</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robociznę bezpośrednią wraz z towarzyszącymi kosztami,</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wartość zużytych materiałów wraz z kosztami zakupu, magazynowania, ewentualnych ubytków i transportu na teren budowy,</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wartość pracy sprzętu wraz z towarzyszącymi kosztami,</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koszty pośrednie, zysk kalkulacyjny i ryzyko,</w:t>
      </w:r>
    </w:p>
    <w:p w:rsidR="00656AC1" w:rsidRDefault="00656AC1" w:rsidP="00954A11">
      <w:pPr>
        <w:pStyle w:val="tekstost"/>
        <w:numPr>
          <w:ilvl w:val="0"/>
          <w:numId w:val="1"/>
        </w:numPr>
        <w:rPr>
          <w:rFonts w:ascii="Calibri" w:hAnsi="Calibri" w:cs="Calibri"/>
        </w:rPr>
      </w:pPr>
      <w:r w:rsidRPr="00203191">
        <w:rPr>
          <w:rFonts w:ascii="Calibri" w:hAnsi="Calibri" w:cs="Calibri"/>
        </w:rPr>
        <w:t>podatki obliczone zgodnie z obowiązującymi przepisami.</w:t>
      </w:r>
    </w:p>
    <w:p w:rsidR="0079565D" w:rsidRPr="00203191" w:rsidRDefault="0079565D" w:rsidP="0079565D">
      <w:pPr>
        <w:pStyle w:val="tekstost"/>
        <w:rPr>
          <w:rFonts w:ascii="Calibri" w:hAnsi="Calibri" w:cs="Calibri"/>
        </w:rPr>
      </w:pPr>
      <w:r>
        <w:rPr>
          <w:rFonts w:ascii="Calibri" w:hAnsi="Calibri" w:cs="Calibri"/>
        </w:rPr>
        <w:t>Dopuszcza się płatności częściowe na podstawie zaakceptowanego przez Zamawiającego harmonogramu rzeczowo – finansowego.</w:t>
      </w:r>
    </w:p>
    <w:p w:rsidR="00656AC1" w:rsidRPr="00203191" w:rsidRDefault="00656AC1" w:rsidP="00364E4D">
      <w:pPr>
        <w:pStyle w:val="Nagwek4"/>
        <w:rPr>
          <w:rFonts w:ascii="Calibri" w:hAnsi="Calibri" w:cs="Calibri"/>
        </w:rPr>
      </w:pPr>
      <w:r w:rsidRPr="00203191">
        <w:rPr>
          <w:rFonts w:ascii="Calibri" w:hAnsi="Calibri" w:cs="Calibri"/>
        </w:rPr>
        <w:t>9.2. Warunki umowy i wymagania ogólne D-M-00.00.00</w:t>
      </w:r>
    </w:p>
    <w:p w:rsidR="00656AC1" w:rsidRPr="00203191" w:rsidRDefault="00656AC1" w:rsidP="00364E4D">
      <w:pPr>
        <w:pStyle w:val="tekstost"/>
        <w:rPr>
          <w:rFonts w:ascii="Calibri" w:hAnsi="Calibri" w:cs="Calibri"/>
        </w:rPr>
      </w:pPr>
      <w:r w:rsidRPr="00203191">
        <w:rPr>
          <w:rFonts w:ascii="Calibri" w:hAnsi="Calibri" w:cs="Calibri"/>
        </w:rPr>
        <w:t>Koszt dostosowania się do wymagań warunków umowy i wymagań ogólnych zawartych w D-M-00.00.00 obejmuje wszystkie warunki określone w ww. dokumentac.</w:t>
      </w:r>
    </w:p>
    <w:p w:rsidR="00656AC1" w:rsidRPr="00203191" w:rsidRDefault="00656AC1" w:rsidP="00364E4D">
      <w:pPr>
        <w:pStyle w:val="Nagwek4"/>
        <w:rPr>
          <w:rFonts w:ascii="Calibri" w:hAnsi="Calibri" w:cs="Calibri"/>
        </w:rPr>
      </w:pPr>
      <w:r w:rsidRPr="00203191">
        <w:rPr>
          <w:rFonts w:ascii="Calibri" w:hAnsi="Calibri" w:cs="Calibri"/>
        </w:rPr>
        <w:t>9.3. Objazdy, przejazdy i organizacja ruchu</w:t>
      </w:r>
    </w:p>
    <w:p w:rsidR="00656AC1" w:rsidRPr="00203191" w:rsidRDefault="00656AC1" w:rsidP="00364E4D">
      <w:pPr>
        <w:pStyle w:val="tekstost"/>
        <w:rPr>
          <w:rFonts w:ascii="Calibri" w:hAnsi="Calibri" w:cs="Calibri"/>
        </w:rPr>
      </w:pPr>
      <w:r w:rsidRPr="00203191">
        <w:rPr>
          <w:rFonts w:ascii="Calibri" w:hAnsi="Calibri" w:cs="Calibri"/>
        </w:rPr>
        <w:t>Koszt  wybudowania objazdów/przejazdów i organizacji ruchu obejmuje:</w:t>
      </w:r>
    </w:p>
    <w:p w:rsidR="00656AC1" w:rsidRPr="00203191" w:rsidRDefault="00656AC1" w:rsidP="00954A11">
      <w:pPr>
        <w:pStyle w:val="tekstost"/>
        <w:numPr>
          <w:ilvl w:val="0"/>
          <w:numId w:val="9"/>
        </w:numPr>
        <w:rPr>
          <w:rFonts w:ascii="Calibri" w:hAnsi="Calibri" w:cs="Calibri"/>
        </w:rPr>
      </w:pPr>
      <w:r w:rsidRPr="00203191">
        <w:rPr>
          <w:rFonts w:ascii="Calibri" w:hAnsi="Calibri" w:cs="Calibri"/>
        </w:rPr>
        <w:t>ustawienie tymczasowego oznakowania i oświetlenia zgodnie z wymaganiami bezpieczeństwa ruchu,</w:t>
      </w:r>
    </w:p>
    <w:p w:rsidR="00656AC1" w:rsidRPr="00203191" w:rsidRDefault="00656AC1" w:rsidP="00954A11">
      <w:pPr>
        <w:pStyle w:val="tekstost"/>
        <w:numPr>
          <w:ilvl w:val="0"/>
          <w:numId w:val="9"/>
        </w:numPr>
        <w:rPr>
          <w:rFonts w:ascii="Calibri" w:hAnsi="Calibri" w:cs="Calibri"/>
        </w:rPr>
      </w:pPr>
      <w:r w:rsidRPr="00203191">
        <w:rPr>
          <w:rFonts w:ascii="Calibri" w:hAnsi="Calibri" w:cs="Calibri"/>
        </w:rPr>
        <w:t>opłaty/dzierżawy terenu,</w:t>
      </w:r>
    </w:p>
    <w:p w:rsidR="00656AC1" w:rsidRPr="00203191" w:rsidRDefault="00656AC1" w:rsidP="00954A11">
      <w:pPr>
        <w:pStyle w:val="tekstost"/>
        <w:numPr>
          <w:ilvl w:val="0"/>
          <w:numId w:val="9"/>
        </w:numPr>
        <w:rPr>
          <w:rFonts w:ascii="Calibri" w:hAnsi="Calibri" w:cs="Calibri"/>
        </w:rPr>
      </w:pPr>
      <w:r w:rsidRPr="00203191">
        <w:rPr>
          <w:rFonts w:ascii="Calibri" w:hAnsi="Calibri" w:cs="Calibri"/>
        </w:rPr>
        <w:t>przygotowanie terenu,</w:t>
      </w:r>
    </w:p>
    <w:p w:rsidR="00656AC1" w:rsidRPr="00203191" w:rsidRDefault="00656AC1" w:rsidP="00954A11">
      <w:pPr>
        <w:pStyle w:val="tekstost"/>
        <w:numPr>
          <w:ilvl w:val="0"/>
          <w:numId w:val="9"/>
        </w:numPr>
        <w:rPr>
          <w:rFonts w:ascii="Calibri" w:hAnsi="Calibri" w:cs="Calibri"/>
        </w:rPr>
      </w:pPr>
      <w:r w:rsidRPr="00203191">
        <w:rPr>
          <w:rFonts w:ascii="Calibri" w:hAnsi="Calibri" w:cs="Calibri"/>
        </w:rPr>
        <w:t>konstrukcję tymczasowej nawierzchni, ramp, chodników, krawężników, barier, oznakowań i drenażu,</w:t>
      </w:r>
    </w:p>
    <w:p w:rsidR="00656AC1" w:rsidRPr="00203191" w:rsidRDefault="00656AC1" w:rsidP="00954A11">
      <w:pPr>
        <w:pStyle w:val="tekstost"/>
        <w:numPr>
          <w:ilvl w:val="0"/>
          <w:numId w:val="9"/>
        </w:numPr>
        <w:rPr>
          <w:rFonts w:ascii="Calibri" w:hAnsi="Calibri" w:cs="Calibri"/>
        </w:rPr>
      </w:pPr>
      <w:r w:rsidRPr="00203191">
        <w:rPr>
          <w:rFonts w:ascii="Calibri" w:hAnsi="Calibri" w:cs="Calibri"/>
        </w:rPr>
        <w:t>tymczasową przebudowę urządzeń obcych.</w:t>
      </w:r>
    </w:p>
    <w:p w:rsidR="00656AC1" w:rsidRPr="00203191" w:rsidRDefault="00656AC1" w:rsidP="00364E4D">
      <w:pPr>
        <w:pStyle w:val="tekstost"/>
        <w:rPr>
          <w:rFonts w:ascii="Calibri" w:hAnsi="Calibri" w:cs="Calibri"/>
        </w:rPr>
      </w:pPr>
      <w:r w:rsidRPr="00203191">
        <w:rPr>
          <w:rFonts w:ascii="Calibri" w:hAnsi="Calibri" w:cs="Calibri"/>
        </w:rPr>
        <w:t>Koszt utrzymania objazdów/przejazdów i organizacji ruchu obejmuje:</w:t>
      </w:r>
    </w:p>
    <w:p w:rsidR="00656AC1" w:rsidRPr="00203191" w:rsidRDefault="00656AC1" w:rsidP="00954A11">
      <w:pPr>
        <w:pStyle w:val="tekstost"/>
        <w:numPr>
          <w:ilvl w:val="0"/>
          <w:numId w:val="10"/>
        </w:numPr>
        <w:ind w:left="284" w:hanging="284"/>
        <w:rPr>
          <w:rFonts w:ascii="Calibri" w:hAnsi="Calibri" w:cs="Calibri"/>
        </w:rPr>
      </w:pPr>
      <w:r w:rsidRPr="00203191">
        <w:rPr>
          <w:rFonts w:ascii="Calibri" w:hAnsi="Calibri" w:cs="Calibri"/>
        </w:rPr>
        <w:t>oczyszczanie, przestawienie, przykrycie i usunięcie tymczasowych oznakowań pionowych, poziomych, barier i świateł,</w:t>
      </w:r>
    </w:p>
    <w:p w:rsidR="00656AC1" w:rsidRPr="00203191" w:rsidRDefault="00656AC1" w:rsidP="00954A11">
      <w:pPr>
        <w:pStyle w:val="tekstost"/>
        <w:numPr>
          <w:ilvl w:val="0"/>
          <w:numId w:val="10"/>
        </w:numPr>
        <w:ind w:left="284" w:hanging="284"/>
        <w:rPr>
          <w:rFonts w:ascii="Calibri" w:hAnsi="Calibri" w:cs="Calibri"/>
        </w:rPr>
      </w:pPr>
      <w:r w:rsidRPr="00203191">
        <w:rPr>
          <w:rFonts w:ascii="Calibri" w:hAnsi="Calibri" w:cs="Calibri"/>
        </w:rPr>
        <w:t>utrzymanie płynności ruchu publicznego.</w:t>
      </w:r>
    </w:p>
    <w:p w:rsidR="00656AC1" w:rsidRPr="00203191" w:rsidRDefault="00656AC1" w:rsidP="00364E4D">
      <w:pPr>
        <w:pStyle w:val="tekstost"/>
        <w:rPr>
          <w:rFonts w:ascii="Calibri" w:hAnsi="Calibri" w:cs="Calibri"/>
        </w:rPr>
      </w:pPr>
      <w:r w:rsidRPr="00203191">
        <w:rPr>
          <w:rFonts w:ascii="Calibri" w:hAnsi="Calibri" w:cs="Calibri"/>
        </w:rPr>
        <w:t>Koszt likwidacji objazdów/przejazdów i organizacji ruchu obejmuje:</w:t>
      </w:r>
    </w:p>
    <w:p w:rsidR="00656AC1" w:rsidRPr="00203191" w:rsidRDefault="00656AC1" w:rsidP="00954A11">
      <w:pPr>
        <w:pStyle w:val="tekstost"/>
        <w:numPr>
          <w:ilvl w:val="0"/>
          <w:numId w:val="11"/>
        </w:numPr>
        <w:ind w:left="284" w:hanging="284"/>
        <w:rPr>
          <w:rFonts w:ascii="Calibri" w:hAnsi="Calibri" w:cs="Calibri"/>
        </w:rPr>
      </w:pPr>
      <w:r w:rsidRPr="00203191">
        <w:rPr>
          <w:rFonts w:ascii="Calibri" w:hAnsi="Calibri" w:cs="Calibri"/>
        </w:rPr>
        <w:t>usunięcie wbudowanych materiałów i oznakowania,</w:t>
      </w:r>
    </w:p>
    <w:p w:rsidR="00656AC1" w:rsidRPr="00203191" w:rsidRDefault="00656AC1" w:rsidP="00954A11">
      <w:pPr>
        <w:pStyle w:val="tekstost"/>
        <w:numPr>
          <w:ilvl w:val="0"/>
          <w:numId w:val="11"/>
        </w:numPr>
        <w:ind w:left="284" w:hanging="284"/>
        <w:rPr>
          <w:rFonts w:ascii="Calibri" w:hAnsi="Calibri" w:cs="Calibri"/>
        </w:rPr>
      </w:pPr>
      <w:r w:rsidRPr="00203191">
        <w:rPr>
          <w:rFonts w:ascii="Calibri" w:hAnsi="Calibri" w:cs="Calibri"/>
        </w:rPr>
        <w:t>doprowadzenie terenu do stanu pierwotnego.</w:t>
      </w:r>
    </w:p>
    <w:p w:rsidR="00656AC1" w:rsidRPr="00203191" w:rsidRDefault="00656AC1" w:rsidP="00364E4D">
      <w:pPr>
        <w:pStyle w:val="Nagwek3"/>
        <w:rPr>
          <w:rFonts w:ascii="Calibri" w:hAnsi="Calibri" w:cs="Calibri"/>
        </w:rPr>
      </w:pPr>
      <w:bookmarkStart w:id="42" w:name="_Toc416830707"/>
      <w:bookmarkStart w:id="43" w:name="_Toc6881288"/>
      <w:bookmarkStart w:id="44" w:name="_Toc6882161"/>
      <w:r w:rsidRPr="00203191">
        <w:rPr>
          <w:rFonts w:ascii="Calibri" w:hAnsi="Calibri" w:cs="Calibri"/>
        </w:rPr>
        <w:t>10. PRZEPISY ZWIĄZANE</w:t>
      </w:r>
      <w:bookmarkEnd w:id="42"/>
      <w:bookmarkEnd w:id="43"/>
      <w:bookmarkEnd w:id="44"/>
    </w:p>
    <w:p w:rsidR="00656AC1" w:rsidRPr="00203191" w:rsidRDefault="00656AC1" w:rsidP="00954A11">
      <w:pPr>
        <w:pStyle w:val="tekstost"/>
        <w:numPr>
          <w:ilvl w:val="0"/>
          <w:numId w:val="12"/>
        </w:numPr>
        <w:ind w:left="0"/>
        <w:rPr>
          <w:rFonts w:ascii="Calibri" w:hAnsi="Calibri" w:cs="Calibri"/>
        </w:rPr>
      </w:pPr>
      <w:r w:rsidRPr="00203191">
        <w:rPr>
          <w:rFonts w:ascii="Calibri" w:hAnsi="Calibri" w:cs="Calibri"/>
        </w:rPr>
        <w:t>Ustawa z dnia 7 lipca 1994 r. - Prawo budowlane (Dz. U. Nr 89, poz. 414 z później</w:t>
      </w:r>
      <w:r w:rsidRPr="00203191">
        <w:rPr>
          <w:rFonts w:ascii="Calibri" w:hAnsi="Calibri" w:cs="Calibri"/>
        </w:rPr>
        <w:softHyphen/>
        <w:t>szymi zmianami).</w:t>
      </w:r>
    </w:p>
    <w:p w:rsidR="00656AC1" w:rsidRPr="00203191" w:rsidRDefault="00656AC1" w:rsidP="00954A11">
      <w:pPr>
        <w:pStyle w:val="tekstost"/>
        <w:numPr>
          <w:ilvl w:val="0"/>
          <w:numId w:val="12"/>
        </w:numPr>
        <w:ind w:left="0"/>
        <w:rPr>
          <w:rFonts w:ascii="Calibri" w:hAnsi="Calibri" w:cs="Calibri"/>
        </w:rPr>
      </w:pPr>
      <w:r w:rsidRPr="00203191">
        <w:rPr>
          <w:rFonts w:ascii="Calibri" w:hAnsi="Calibri" w:cs="Calibri"/>
        </w:rPr>
        <w:t>Zarządzenie Ministra Infrastruktury z dnia 19 listopada 2001 r. w sprawie dziennika budowy, montażu i rozbiórki oraz tablicy informacyjnej (Dz. U. Nr 138, poz. 1555).</w:t>
      </w:r>
    </w:p>
    <w:p w:rsidR="00656AC1" w:rsidRPr="00203191" w:rsidRDefault="00656AC1" w:rsidP="00954A11">
      <w:pPr>
        <w:pStyle w:val="tekstost"/>
        <w:numPr>
          <w:ilvl w:val="0"/>
          <w:numId w:val="12"/>
        </w:numPr>
        <w:ind w:left="0"/>
        <w:rPr>
          <w:rFonts w:ascii="Calibri" w:hAnsi="Calibri" w:cs="Calibri"/>
        </w:rPr>
      </w:pPr>
      <w:r w:rsidRPr="00203191">
        <w:rPr>
          <w:rFonts w:ascii="Calibri" w:hAnsi="Calibri" w:cs="Calibri"/>
        </w:rPr>
        <w:t>Ustawa z dnia 21 marca 1985 r. o drogach publicznych (Dz. U. Nr 14, poz. 60 z późniejszymi zmianami).</w:t>
      </w:r>
    </w:p>
    <w:p w:rsidR="00656AC1" w:rsidRPr="0079565D" w:rsidRDefault="005B48CA" w:rsidP="0079565D">
      <w:pPr>
        <w:pStyle w:val="Nagwek2"/>
      </w:pPr>
      <w:r w:rsidRPr="0079565D">
        <w:lastRenderedPageBreak/>
        <w:t>SPECYFIKACJE TECHNICZNE</w:t>
      </w:r>
      <w:r w:rsidR="00E22F37" w:rsidRPr="0079565D">
        <w:t xml:space="preserve"> WYKONANIA I ODBIORU ROBÓT BUDOWLANYCH</w:t>
      </w:r>
    </w:p>
    <w:p w:rsidR="00656AC1" w:rsidRPr="0079565D" w:rsidRDefault="00656AC1" w:rsidP="0079565D">
      <w:pPr>
        <w:pStyle w:val="Nagwek1"/>
      </w:pPr>
      <w:bookmarkStart w:id="45" w:name="_Toc352837477"/>
      <w:bookmarkStart w:id="46" w:name="_Toc427178261"/>
      <w:bookmarkStart w:id="47" w:name="_Toc459929659"/>
      <w:r w:rsidRPr="0079565D">
        <w:t xml:space="preserve">D-01.01.01 </w:t>
      </w:r>
      <w:bookmarkEnd w:id="45"/>
      <w:bookmarkEnd w:id="46"/>
      <w:r w:rsidR="00F57D49">
        <w:t>ROBOTY POMIAROWE</w:t>
      </w:r>
      <w:bookmarkEnd w:id="47"/>
    </w:p>
    <w:p w:rsidR="00656AC1" w:rsidRPr="00203191" w:rsidRDefault="00656AC1" w:rsidP="00364E4D">
      <w:pPr>
        <w:pStyle w:val="Nagwek3"/>
        <w:rPr>
          <w:rFonts w:ascii="Calibri" w:hAnsi="Calibri" w:cs="Calibri"/>
        </w:rPr>
      </w:pPr>
      <w:r w:rsidRPr="00203191">
        <w:rPr>
          <w:rFonts w:ascii="Calibri" w:hAnsi="Calibri" w:cs="Calibri"/>
        </w:rPr>
        <w:t>1. WSTĘP</w:t>
      </w:r>
    </w:p>
    <w:p w:rsidR="00656AC1" w:rsidRPr="00203191" w:rsidRDefault="00656AC1" w:rsidP="00364E4D">
      <w:pPr>
        <w:pStyle w:val="Nagwek4"/>
        <w:rPr>
          <w:rFonts w:ascii="Calibri" w:hAnsi="Calibri" w:cs="Calibri"/>
        </w:rPr>
      </w:pPr>
      <w:r w:rsidRPr="00203191">
        <w:rPr>
          <w:rFonts w:ascii="Calibri" w:hAnsi="Calibri" w:cs="Calibri"/>
        </w:rPr>
        <w:t xml:space="preserve">1.1.Przedmiot </w:t>
      </w:r>
      <w:r w:rsidR="005B48CA">
        <w:rPr>
          <w:rFonts w:ascii="Calibri" w:hAnsi="Calibri" w:cs="Calibri"/>
        </w:rPr>
        <w:t>STWiORB</w:t>
      </w:r>
    </w:p>
    <w:p w:rsidR="00656AC1" w:rsidRPr="00203191" w:rsidRDefault="00656AC1" w:rsidP="00364E4D">
      <w:pPr>
        <w:tabs>
          <w:tab w:val="left" w:pos="0"/>
        </w:tabs>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są wymagania dotyczące wykonania i odbioru robót związanych z </w:t>
      </w:r>
      <w:r w:rsidR="00F57D49">
        <w:rPr>
          <w:rFonts w:ascii="Calibri" w:hAnsi="Calibri" w:cs="Calibri"/>
        </w:rPr>
        <w:t>wykonaniem prac pomiarowych dla budowy parkingu</w:t>
      </w:r>
    </w:p>
    <w:p w:rsidR="00656AC1" w:rsidRPr="00203191" w:rsidRDefault="00656AC1" w:rsidP="00364E4D">
      <w:pPr>
        <w:pStyle w:val="Nagwek4"/>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225B63">
      <w:pPr>
        <w:rPr>
          <w:rFonts w:ascii="Calibri" w:hAnsi="Calibri" w:cs="Calibri"/>
        </w:rPr>
      </w:pPr>
      <w:r>
        <w:rPr>
          <w:rFonts w:ascii="Calibri" w:hAnsi="Calibri" w:cs="Calibri"/>
        </w:rPr>
        <w:t>Specyfikacja techniczna</w:t>
      </w:r>
      <w:r w:rsidR="00E22F37">
        <w:rPr>
          <w:rFonts w:ascii="Calibri" w:hAnsi="Calibri" w:cs="Calibri"/>
        </w:rPr>
        <w:t xml:space="preserve"> stanowi </w:t>
      </w:r>
      <w:r w:rsidR="00656AC1" w:rsidRPr="00203191">
        <w:rPr>
          <w:rFonts w:ascii="Calibri" w:hAnsi="Calibri" w:cs="Calibri"/>
        </w:rPr>
        <w:t xml:space="preserve">dokument przetargowy i kontraktowy przy realizacji  zadania </w:t>
      </w:r>
      <w:r w:rsidR="00B26FFB">
        <w:rPr>
          <w:rFonts w:ascii="Calibri" w:hAnsi="Calibri" w:cs="Calibri"/>
        </w:rPr>
        <w:t>„</w:t>
      </w:r>
      <w:r w:rsidR="00F57D49" w:rsidRPr="00F57D49">
        <w:rPr>
          <w:rFonts w:asciiTheme="minorHAnsi" w:hAnsiTheme="minorHAnsi"/>
        </w:rPr>
        <w:t>Budowa parkingu wraz z drogą manewrową przy ul. Armii Krajowej w Wałbrzychu zlokalizowanego na dz. nr ew. 113, 116/1, obr. 20 Stary Zdrój (przy budynkach mieszkalnych nr 46 i 54)"</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F57D49" w:rsidRDefault="00656AC1" w:rsidP="00364E4D">
      <w:pPr>
        <w:tabs>
          <w:tab w:val="left" w:pos="0"/>
        </w:tabs>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dotyczą zasad prowadzenia robót związanych z wszystkimi czynnościami umożliwiającymi i mającymi na celu </w:t>
      </w:r>
      <w:r w:rsidR="00F57D49">
        <w:rPr>
          <w:rFonts w:ascii="Calibri" w:hAnsi="Calibri" w:cs="Calibri"/>
        </w:rPr>
        <w:t>wyniesienie</w:t>
      </w:r>
      <w:r w:rsidRPr="00203191">
        <w:rPr>
          <w:rFonts w:ascii="Calibri" w:hAnsi="Calibri" w:cs="Calibri"/>
        </w:rPr>
        <w:t xml:space="preserve"> w terenie </w:t>
      </w:r>
      <w:r w:rsidR="00F57D49">
        <w:rPr>
          <w:rFonts w:ascii="Calibri" w:hAnsi="Calibri" w:cs="Calibri"/>
        </w:rPr>
        <w:t>wszystkich elementów parkingu w zakresie sytuacyjnym i wysokościowym</w:t>
      </w:r>
    </w:p>
    <w:p w:rsidR="00656AC1" w:rsidRPr="00203191" w:rsidRDefault="00656AC1" w:rsidP="00364E4D">
      <w:pPr>
        <w:tabs>
          <w:tab w:val="left" w:pos="0"/>
        </w:tabs>
        <w:rPr>
          <w:rFonts w:ascii="Calibri" w:hAnsi="Calibri" w:cs="Calibri"/>
        </w:rPr>
      </w:pPr>
      <w:r w:rsidRPr="00203191">
        <w:rPr>
          <w:rFonts w:ascii="Calibri" w:hAnsi="Calibri" w:cs="Calibri"/>
        </w:rPr>
        <w:t>.</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 xml:space="preserve">1.3.1. </w:t>
      </w:r>
      <w:r w:rsidR="00F57D49">
        <w:rPr>
          <w:rFonts w:ascii="Calibri" w:hAnsi="Calibri" w:cs="Calibri"/>
          <w:b/>
          <w:bCs/>
          <w:i/>
          <w:iCs/>
        </w:rPr>
        <w:t>Wyniesienie parkingu w planie oraz</w:t>
      </w:r>
      <w:r w:rsidRPr="00203191">
        <w:rPr>
          <w:rFonts w:ascii="Calibri" w:hAnsi="Calibri" w:cs="Calibri"/>
          <w:b/>
          <w:bCs/>
          <w:i/>
          <w:iCs/>
        </w:rPr>
        <w:t xml:space="preserve"> punktów wysokościowych</w:t>
      </w:r>
    </w:p>
    <w:p w:rsidR="00656AC1" w:rsidRPr="00203191" w:rsidRDefault="00656AC1" w:rsidP="00364E4D">
      <w:pPr>
        <w:tabs>
          <w:tab w:val="left" w:pos="0"/>
        </w:tabs>
        <w:rPr>
          <w:rFonts w:ascii="Calibri" w:hAnsi="Calibri" w:cs="Calibri"/>
        </w:rPr>
      </w:pPr>
      <w:r w:rsidRPr="00203191">
        <w:rPr>
          <w:rFonts w:ascii="Calibri" w:hAnsi="Calibri" w:cs="Calibri"/>
        </w:rPr>
        <w:t xml:space="preserve">W zakres robót pomiarowych, związanych z </w:t>
      </w:r>
      <w:r w:rsidR="00F57D49">
        <w:rPr>
          <w:rFonts w:ascii="Calibri" w:hAnsi="Calibri" w:cs="Calibri"/>
        </w:rPr>
        <w:t>wyniesieniem parkingu w planie</w:t>
      </w:r>
      <w:r w:rsidRPr="00203191">
        <w:rPr>
          <w:rFonts w:ascii="Calibri" w:hAnsi="Calibri" w:cs="Calibri"/>
        </w:rPr>
        <w:t xml:space="preserve"> </w:t>
      </w:r>
      <w:r w:rsidR="00F57D49">
        <w:rPr>
          <w:rFonts w:ascii="Calibri" w:hAnsi="Calibri" w:cs="Calibri"/>
        </w:rPr>
        <w:t>oraz</w:t>
      </w:r>
      <w:r w:rsidRPr="00203191">
        <w:rPr>
          <w:rFonts w:ascii="Calibri" w:hAnsi="Calibri" w:cs="Calibri"/>
        </w:rPr>
        <w:t xml:space="preserve"> punktów wysokościowych wchodzą:</w:t>
      </w:r>
    </w:p>
    <w:p w:rsidR="00656AC1" w:rsidRPr="00203191" w:rsidRDefault="00656AC1" w:rsidP="00954A11">
      <w:pPr>
        <w:numPr>
          <w:ilvl w:val="0"/>
          <w:numId w:val="13"/>
        </w:numPr>
        <w:tabs>
          <w:tab w:val="left" w:pos="0"/>
        </w:tabs>
        <w:rPr>
          <w:rFonts w:ascii="Calibri" w:hAnsi="Calibri" w:cs="Calibri"/>
        </w:rPr>
      </w:pPr>
      <w:r w:rsidRPr="00203191">
        <w:rPr>
          <w:rFonts w:ascii="Calibri" w:hAnsi="Calibri" w:cs="Calibri"/>
        </w:rPr>
        <w:t>sprawdzenie wyznaczenia sytuacyjnego i wysokościowego punktów głównych osi trasy</w:t>
      </w:r>
      <w:r w:rsidR="00F57D49">
        <w:rPr>
          <w:rFonts w:ascii="Calibri" w:hAnsi="Calibri" w:cs="Calibri"/>
        </w:rPr>
        <w:t>, obiektów</w:t>
      </w:r>
      <w:r w:rsidRPr="00203191">
        <w:rPr>
          <w:rFonts w:ascii="Calibri" w:hAnsi="Calibri" w:cs="Calibri"/>
        </w:rPr>
        <w:t xml:space="preserve"> i punktów wysokościowych,</w:t>
      </w:r>
    </w:p>
    <w:p w:rsidR="00656AC1" w:rsidRPr="00203191" w:rsidRDefault="00656AC1" w:rsidP="00954A11">
      <w:pPr>
        <w:numPr>
          <w:ilvl w:val="0"/>
          <w:numId w:val="13"/>
        </w:numPr>
        <w:tabs>
          <w:tab w:val="left" w:pos="0"/>
        </w:tabs>
        <w:rPr>
          <w:rFonts w:ascii="Calibri" w:hAnsi="Calibri" w:cs="Calibri"/>
        </w:rPr>
      </w:pPr>
      <w:r w:rsidRPr="00203191">
        <w:rPr>
          <w:rFonts w:ascii="Calibri" w:hAnsi="Calibri" w:cs="Calibri"/>
        </w:rPr>
        <w:t>uzupełnienie osi trasy dodatkowymi punktami (wyznaczenie osi),</w:t>
      </w:r>
    </w:p>
    <w:p w:rsidR="00656AC1" w:rsidRPr="00203191" w:rsidRDefault="00656AC1" w:rsidP="00954A11">
      <w:pPr>
        <w:numPr>
          <w:ilvl w:val="0"/>
          <w:numId w:val="13"/>
        </w:numPr>
        <w:tabs>
          <w:tab w:val="left" w:pos="0"/>
        </w:tabs>
        <w:rPr>
          <w:rFonts w:ascii="Calibri" w:hAnsi="Calibri" w:cs="Calibri"/>
        </w:rPr>
      </w:pPr>
      <w:r w:rsidRPr="00203191">
        <w:rPr>
          <w:rFonts w:ascii="Calibri" w:hAnsi="Calibri" w:cs="Calibri"/>
        </w:rPr>
        <w:t>wyznaczenie dodatkowych punktów wysokościowych (reperów roboczych),</w:t>
      </w:r>
    </w:p>
    <w:p w:rsidR="00656AC1" w:rsidRPr="00203191" w:rsidRDefault="00656AC1" w:rsidP="00954A11">
      <w:pPr>
        <w:numPr>
          <w:ilvl w:val="0"/>
          <w:numId w:val="13"/>
        </w:numPr>
        <w:tabs>
          <w:tab w:val="left" w:pos="0"/>
        </w:tabs>
        <w:rPr>
          <w:rFonts w:ascii="Calibri" w:hAnsi="Calibri" w:cs="Calibri"/>
        </w:rPr>
      </w:pPr>
      <w:r w:rsidRPr="00203191">
        <w:rPr>
          <w:rFonts w:ascii="Calibri" w:hAnsi="Calibri" w:cs="Calibri"/>
        </w:rPr>
        <w:t>wyznaczenie przekrojów poprzecznych,</w:t>
      </w:r>
    </w:p>
    <w:p w:rsidR="00656AC1" w:rsidRPr="00203191" w:rsidRDefault="00656AC1" w:rsidP="00954A11">
      <w:pPr>
        <w:numPr>
          <w:ilvl w:val="0"/>
          <w:numId w:val="13"/>
        </w:numPr>
        <w:tabs>
          <w:tab w:val="left" w:pos="0"/>
        </w:tabs>
        <w:rPr>
          <w:rFonts w:ascii="Calibri" w:hAnsi="Calibri" w:cs="Calibri"/>
        </w:rPr>
      </w:pPr>
      <w:r w:rsidRPr="00203191">
        <w:rPr>
          <w:rFonts w:ascii="Calibri" w:hAnsi="Calibri" w:cs="Calibri"/>
        </w:rPr>
        <w:t>zastabilizowanie punktów w sposób trwały, ochrona ich przed zniszczeniem oraz oznakowanie w sposób ułatwiający odszukanie i ewentualne odtworzenie.</w:t>
      </w:r>
    </w:p>
    <w:p w:rsidR="00656AC1" w:rsidRPr="00203191" w:rsidRDefault="00656AC1" w:rsidP="00364E4D">
      <w:pPr>
        <w:pStyle w:val="Nagwek4"/>
        <w:rPr>
          <w:rFonts w:ascii="Calibri" w:hAnsi="Calibri" w:cs="Calibri"/>
        </w:rPr>
      </w:pPr>
      <w:r w:rsidRPr="00203191">
        <w:rPr>
          <w:rFonts w:ascii="Calibri" w:hAnsi="Calibri" w:cs="Calibri"/>
        </w:rPr>
        <w:t>1.4. Określenia podstawowe</w:t>
      </w:r>
    </w:p>
    <w:p w:rsidR="00656AC1" w:rsidRPr="00203191" w:rsidRDefault="00656AC1" w:rsidP="00364E4D">
      <w:pPr>
        <w:pStyle w:val="Nagwek7"/>
        <w:rPr>
          <w:rFonts w:ascii="Calibri" w:hAnsi="Calibri" w:cs="Calibri"/>
        </w:rPr>
      </w:pPr>
      <w:r w:rsidRPr="00203191">
        <w:rPr>
          <w:rFonts w:ascii="Calibri" w:hAnsi="Calibri" w:cs="Calibri"/>
          <w:b/>
          <w:bCs/>
          <w:i/>
          <w:iCs/>
        </w:rPr>
        <w:t>1.4.1.</w:t>
      </w:r>
      <w:r w:rsidRPr="00203191">
        <w:rPr>
          <w:rFonts w:ascii="Calibri" w:hAnsi="Calibri" w:cs="Calibri"/>
          <w:b/>
          <w:bCs/>
        </w:rPr>
        <w:t xml:space="preserve"> </w:t>
      </w:r>
      <w:r w:rsidRPr="00203191">
        <w:rPr>
          <w:rFonts w:ascii="Calibri" w:hAnsi="Calibri" w:cs="Calibri"/>
        </w:rPr>
        <w:t>Punkty główne trasy - punkty załamania osi trasy, punkty kierunkowe oraz początkowy i końcowy punkt trasy.</w:t>
      </w:r>
    </w:p>
    <w:p w:rsidR="00656AC1" w:rsidRPr="00203191" w:rsidRDefault="00656AC1" w:rsidP="00364E4D">
      <w:pPr>
        <w:pStyle w:val="Nagwek7"/>
        <w:rPr>
          <w:rFonts w:ascii="Calibri" w:hAnsi="Calibri" w:cs="Calibri"/>
        </w:rPr>
      </w:pPr>
      <w:r w:rsidRPr="00203191">
        <w:rPr>
          <w:rFonts w:ascii="Calibri" w:hAnsi="Calibri" w:cs="Calibri"/>
          <w:b/>
          <w:bCs/>
          <w:i/>
          <w:iCs/>
        </w:rPr>
        <w:t>1.4.2.</w:t>
      </w:r>
      <w:r w:rsidRPr="00203191">
        <w:rPr>
          <w:rFonts w:ascii="Calibri" w:hAnsi="Calibri" w:cs="Calibri"/>
          <w:b/>
          <w:bCs/>
        </w:rPr>
        <w:t xml:space="preserve"> </w:t>
      </w:r>
      <w:r w:rsidRPr="00203191">
        <w:rPr>
          <w:rFonts w:ascii="Calibri" w:hAnsi="Calibri" w:cs="Calibri"/>
        </w:rPr>
        <w:t xml:space="preserve">Pozostałe określenia podstawowe są zgodne z obowiązującymi, odpowiednimi polskimi normami i z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203191" w:rsidRDefault="00656AC1" w:rsidP="00364E4D">
      <w:pPr>
        <w:pStyle w:val="Nagwek4"/>
        <w:rPr>
          <w:rFonts w:ascii="Calibri" w:hAnsi="Calibri" w:cs="Calibri"/>
        </w:rPr>
      </w:pPr>
      <w:r w:rsidRPr="00203191">
        <w:rPr>
          <w:rFonts w:ascii="Calibri" w:hAnsi="Calibri" w:cs="Calibri"/>
        </w:rPr>
        <w:t>1.5. Ogólne wymagania dotyczące robót</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364E4D">
      <w:pPr>
        <w:pStyle w:val="Nagwek3"/>
        <w:rPr>
          <w:rFonts w:ascii="Calibri" w:hAnsi="Calibri" w:cs="Calibri"/>
        </w:rPr>
      </w:pPr>
      <w:r w:rsidRPr="00203191">
        <w:rPr>
          <w:rFonts w:ascii="Calibri" w:hAnsi="Calibri" w:cs="Calibri"/>
        </w:rPr>
        <w:t xml:space="preserve">2. </w:t>
      </w:r>
      <w:r w:rsidR="00A95FEE">
        <w:rPr>
          <w:rFonts w:ascii="Calibri" w:hAnsi="Calibri" w:cs="Calibri"/>
        </w:rPr>
        <w:t>WYROBY BUDOWLANE</w:t>
      </w:r>
    </w:p>
    <w:p w:rsidR="00656AC1" w:rsidRPr="00203191" w:rsidRDefault="00656AC1" w:rsidP="00364E4D">
      <w:pPr>
        <w:pStyle w:val="Nagwek4"/>
        <w:rPr>
          <w:rFonts w:ascii="Calibri" w:hAnsi="Calibri" w:cs="Calibri"/>
        </w:rPr>
      </w:pPr>
      <w:r w:rsidRPr="00203191">
        <w:rPr>
          <w:rFonts w:ascii="Calibri" w:hAnsi="Calibri" w:cs="Calibri"/>
        </w:rPr>
        <w:t>2.1. Ogólne wymagania dotyczące materiałów</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364E4D">
      <w:pPr>
        <w:pStyle w:val="Nagwek4"/>
        <w:rPr>
          <w:rFonts w:ascii="Calibri" w:hAnsi="Calibri" w:cs="Calibri"/>
        </w:rPr>
      </w:pPr>
      <w:r w:rsidRPr="00203191">
        <w:rPr>
          <w:rFonts w:ascii="Calibri" w:hAnsi="Calibri" w:cs="Calibri"/>
        </w:rPr>
        <w:t>2.2. Rodzaje materiałów</w:t>
      </w:r>
    </w:p>
    <w:p w:rsidR="00656AC1" w:rsidRPr="00203191" w:rsidRDefault="00656AC1" w:rsidP="00364E4D">
      <w:pPr>
        <w:tabs>
          <w:tab w:val="left" w:pos="0"/>
        </w:tabs>
        <w:rPr>
          <w:rFonts w:ascii="Calibri" w:hAnsi="Calibri" w:cs="Calibri"/>
        </w:rPr>
      </w:pPr>
      <w:r w:rsidRPr="00203191">
        <w:rPr>
          <w:rFonts w:ascii="Calibri" w:hAnsi="Calibri" w:cs="Calibri"/>
        </w:rPr>
        <w:t>Do utrwalenia punktów głównych trasy należy stosować pale drewniane z gwoździem lub prętem stalowym, słupki betonowe albo rury metalowe o długości około 0,50 metra.</w:t>
      </w:r>
    </w:p>
    <w:p w:rsidR="00656AC1" w:rsidRPr="00203191" w:rsidRDefault="00656AC1" w:rsidP="00364E4D">
      <w:pPr>
        <w:tabs>
          <w:tab w:val="left" w:pos="0"/>
        </w:tabs>
        <w:rPr>
          <w:rFonts w:ascii="Calibri" w:hAnsi="Calibri" w:cs="Calibri"/>
        </w:rPr>
      </w:pPr>
      <w:r w:rsidRPr="00203191">
        <w:rPr>
          <w:rFonts w:ascii="Calibri" w:hAnsi="Calibri" w:cs="Calibri"/>
        </w:rPr>
        <w:lastRenderedPageBreak/>
        <w:t>Pale drewniane umieszczone poza granicą robót ziemnych, w sąsiedztwie punktów załamania trasy, powinny mieć średnicę od  0,15 do 0,20 m  i długość od 1,5 do 1,7 m.</w:t>
      </w:r>
    </w:p>
    <w:p w:rsidR="00656AC1" w:rsidRPr="00203191" w:rsidRDefault="00656AC1" w:rsidP="00364E4D">
      <w:pPr>
        <w:tabs>
          <w:tab w:val="left" w:pos="0"/>
        </w:tabs>
        <w:rPr>
          <w:rFonts w:ascii="Calibri" w:hAnsi="Calibri" w:cs="Calibri"/>
        </w:rPr>
      </w:pPr>
      <w:r w:rsidRPr="00203191">
        <w:rPr>
          <w:rFonts w:ascii="Calibri" w:hAnsi="Calibri" w:cs="Calibri"/>
        </w:rPr>
        <w:t>Do stabilizacji pozostałych punktów należy stosować paliki drewniane średnicy od 0,05 do 0,08 m i długości około 0,30 m, a dla punktów utrwalanych w istniejącej nawierzchni bolce stalowe średnicy 5 mm i długości od  0,04 do 0,05 m.</w:t>
      </w:r>
    </w:p>
    <w:p w:rsidR="00656AC1" w:rsidRPr="00203191" w:rsidRDefault="00656AC1" w:rsidP="00364E4D">
      <w:pPr>
        <w:tabs>
          <w:tab w:val="left" w:pos="0"/>
        </w:tabs>
        <w:rPr>
          <w:rFonts w:ascii="Calibri" w:hAnsi="Calibri" w:cs="Calibri"/>
        </w:rPr>
      </w:pPr>
      <w:r w:rsidRPr="00203191">
        <w:rPr>
          <w:rFonts w:ascii="Calibri" w:hAnsi="Calibri" w:cs="Calibri"/>
        </w:rPr>
        <w:t>„Świadki” powinny mieć długość około 0,50 m i przekrój prostokątny.</w:t>
      </w:r>
    </w:p>
    <w:p w:rsidR="00656AC1" w:rsidRPr="00203191" w:rsidRDefault="00656AC1" w:rsidP="00364E4D">
      <w:pPr>
        <w:pStyle w:val="Nagwek3"/>
        <w:rPr>
          <w:rFonts w:ascii="Calibri" w:hAnsi="Calibri" w:cs="Calibri"/>
        </w:rPr>
      </w:pPr>
      <w:r w:rsidRPr="00203191">
        <w:rPr>
          <w:rFonts w:ascii="Calibri" w:hAnsi="Calibri" w:cs="Calibri"/>
        </w:rPr>
        <w:t>3. SPRZĘT</w:t>
      </w:r>
    </w:p>
    <w:p w:rsidR="00656AC1" w:rsidRPr="00203191" w:rsidRDefault="00656AC1" w:rsidP="00364E4D">
      <w:pPr>
        <w:pStyle w:val="Nagwek4"/>
        <w:rPr>
          <w:rFonts w:ascii="Calibri" w:hAnsi="Calibri" w:cs="Calibri"/>
        </w:rPr>
      </w:pPr>
      <w:r w:rsidRPr="00203191">
        <w:rPr>
          <w:rFonts w:ascii="Calibri" w:hAnsi="Calibri" w:cs="Calibri"/>
        </w:rPr>
        <w:t>3.1. Ogólne wymagania dotyczące sprzętu</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rPr>
          <w:rFonts w:ascii="Calibri" w:hAnsi="Calibri" w:cs="Calibri"/>
        </w:rPr>
      </w:pPr>
      <w:r w:rsidRPr="00203191">
        <w:rPr>
          <w:rFonts w:ascii="Calibri" w:hAnsi="Calibri" w:cs="Calibri"/>
        </w:rPr>
        <w:t>3.2. Sprzęt pomiarowy</w:t>
      </w:r>
    </w:p>
    <w:p w:rsidR="00656AC1" w:rsidRPr="00203191" w:rsidRDefault="00656AC1" w:rsidP="00364E4D">
      <w:pPr>
        <w:tabs>
          <w:tab w:val="left" w:pos="0"/>
        </w:tabs>
        <w:rPr>
          <w:rFonts w:ascii="Calibri" w:hAnsi="Calibri" w:cs="Calibri"/>
        </w:rPr>
      </w:pPr>
      <w:r w:rsidRPr="00203191">
        <w:rPr>
          <w:rFonts w:ascii="Calibri" w:hAnsi="Calibri" w:cs="Calibri"/>
        </w:rPr>
        <w:t xml:space="preserve">Do </w:t>
      </w:r>
      <w:r w:rsidR="00F57D49">
        <w:rPr>
          <w:rFonts w:ascii="Calibri" w:hAnsi="Calibri" w:cs="Calibri"/>
        </w:rPr>
        <w:t>wyniesienia parkingu w planie oraz</w:t>
      </w:r>
      <w:r w:rsidRPr="00203191">
        <w:rPr>
          <w:rFonts w:ascii="Calibri" w:hAnsi="Calibri" w:cs="Calibri"/>
        </w:rPr>
        <w:t xml:space="preserve"> punktów wysokościowych należy stosować następujący sprzęt:</w:t>
      </w:r>
    </w:p>
    <w:p w:rsidR="00656AC1" w:rsidRDefault="00656AC1" w:rsidP="00954A11">
      <w:pPr>
        <w:numPr>
          <w:ilvl w:val="0"/>
          <w:numId w:val="1"/>
        </w:numPr>
        <w:tabs>
          <w:tab w:val="left" w:pos="0"/>
        </w:tabs>
        <w:rPr>
          <w:rFonts w:ascii="Calibri" w:hAnsi="Calibri" w:cs="Calibri"/>
        </w:rPr>
      </w:pPr>
      <w:r w:rsidRPr="00203191">
        <w:rPr>
          <w:rFonts w:ascii="Calibri" w:hAnsi="Calibri" w:cs="Calibri"/>
        </w:rPr>
        <w:t>teodolity lub tachimetry,</w:t>
      </w:r>
    </w:p>
    <w:p w:rsidR="005F7B4E" w:rsidRPr="00203191" w:rsidRDefault="005F7B4E" w:rsidP="00954A11">
      <w:pPr>
        <w:numPr>
          <w:ilvl w:val="0"/>
          <w:numId w:val="1"/>
        </w:numPr>
        <w:tabs>
          <w:tab w:val="left" w:pos="0"/>
        </w:tabs>
        <w:rPr>
          <w:rFonts w:ascii="Calibri" w:hAnsi="Calibri" w:cs="Calibri"/>
        </w:rPr>
      </w:pPr>
      <w:r>
        <w:rPr>
          <w:rFonts w:ascii="Calibri" w:hAnsi="Calibri" w:cs="Calibri"/>
        </w:rPr>
        <w:t>sprzęt GPS</w:t>
      </w:r>
    </w:p>
    <w:p w:rsidR="00656AC1" w:rsidRPr="00203191" w:rsidRDefault="00656AC1" w:rsidP="00954A11">
      <w:pPr>
        <w:numPr>
          <w:ilvl w:val="0"/>
          <w:numId w:val="1"/>
        </w:numPr>
        <w:tabs>
          <w:tab w:val="left" w:pos="0"/>
        </w:tabs>
        <w:rPr>
          <w:rFonts w:ascii="Calibri" w:hAnsi="Calibri" w:cs="Calibri"/>
        </w:rPr>
      </w:pPr>
      <w:r w:rsidRPr="00203191">
        <w:rPr>
          <w:rFonts w:ascii="Calibri" w:hAnsi="Calibri" w:cs="Calibri"/>
        </w:rPr>
        <w:t>niwelatory,</w:t>
      </w:r>
    </w:p>
    <w:p w:rsidR="00656AC1" w:rsidRPr="00203191" w:rsidRDefault="00656AC1" w:rsidP="00954A11">
      <w:pPr>
        <w:numPr>
          <w:ilvl w:val="0"/>
          <w:numId w:val="1"/>
        </w:numPr>
        <w:tabs>
          <w:tab w:val="left" w:pos="0"/>
        </w:tabs>
        <w:rPr>
          <w:rFonts w:ascii="Calibri" w:hAnsi="Calibri" w:cs="Calibri"/>
        </w:rPr>
      </w:pPr>
      <w:r w:rsidRPr="00203191">
        <w:rPr>
          <w:rFonts w:ascii="Calibri" w:hAnsi="Calibri" w:cs="Calibri"/>
        </w:rPr>
        <w:t>dalmierze,</w:t>
      </w:r>
    </w:p>
    <w:p w:rsidR="00656AC1" w:rsidRPr="00203191" w:rsidRDefault="00656AC1" w:rsidP="00954A11">
      <w:pPr>
        <w:numPr>
          <w:ilvl w:val="0"/>
          <w:numId w:val="1"/>
        </w:numPr>
        <w:tabs>
          <w:tab w:val="left" w:pos="0"/>
        </w:tabs>
        <w:rPr>
          <w:rFonts w:ascii="Calibri" w:hAnsi="Calibri" w:cs="Calibri"/>
        </w:rPr>
      </w:pPr>
      <w:r w:rsidRPr="00203191">
        <w:rPr>
          <w:rFonts w:ascii="Calibri" w:hAnsi="Calibri" w:cs="Calibri"/>
        </w:rPr>
        <w:t>tyczki,</w:t>
      </w:r>
    </w:p>
    <w:p w:rsidR="00656AC1" w:rsidRPr="00203191" w:rsidRDefault="00656AC1" w:rsidP="00954A11">
      <w:pPr>
        <w:numPr>
          <w:ilvl w:val="0"/>
          <w:numId w:val="1"/>
        </w:numPr>
        <w:tabs>
          <w:tab w:val="left" w:pos="0"/>
        </w:tabs>
        <w:rPr>
          <w:rFonts w:ascii="Calibri" w:hAnsi="Calibri" w:cs="Calibri"/>
        </w:rPr>
      </w:pPr>
      <w:r w:rsidRPr="00203191">
        <w:rPr>
          <w:rFonts w:ascii="Calibri" w:hAnsi="Calibri" w:cs="Calibri"/>
        </w:rPr>
        <w:t>łaty,</w:t>
      </w:r>
    </w:p>
    <w:p w:rsidR="00656AC1" w:rsidRPr="00203191" w:rsidRDefault="00656AC1" w:rsidP="00954A11">
      <w:pPr>
        <w:numPr>
          <w:ilvl w:val="0"/>
          <w:numId w:val="1"/>
        </w:numPr>
        <w:tabs>
          <w:tab w:val="left" w:pos="0"/>
        </w:tabs>
        <w:rPr>
          <w:rFonts w:ascii="Calibri" w:hAnsi="Calibri" w:cs="Calibri"/>
        </w:rPr>
      </w:pPr>
      <w:r w:rsidRPr="00203191">
        <w:rPr>
          <w:rFonts w:ascii="Calibri" w:hAnsi="Calibri" w:cs="Calibri"/>
        </w:rPr>
        <w:t>taśmy stalowe, szpilki.</w:t>
      </w:r>
    </w:p>
    <w:p w:rsidR="00656AC1" w:rsidRPr="00203191" w:rsidRDefault="00656AC1" w:rsidP="00364E4D">
      <w:pPr>
        <w:tabs>
          <w:tab w:val="left" w:pos="0"/>
        </w:tabs>
        <w:rPr>
          <w:rFonts w:ascii="Calibri" w:hAnsi="Calibri" w:cs="Calibri"/>
        </w:rPr>
      </w:pPr>
      <w:r w:rsidRPr="00203191">
        <w:rPr>
          <w:rFonts w:ascii="Calibri" w:hAnsi="Calibri" w:cs="Calibri"/>
        </w:rPr>
        <w:t xml:space="preserve">Sprzęt stosowany do </w:t>
      </w:r>
      <w:r w:rsidR="00F57D49">
        <w:rPr>
          <w:rFonts w:ascii="Calibri" w:hAnsi="Calibri" w:cs="Calibri"/>
        </w:rPr>
        <w:t>wyniesienia punktów w planie oraz</w:t>
      </w:r>
      <w:r w:rsidRPr="00203191">
        <w:rPr>
          <w:rFonts w:ascii="Calibri" w:hAnsi="Calibri" w:cs="Calibri"/>
        </w:rPr>
        <w:t xml:space="preserve"> punktów wysokościowych powinien gwarantować uzyskanie wymaganej dokładności pomiaru.</w:t>
      </w:r>
    </w:p>
    <w:p w:rsidR="00656AC1" w:rsidRPr="00203191" w:rsidRDefault="00656AC1" w:rsidP="00364E4D">
      <w:pPr>
        <w:pStyle w:val="Nagwek3"/>
        <w:rPr>
          <w:rFonts w:ascii="Calibri" w:hAnsi="Calibri" w:cs="Calibri"/>
        </w:rPr>
      </w:pPr>
      <w:r w:rsidRPr="00203191">
        <w:rPr>
          <w:rFonts w:ascii="Calibri" w:hAnsi="Calibri" w:cs="Calibri"/>
        </w:rPr>
        <w:t>4. TRANSPORT</w:t>
      </w:r>
    </w:p>
    <w:p w:rsidR="00656AC1" w:rsidRPr="00203191" w:rsidRDefault="00656AC1" w:rsidP="00364E4D">
      <w:pPr>
        <w:pStyle w:val="Nagwek4"/>
        <w:rPr>
          <w:rFonts w:ascii="Calibri" w:hAnsi="Calibri" w:cs="Calibri"/>
        </w:rPr>
      </w:pPr>
      <w:r w:rsidRPr="00203191">
        <w:rPr>
          <w:rFonts w:ascii="Calibri" w:hAnsi="Calibri" w:cs="Calibri"/>
        </w:rPr>
        <w:t>4.1. Ogólne wymagania dotyczące transportu</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rPr>
          <w:rFonts w:ascii="Calibri" w:hAnsi="Calibri" w:cs="Calibri"/>
        </w:rPr>
      </w:pPr>
      <w:r w:rsidRPr="00203191">
        <w:rPr>
          <w:rFonts w:ascii="Calibri" w:hAnsi="Calibri" w:cs="Calibri"/>
        </w:rPr>
        <w:t>4.2. Transport sprzętu i materiałów</w:t>
      </w:r>
    </w:p>
    <w:p w:rsidR="00656AC1" w:rsidRPr="00203191" w:rsidRDefault="00656AC1" w:rsidP="00364E4D">
      <w:pPr>
        <w:tabs>
          <w:tab w:val="left" w:pos="0"/>
        </w:tabs>
        <w:rPr>
          <w:rFonts w:ascii="Calibri" w:hAnsi="Calibri" w:cs="Calibri"/>
        </w:rPr>
      </w:pPr>
      <w:r w:rsidRPr="00203191">
        <w:rPr>
          <w:rFonts w:ascii="Calibri" w:hAnsi="Calibri" w:cs="Calibri"/>
        </w:rPr>
        <w:t xml:space="preserve">Sprzęt i </w:t>
      </w:r>
      <w:r w:rsidR="00A95FEE">
        <w:rPr>
          <w:rFonts w:ascii="Calibri" w:hAnsi="Calibri" w:cs="Calibri"/>
        </w:rPr>
        <w:t>wyroby budowlane</w:t>
      </w:r>
      <w:r w:rsidRPr="00203191">
        <w:rPr>
          <w:rFonts w:ascii="Calibri" w:hAnsi="Calibri" w:cs="Calibri"/>
        </w:rPr>
        <w:t xml:space="preserve"> do </w:t>
      </w:r>
      <w:r w:rsidR="00F57D49">
        <w:rPr>
          <w:rFonts w:ascii="Calibri" w:hAnsi="Calibri" w:cs="Calibri"/>
        </w:rPr>
        <w:t>wykonania prac pomiarowych</w:t>
      </w:r>
      <w:r w:rsidRPr="00203191">
        <w:rPr>
          <w:rFonts w:ascii="Calibri" w:hAnsi="Calibri" w:cs="Calibri"/>
        </w:rPr>
        <w:t xml:space="preserve"> można przewozić dowolnymi środkami transportu.</w:t>
      </w:r>
    </w:p>
    <w:p w:rsidR="00656AC1" w:rsidRPr="00203191" w:rsidRDefault="00656AC1" w:rsidP="00364E4D">
      <w:pPr>
        <w:pStyle w:val="Nagwek3"/>
        <w:rPr>
          <w:rFonts w:ascii="Calibri" w:hAnsi="Calibri" w:cs="Calibri"/>
        </w:rPr>
      </w:pPr>
      <w:r w:rsidRPr="00203191">
        <w:rPr>
          <w:rFonts w:ascii="Calibri" w:hAnsi="Calibri" w:cs="Calibri"/>
        </w:rPr>
        <w:t>5. WYKONANIE ROBÓT</w:t>
      </w:r>
    </w:p>
    <w:p w:rsidR="00656AC1" w:rsidRPr="00203191" w:rsidRDefault="00656AC1" w:rsidP="00364E4D">
      <w:pPr>
        <w:pStyle w:val="Nagwek4"/>
        <w:rPr>
          <w:rFonts w:ascii="Calibri" w:hAnsi="Calibri" w:cs="Calibri"/>
        </w:rPr>
      </w:pPr>
      <w:r w:rsidRPr="00203191">
        <w:rPr>
          <w:rFonts w:ascii="Calibri" w:hAnsi="Calibri" w:cs="Calibri"/>
        </w:rPr>
        <w:t>5.1. Ogólne zasady wykonania robót</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pStyle w:val="Nagwek4"/>
        <w:rPr>
          <w:rFonts w:ascii="Calibri" w:hAnsi="Calibri" w:cs="Calibri"/>
        </w:rPr>
      </w:pPr>
      <w:r w:rsidRPr="00203191">
        <w:rPr>
          <w:rFonts w:ascii="Calibri" w:hAnsi="Calibri" w:cs="Calibri"/>
        </w:rPr>
        <w:t>5.2. Zasady wykonywania prac pomiarowych</w:t>
      </w:r>
    </w:p>
    <w:p w:rsidR="00656AC1" w:rsidRPr="00203191" w:rsidRDefault="00656AC1" w:rsidP="00364E4D">
      <w:pPr>
        <w:tabs>
          <w:tab w:val="left" w:pos="0"/>
        </w:tabs>
        <w:rPr>
          <w:rFonts w:ascii="Calibri" w:hAnsi="Calibri" w:cs="Calibri"/>
        </w:rPr>
      </w:pPr>
      <w:r w:rsidRPr="00203191">
        <w:rPr>
          <w:rFonts w:ascii="Calibri" w:hAnsi="Calibri" w:cs="Calibri"/>
        </w:rPr>
        <w:t>Prace pomiarowe powinny być wykonane zgodnie z obowiązującymi Instrukcjami GUGiK (od 1 do 7).</w:t>
      </w:r>
    </w:p>
    <w:p w:rsidR="00656AC1" w:rsidRPr="00203191" w:rsidRDefault="00656AC1" w:rsidP="00364E4D">
      <w:pPr>
        <w:tabs>
          <w:tab w:val="left" w:pos="0"/>
        </w:tabs>
        <w:rPr>
          <w:rFonts w:ascii="Calibri" w:hAnsi="Calibri" w:cs="Calibri"/>
        </w:rPr>
      </w:pPr>
      <w:r w:rsidRPr="00203191">
        <w:rPr>
          <w:rFonts w:ascii="Calibri" w:hAnsi="Calibri" w:cs="Calibri"/>
        </w:rPr>
        <w:t xml:space="preserve">Przed przystąpieniem do robót Wykonawca powinien przejąć od Zamawiającego </w:t>
      </w:r>
      <w:r w:rsidR="00F57D49">
        <w:rPr>
          <w:rFonts w:ascii="Calibri" w:hAnsi="Calibri" w:cs="Calibri"/>
        </w:rPr>
        <w:t xml:space="preserve">oraz ośrodka dokumentacji geodezyjnej </w:t>
      </w:r>
      <w:r w:rsidRPr="00203191">
        <w:rPr>
          <w:rFonts w:ascii="Calibri" w:hAnsi="Calibri" w:cs="Calibri"/>
        </w:rPr>
        <w:t>dane zawierające lokalizację i współrzędne punktów głównych trasy oraz reperów.</w:t>
      </w:r>
    </w:p>
    <w:p w:rsidR="00656AC1" w:rsidRPr="00203191" w:rsidRDefault="00656AC1" w:rsidP="00364E4D">
      <w:pPr>
        <w:tabs>
          <w:tab w:val="left" w:pos="0"/>
        </w:tabs>
        <w:rPr>
          <w:rFonts w:ascii="Calibri" w:hAnsi="Calibri" w:cs="Calibri"/>
        </w:rPr>
      </w:pPr>
      <w:r w:rsidRPr="00203191">
        <w:rPr>
          <w:rFonts w:ascii="Calibri" w:hAnsi="Calibri" w:cs="Calibri"/>
        </w:rPr>
        <w:t xml:space="preserve">W oparciu o </w:t>
      </w:r>
      <w:r w:rsidR="00F57D49">
        <w:rPr>
          <w:rFonts w:ascii="Calibri" w:hAnsi="Calibri" w:cs="Calibri"/>
        </w:rPr>
        <w:t>otrzymane dane</w:t>
      </w:r>
      <w:r w:rsidRPr="00203191">
        <w:rPr>
          <w:rFonts w:ascii="Calibri" w:hAnsi="Calibri" w:cs="Calibri"/>
        </w:rPr>
        <w:t>, Wykonawca powinien przeprowadzić obliczenia i pomiary geodezyjne niezbędne do szczegółowego wytyczenia robót.</w:t>
      </w:r>
    </w:p>
    <w:p w:rsidR="00656AC1" w:rsidRPr="00203191" w:rsidRDefault="00656AC1" w:rsidP="00364E4D">
      <w:pPr>
        <w:tabs>
          <w:tab w:val="left" w:pos="0"/>
        </w:tabs>
        <w:rPr>
          <w:rFonts w:ascii="Calibri" w:hAnsi="Calibri" w:cs="Calibri"/>
        </w:rPr>
      </w:pPr>
      <w:r w:rsidRPr="00203191">
        <w:rPr>
          <w:rFonts w:ascii="Calibri" w:hAnsi="Calibri" w:cs="Calibri"/>
        </w:rPr>
        <w:t>Prace pomiarowe powinny być wykonane przez osoby posiadające odpowiednie kwalifikacje i uprawnienia.</w:t>
      </w:r>
    </w:p>
    <w:p w:rsidR="00656AC1" w:rsidRPr="00203191" w:rsidRDefault="00656AC1" w:rsidP="00364E4D">
      <w:pPr>
        <w:tabs>
          <w:tab w:val="left" w:pos="0"/>
        </w:tabs>
        <w:rPr>
          <w:rFonts w:ascii="Calibri" w:hAnsi="Calibri" w:cs="Calibri"/>
        </w:rPr>
      </w:pPr>
      <w:r w:rsidRPr="00203191">
        <w:rPr>
          <w:rFonts w:ascii="Calibri" w:hAnsi="Calibri" w:cs="Calibri"/>
        </w:rPr>
        <w:t>Wykonawca powinien natychmiast poinformować Inżyniera o wszelkich błędach wykrytych w wytyczeniu punktów głównych i (lub) reperów roboczych..</w:t>
      </w:r>
    </w:p>
    <w:p w:rsidR="00656AC1" w:rsidRPr="00203191" w:rsidRDefault="00F57D49" w:rsidP="00364E4D">
      <w:pPr>
        <w:tabs>
          <w:tab w:val="left" w:pos="0"/>
        </w:tabs>
        <w:rPr>
          <w:rFonts w:ascii="Calibri" w:hAnsi="Calibri" w:cs="Calibri"/>
        </w:rPr>
      </w:pPr>
      <w:r>
        <w:rPr>
          <w:rFonts w:ascii="Calibri" w:hAnsi="Calibri" w:cs="Calibri"/>
        </w:rPr>
        <w:t xml:space="preserve">Przed rozpoczęciem prac </w:t>
      </w:r>
      <w:r w:rsidR="00656AC1" w:rsidRPr="00203191">
        <w:rPr>
          <w:rFonts w:ascii="Calibri" w:hAnsi="Calibri" w:cs="Calibri"/>
        </w:rPr>
        <w:t xml:space="preserve">Wykonawca powinien sprawdzić czy rzędne terenu określone w dokumentacji projektowej są zgodne z rzeczywistymi rzędnymi terenu. Jeżeli Wykonawca stwierdzi, że rzeczywiste rzędne terenu istotnie różnią się od rzędnych określonych w dokumentacji projektowej, to powinien </w:t>
      </w:r>
      <w:r w:rsidR="005F7B4E">
        <w:rPr>
          <w:rFonts w:ascii="Calibri" w:hAnsi="Calibri" w:cs="Calibri"/>
        </w:rPr>
        <w:t xml:space="preserve">wstrzymać roboty i </w:t>
      </w:r>
      <w:r w:rsidR="00656AC1" w:rsidRPr="00203191">
        <w:rPr>
          <w:rFonts w:ascii="Calibri" w:hAnsi="Calibri" w:cs="Calibri"/>
        </w:rPr>
        <w:t>powiadomić o tym Inżyniera</w:t>
      </w:r>
      <w:r w:rsidR="005F7B4E">
        <w:rPr>
          <w:rFonts w:ascii="Calibri" w:hAnsi="Calibri" w:cs="Calibri"/>
        </w:rPr>
        <w:t xml:space="preserve"> oraz projektanta</w:t>
      </w:r>
      <w:r w:rsidR="00656AC1" w:rsidRPr="00203191">
        <w:rPr>
          <w:rFonts w:ascii="Calibri" w:hAnsi="Calibri" w:cs="Calibri"/>
        </w:rPr>
        <w:t xml:space="preserve">. Ukształtowanie terenu w takim rejonie nie powinno być </w:t>
      </w:r>
      <w:r w:rsidR="00656AC1" w:rsidRPr="00203191">
        <w:rPr>
          <w:rFonts w:ascii="Calibri" w:hAnsi="Calibri" w:cs="Calibri"/>
        </w:rPr>
        <w:lastRenderedPageBreak/>
        <w:t>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656AC1" w:rsidRPr="00203191" w:rsidRDefault="00656AC1" w:rsidP="00364E4D">
      <w:pPr>
        <w:tabs>
          <w:tab w:val="left" w:pos="0"/>
        </w:tabs>
        <w:rPr>
          <w:rFonts w:ascii="Calibri" w:hAnsi="Calibri" w:cs="Calibri"/>
        </w:rPr>
      </w:pPr>
      <w:r w:rsidRPr="00203191">
        <w:rPr>
          <w:rFonts w:ascii="Calibri" w:hAnsi="Calibri" w:cs="Calibri"/>
        </w:rPr>
        <w:t>Wszystkie roboty, które bazują na pomiarach Wykonawcy, nie mogą być rozpoczęte przed zaakceptowaniem wyników pomiarów przez Inżyniera.</w:t>
      </w:r>
    </w:p>
    <w:p w:rsidR="00656AC1" w:rsidRPr="00203191" w:rsidRDefault="00656AC1" w:rsidP="00364E4D">
      <w:pPr>
        <w:tabs>
          <w:tab w:val="left" w:pos="0"/>
        </w:tabs>
        <w:rPr>
          <w:rFonts w:ascii="Calibri" w:hAnsi="Calibri" w:cs="Calibri"/>
        </w:rPr>
      </w:pPr>
      <w:r w:rsidRPr="00203191">
        <w:rPr>
          <w:rFonts w:ascii="Calibri" w:hAnsi="Calibri" w:cs="Calibri"/>
        </w:rPr>
        <w:t>Punkty wierzchołkowe, punkty główne i punkty pośrednie muszą być zaopatrzone w oznaczenia określające w sposób wyraźny i jednoznaczny charakterystykę i położenie tych punktów. Forma i wzór tych oznaczeń powinny być zaakceptowane przez Inżyniera.</w:t>
      </w:r>
    </w:p>
    <w:p w:rsidR="00656AC1" w:rsidRPr="00203191" w:rsidRDefault="00656AC1" w:rsidP="00364E4D">
      <w:pPr>
        <w:tabs>
          <w:tab w:val="left" w:pos="0"/>
        </w:tabs>
        <w:rPr>
          <w:rFonts w:ascii="Calibri" w:hAnsi="Calibri" w:cs="Calibri"/>
        </w:rPr>
      </w:pPr>
      <w:r w:rsidRPr="00203191">
        <w:rPr>
          <w:rFonts w:ascii="Calibri" w:hAnsi="Calibri" w:cs="Calibri"/>
        </w:rPr>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656AC1" w:rsidRPr="00203191" w:rsidRDefault="00656AC1" w:rsidP="00364E4D">
      <w:pPr>
        <w:tabs>
          <w:tab w:val="left" w:pos="0"/>
        </w:tabs>
        <w:rPr>
          <w:rFonts w:ascii="Calibri" w:hAnsi="Calibri" w:cs="Calibri"/>
        </w:rPr>
      </w:pPr>
      <w:r w:rsidRPr="00203191">
        <w:rPr>
          <w:rFonts w:ascii="Calibri" w:hAnsi="Calibri" w:cs="Calibri"/>
        </w:rPr>
        <w:t>Wszystkie pozostałe prace pomiarowe konieczne dla prawidłowej realizacji robót należą do obowiązków Wykonawcy.</w:t>
      </w:r>
    </w:p>
    <w:p w:rsidR="00656AC1" w:rsidRPr="00203191" w:rsidRDefault="00656AC1" w:rsidP="00364E4D">
      <w:pPr>
        <w:pStyle w:val="Nagwek4"/>
        <w:rPr>
          <w:rFonts w:ascii="Calibri" w:hAnsi="Calibri" w:cs="Calibri"/>
        </w:rPr>
      </w:pPr>
      <w:r w:rsidRPr="00203191">
        <w:rPr>
          <w:rFonts w:ascii="Calibri" w:hAnsi="Calibri" w:cs="Calibri"/>
        </w:rPr>
        <w:t>5.3. Sprawdzenie wyznaczenia punktów głównych osi trasy i punktów wysokościowych</w:t>
      </w:r>
    </w:p>
    <w:p w:rsidR="00656AC1" w:rsidRPr="00203191" w:rsidRDefault="00656AC1" w:rsidP="00364E4D">
      <w:pPr>
        <w:tabs>
          <w:tab w:val="left" w:pos="0"/>
        </w:tabs>
        <w:rPr>
          <w:rFonts w:ascii="Calibri" w:hAnsi="Calibri" w:cs="Calibri"/>
        </w:rPr>
      </w:pPr>
      <w:r w:rsidRPr="00203191">
        <w:rPr>
          <w:rFonts w:ascii="Calibri" w:hAnsi="Calibri" w:cs="Calibri"/>
        </w:rPr>
        <w:t>Punkty wierzchołkowe trasy i inne punkty główne powinny być zastabilizowane w sposób trwały, przy użyciu pali drewnianych lub słupków betonowych, a także dowiązane do punktów pomocniczych, położonych poza granicą robót ziemnych. Maksymalna odległość pomiędzy punktami głównymi na odcinkach prostych nie może przekraczać 200 m.</w:t>
      </w:r>
    </w:p>
    <w:p w:rsidR="00656AC1" w:rsidRPr="00203191" w:rsidRDefault="00F57D49" w:rsidP="00364E4D">
      <w:pPr>
        <w:tabs>
          <w:tab w:val="left" w:pos="0"/>
        </w:tabs>
        <w:rPr>
          <w:rFonts w:ascii="Calibri" w:hAnsi="Calibri" w:cs="Calibri"/>
        </w:rPr>
      </w:pPr>
      <w:r>
        <w:rPr>
          <w:rFonts w:ascii="Calibri" w:hAnsi="Calibri" w:cs="Calibri"/>
        </w:rPr>
        <w:t>Wykonawca</w:t>
      </w:r>
      <w:r w:rsidR="00656AC1" w:rsidRPr="00203191">
        <w:rPr>
          <w:rFonts w:ascii="Calibri" w:hAnsi="Calibri" w:cs="Calibri"/>
        </w:rPr>
        <w:t xml:space="preserve"> powinien założyć robocze punkty wysokościowe (repery robocze) wzdłuż osi trasy drogowej.</w:t>
      </w:r>
    </w:p>
    <w:p w:rsidR="00656AC1" w:rsidRPr="00203191" w:rsidRDefault="00656AC1" w:rsidP="00364E4D">
      <w:pPr>
        <w:tabs>
          <w:tab w:val="left" w:pos="0"/>
        </w:tabs>
        <w:rPr>
          <w:rFonts w:ascii="Calibri" w:hAnsi="Calibri" w:cs="Calibri"/>
        </w:rPr>
      </w:pPr>
      <w:r w:rsidRPr="00203191">
        <w:rPr>
          <w:rFonts w:ascii="Calibri" w:hAnsi="Calibri" w:cs="Calibri"/>
        </w:rPr>
        <w:t>Maksymalna odległość między reperami roboczymi wzdłuż trasy drogowej powinna wynosić 200 metrów.</w:t>
      </w:r>
    </w:p>
    <w:p w:rsidR="00656AC1" w:rsidRPr="00203191" w:rsidRDefault="00656AC1" w:rsidP="00364E4D">
      <w:pPr>
        <w:tabs>
          <w:tab w:val="left" w:pos="0"/>
        </w:tabs>
        <w:rPr>
          <w:rFonts w:ascii="Calibri" w:hAnsi="Calibri" w:cs="Calibri"/>
        </w:rPr>
      </w:pPr>
      <w:r w:rsidRPr="00203191">
        <w:rPr>
          <w:rFonts w:ascii="Calibri" w:hAnsi="Calibri" w:cs="Calibri"/>
        </w:rPr>
        <w:t xml:space="preserve">Repery robocze należy założyć poza granicami robót związanych z wykonaniem </w:t>
      </w:r>
      <w:r w:rsidR="00F57D49">
        <w:rPr>
          <w:rFonts w:ascii="Calibri" w:hAnsi="Calibri" w:cs="Calibri"/>
        </w:rPr>
        <w:t>robót</w:t>
      </w:r>
      <w:r w:rsidRPr="00203191">
        <w:rPr>
          <w:rFonts w:ascii="Calibri" w:hAnsi="Calibri" w:cs="Calibri"/>
        </w:rPr>
        <w:t xml:space="preserve"> i obiektów towarzyszących. Jako repery robocze można wykorzystać punkty stałe na stabilnych, istniejących budowlach w</w:t>
      </w:r>
      <w:r w:rsidR="00F57D49">
        <w:rPr>
          <w:rFonts w:ascii="Calibri" w:hAnsi="Calibri" w:cs="Calibri"/>
        </w:rPr>
        <w:t xml:space="preserve"> pobliżu robót</w:t>
      </w:r>
      <w:r w:rsidRPr="00203191">
        <w:rPr>
          <w:rFonts w:ascii="Calibri" w:hAnsi="Calibri" w:cs="Calibri"/>
        </w:rPr>
        <w:t xml:space="preserve">. O ile brak takich punktów, repery robocze należy założyć w postaci słupków betonowych lub grubych kształtowników stalowych, osadzonych w gruncie w sposób wykluczający osiadanie, zaakceptowany przez Inżyniera </w:t>
      </w:r>
    </w:p>
    <w:p w:rsidR="00656AC1" w:rsidRPr="00203191" w:rsidRDefault="00656AC1" w:rsidP="00364E4D">
      <w:pPr>
        <w:tabs>
          <w:tab w:val="left" w:pos="0"/>
        </w:tabs>
        <w:rPr>
          <w:rFonts w:ascii="Calibri" w:hAnsi="Calibri" w:cs="Calibri"/>
        </w:rPr>
      </w:pPr>
      <w:r w:rsidRPr="00203191">
        <w:rPr>
          <w:rFonts w:ascii="Calibri" w:hAnsi="Calibri" w:cs="Calibri"/>
        </w:rPr>
        <w:t>Rzędne reperów roboczych należy określać z taką dokładnością, aby średni błąd niwelacji po wyrównaniu był mniejszy od 4 mm/km, stosując niwelację podwójną w nawiązaniu do reperów państwowych.</w:t>
      </w:r>
    </w:p>
    <w:p w:rsidR="00656AC1" w:rsidRPr="00203191" w:rsidRDefault="00656AC1" w:rsidP="00364E4D">
      <w:pPr>
        <w:tabs>
          <w:tab w:val="left" w:pos="0"/>
        </w:tabs>
        <w:rPr>
          <w:rFonts w:ascii="Calibri" w:hAnsi="Calibri" w:cs="Calibri"/>
        </w:rPr>
      </w:pPr>
      <w:r w:rsidRPr="00203191">
        <w:rPr>
          <w:rFonts w:ascii="Calibri" w:hAnsi="Calibri" w:cs="Calibri"/>
        </w:rPr>
        <w:t>Repery robocze powinny być wyposażone w dodatkowe oznaczenia, zawierające wyraźne i jednoznaczne określenie nazwy reperu i jego rzędnej.</w:t>
      </w:r>
    </w:p>
    <w:p w:rsidR="00656AC1" w:rsidRPr="00203191" w:rsidRDefault="000418A0" w:rsidP="00364E4D">
      <w:pPr>
        <w:pStyle w:val="Nagwek4"/>
        <w:rPr>
          <w:rFonts w:ascii="Calibri" w:hAnsi="Calibri" w:cs="Calibri"/>
        </w:rPr>
      </w:pPr>
      <w:r>
        <w:rPr>
          <w:rFonts w:ascii="Calibri" w:hAnsi="Calibri" w:cs="Calibri"/>
        </w:rPr>
        <w:t>5.4. Odtworzenie parkingu w terenie</w:t>
      </w:r>
    </w:p>
    <w:p w:rsidR="00656AC1" w:rsidRPr="00203191" w:rsidRDefault="00656AC1" w:rsidP="00364E4D">
      <w:pPr>
        <w:tabs>
          <w:tab w:val="left" w:pos="0"/>
        </w:tabs>
        <w:rPr>
          <w:rFonts w:ascii="Calibri" w:hAnsi="Calibri" w:cs="Calibri"/>
        </w:rPr>
      </w:pPr>
      <w:r w:rsidRPr="00203191">
        <w:rPr>
          <w:rFonts w:ascii="Calibri" w:hAnsi="Calibri" w:cs="Calibri"/>
        </w:rPr>
        <w:t xml:space="preserve">Tyczenie </w:t>
      </w:r>
      <w:r w:rsidR="000418A0">
        <w:rPr>
          <w:rFonts w:ascii="Calibri" w:hAnsi="Calibri" w:cs="Calibri"/>
        </w:rPr>
        <w:t>parkingu</w:t>
      </w:r>
      <w:r w:rsidRPr="00203191">
        <w:rPr>
          <w:rFonts w:ascii="Calibri" w:hAnsi="Calibri" w:cs="Calibri"/>
        </w:rPr>
        <w:t xml:space="preserve"> należy wykonać w oparciu o dokumentację projektową oraz inne dane geodezyjne przekazane przez Zamawiającego, przy wykorzystaniu sieci poligonizacji państwowej albo innej osnowy geodezyjnej, określonej w dokumentacji projektowej.</w:t>
      </w:r>
    </w:p>
    <w:p w:rsidR="00656AC1" w:rsidRPr="00203191" w:rsidRDefault="00656AC1" w:rsidP="00364E4D">
      <w:pPr>
        <w:tabs>
          <w:tab w:val="left" w:pos="0"/>
        </w:tabs>
        <w:rPr>
          <w:rFonts w:ascii="Calibri" w:hAnsi="Calibri" w:cs="Calibri"/>
        </w:rPr>
      </w:pPr>
      <w:r w:rsidRPr="00203191">
        <w:rPr>
          <w:rFonts w:ascii="Calibri" w:hAnsi="Calibri" w:cs="Calibri"/>
        </w:rPr>
        <w:t>Oś trasy powinna być wyznaczona w punktach głównych i w punktach pośrednich w odległości zależnej od charakterystyki terenu i ukształtowania trasy, lecz nie rzadziej niż co 50 metrów.</w:t>
      </w:r>
    </w:p>
    <w:p w:rsidR="00656AC1" w:rsidRPr="00203191" w:rsidRDefault="00656AC1" w:rsidP="00364E4D">
      <w:pPr>
        <w:tabs>
          <w:tab w:val="left" w:pos="0"/>
        </w:tabs>
        <w:rPr>
          <w:rFonts w:ascii="Calibri" w:hAnsi="Calibri" w:cs="Calibri"/>
        </w:rPr>
      </w:pPr>
      <w:r w:rsidRPr="00203191">
        <w:rPr>
          <w:rFonts w:ascii="Calibri" w:hAnsi="Calibri" w:cs="Calibri"/>
        </w:rPr>
        <w:t>Dopuszczalne odchylenie sytuacyjne wytyczonej osi trasy w stosunku do dokumentacji projektowej nie może być większe niż 5 cm. Rzędne niwelety punktów osi trasy należy wyznaczyć z dokładnością do 1 cm w stosunku do rzędnych niwelety określonych w dokumentacji projektowej.</w:t>
      </w:r>
    </w:p>
    <w:p w:rsidR="00656AC1" w:rsidRPr="00203191" w:rsidRDefault="00656AC1" w:rsidP="00364E4D">
      <w:pPr>
        <w:tabs>
          <w:tab w:val="left" w:pos="0"/>
        </w:tabs>
        <w:rPr>
          <w:rFonts w:ascii="Calibri" w:hAnsi="Calibri" w:cs="Calibri"/>
        </w:rPr>
      </w:pPr>
      <w:r w:rsidRPr="00203191">
        <w:rPr>
          <w:rFonts w:ascii="Calibri" w:hAnsi="Calibri" w:cs="Calibri"/>
        </w:rPr>
        <w:t>Do utrwalenia osi trasy w terenie należy użyć materiałów wymienionych w pkt 2.2.</w:t>
      </w:r>
    </w:p>
    <w:p w:rsidR="00656AC1" w:rsidRPr="00203191" w:rsidRDefault="00656AC1" w:rsidP="00364E4D">
      <w:pPr>
        <w:tabs>
          <w:tab w:val="left" w:pos="0"/>
        </w:tabs>
        <w:rPr>
          <w:rFonts w:ascii="Calibri" w:hAnsi="Calibri" w:cs="Calibri"/>
        </w:rPr>
      </w:pPr>
      <w:r w:rsidRPr="00203191">
        <w:rPr>
          <w:rFonts w:ascii="Calibri" w:hAnsi="Calibri" w:cs="Calibri"/>
        </w:rPr>
        <w:t>Usunięcie pali z osi trasy jest dopuszczalne tylko wówczas, gdy Wykonawca robót zastąpi je odpowiednimi palami po obu stronach osi, umieszczonych poza granicą robót.</w:t>
      </w:r>
    </w:p>
    <w:p w:rsidR="00656AC1" w:rsidRPr="00203191" w:rsidRDefault="00656AC1" w:rsidP="00364E4D">
      <w:pPr>
        <w:pStyle w:val="Nagwek4"/>
        <w:rPr>
          <w:rFonts w:ascii="Calibri" w:hAnsi="Calibri" w:cs="Calibri"/>
        </w:rPr>
      </w:pPr>
      <w:r w:rsidRPr="00203191">
        <w:rPr>
          <w:rFonts w:ascii="Calibri" w:hAnsi="Calibri" w:cs="Calibri"/>
        </w:rPr>
        <w:t>5.5. Wyznaczenie przekrojów poprzecznych</w:t>
      </w:r>
    </w:p>
    <w:p w:rsidR="00656AC1" w:rsidRPr="00203191" w:rsidRDefault="00656AC1" w:rsidP="00364E4D">
      <w:pPr>
        <w:tabs>
          <w:tab w:val="left" w:pos="0"/>
        </w:tabs>
        <w:rPr>
          <w:rFonts w:ascii="Calibri" w:hAnsi="Calibri" w:cs="Calibri"/>
        </w:rPr>
      </w:pPr>
      <w:r w:rsidRPr="00203191">
        <w:rPr>
          <w:rFonts w:ascii="Calibri" w:hAnsi="Calibri" w:cs="Calibri"/>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656AC1" w:rsidRPr="00203191" w:rsidRDefault="00656AC1" w:rsidP="00364E4D">
      <w:pPr>
        <w:tabs>
          <w:tab w:val="left" w:pos="0"/>
        </w:tabs>
        <w:rPr>
          <w:rFonts w:ascii="Calibri" w:hAnsi="Calibri" w:cs="Calibri"/>
        </w:rPr>
      </w:pPr>
      <w:r w:rsidRPr="00203191">
        <w:rPr>
          <w:rFonts w:ascii="Calibri" w:hAnsi="Calibri" w:cs="Calibri"/>
        </w:rPr>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656AC1" w:rsidRDefault="00656AC1" w:rsidP="00364E4D">
      <w:pPr>
        <w:tabs>
          <w:tab w:val="left" w:pos="0"/>
        </w:tabs>
        <w:rPr>
          <w:rFonts w:ascii="Calibri" w:hAnsi="Calibri" w:cs="Calibri"/>
        </w:rPr>
      </w:pPr>
      <w:r w:rsidRPr="00203191">
        <w:rPr>
          <w:rFonts w:ascii="Calibri" w:hAnsi="Calibri" w:cs="Calibri"/>
        </w:rPr>
        <w:lastRenderedPageBreak/>
        <w:t>Profilowanie przekrojów poprzecznych musi umożliwiać wykonanie nasypów i wykopów o kształcie zgodnym z dokumentacją projektową.</w:t>
      </w:r>
    </w:p>
    <w:p w:rsidR="000418A0" w:rsidRDefault="000418A0" w:rsidP="000418A0">
      <w:pPr>
        <w:pStyle w:val="Nagwek4"/>
        <w:rPr>
          <w:rFonts w:asciiTheme="minorHAnsi" w:hAnsiTheme="minorHAnsi"/>
        </w:rPr>
      </w:pPr>
      <w:r w:rsidRPr="000418A0">
        <w:rPr>
          <w:rFonts w:asciiTheme="minorHAnsi" w:hAnsiTheme="minorHAnsi"/>
        </w:rPr>
        <w:t xml:space="preserve">5.6 Wyznaczenie obiektów – murów oporowych </w:t>
      </w:r>
    </w:p>
    <w:p w:rsidR="000418A0" w:rsidRDefault="000418A0" w:rsidP="000418A0"/>
    <w:p w:rsidR="000418A0" w:rsidRPr="000418A0" w:rsidRDefault="000418A0" w:rsidP="000418A0">
      <w:pPr>
        <w:tabs>
          <w:tab w:val="left" w:pos="0"/>
        </w:tabs>
        <w:rPr>
          <w:rFonts w:asciiTheme="minorHAnsi" w:hAnsiTheme="minorHAnsi"/>
        </w:rPr>
      </w:pPr>
      <w:r w:rsidRPr="000418A0">
        <w:rPr>
          <w:rFonts w:asciiTheme="minorHAnsi" w:hAnsiTheme="minorHAnsi"/>
        </w:rPr>
        <w:t>Dla każdego z obiektów należy wyznaczyć jego położenie w terenie poprzez:</w:t>
      </w:r>
    </w:p>
    <w:p w:rsidR="000418A0" w:rsidRPr="000418A0" w:rsidRDefault="000418A0" w:rsidP="00790883">
      <w:pPr>
        <w:numPr>
          <w:ilvl w:val="0"/>
          <w:numId w:val="67"/>
        </w:numPr>
        <w:tabs>
          <w:tab w:val="left" w:pos="0"/>
        </w:tabs>
        <w:rPr>
          <w:rFonts w:asciiTheme="minorHAnsi" w:hAnsiTheme="minorHAnsi"/>
        </w:rPr>
      </w:pPr>
      <w:r w:rsidRPr="000418A0">
        <w:rPr>
          <w:rFonts w:asciiTheme="minorHAnsi" w:hAnsiTheme="minorHAnsi"/>
        </w:rPr>
        <w:t>wytyczenie osi obiektu,</w:t>
      </w:r>
    </w:p>
    <w:p w:rsidR="000418A0" w:rsidRPr="000418A0" w:rsidRDefault="000418A0" w:rsidP="00790883">
      <w:pPr>
        <w:numPr>
          <w:ilvl w:val="0"/>
          <w:numId w:val="67"/>
        </w:numPr>
        <w:tabs>
          <w:tab w:val="left" w:pos="0"/>
        </w:tabs>
        <w:rPr>
          <w:rFonts w:asciiTheme="minorHAnsi" w:hAnsiTheme="minorHAnsi"/>
        </w:rPr>
      </w:pPr>
      <w:r w:rsidRPr="000418A0">
        <w:rPr>
          <w:rFonts w:asciiTheme="minorHAnsi" w:hAnsiTheme="minorHAnsi"/>
        </w:rPr>
        <w:t xml:space="preserve">wytyczenie punktów określających usytuowanie (kontur) obiektu, w szczególności </w:t>
      </w:r>
      <w:r>
        <w:rPr>
          <w:rFonts w:asciiTheme="minorHAnsi" w:hAnsiTheme="minorHAnsi"/>
        </w:rPr>
        <w:t>obrysu fundamentów</w:t>
      </w:r>
      <w:r w:rsidRPr="000418A0">
        <w:rPr>
          <w:rFonts w:asciiTheme="minorHAnsi" w:hAnsiTheme="minorHAnsi"/>
        </w:rPr>
        <w:t>.</w:t>
      </w:r>
    </w:p>
    <w:p w:rsidR="000418A0" w:rsidRPr="000418A0" w:rsidRDefault="000418A0" w:rsidP="000418A0">
      <w:pPr>
        <w:tabs>
          <w:tab w:val="left" w:pos="0"/>
        </w:tabs>
        <w:rPr>
          <w:rFonts w:asciiTheme="minorHAnsi" w:hAnsiTheme="minorHAnsi"/>
        </w:rPr>
      </w:pPr>
      <w:r w:rsidRPr="000418A0">
        <w:rPr>
          <w:rFonts w:asciiTheme="minorHAnsi" w:hAnsiTheme="minorHAnsi"/>
        </w:rPr>
        <w:t>Położenie obiektu w planie należy określić z dokładnością określoną w punkcie 5.4.</w:t>
      </w:r>
    </w:p>
    <w:p w:rsidR="00656AC1" w:rsidRPr="00203191" w:rsidRDefault="00656AC1" w:rsidP="00364E4D">
      <w:pPr>
        <w:pStyle w:val="Nagwek3"/>
        <w:rPr>
          <w:rFonts w:ascii="Calibri" w:hAnsi="Calibri" w:cs="Calibri"/>
        </w:rPr>
      </w:pPr>
      <w:r w:rsidRPr="00203191">
        <w:rPr>
          <w:rFonts w:ascii="Calibri" w:hAnsi="Calibri" w:cs="Calibri"/>
        </w:rPr>
        <w:t>6. KONTROLA JAKOŚCI ROBÓT</w:t>
      </w:r>
    </w:p>
    <w:p w:rsidR="00656AC1" w:rsidRPr="00203191" w:rsidRDefault="00656AC1" w:rsidP="00364E4D">
      <w:pPr>
        <w:pStyle w:val="Nagwek4"/>
        <w:rPr>
          <w:rFonts w:ascii="Calibri" w:hAnsi="Calibri" w:cs="Calibri"/>
        </w:rPr>
      </w:pPr>
      <w:r w:rsidRPr="00203191">
        <w:rPr>
          <w:rFonts w:ascii="Calibri" w:hAnsi="Calibri" w:cs="Calibri"/>
        </w:rPr>
        <w:t>6.1. Ogólne zasady kontroli jakości robót</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rPr>
          <w:rFonts w:ascii="Calibri" w:hAnsi="Calibri" w:cs="Calibri"/>
        </w:rPr>
      </w:pPr>
      <w:r w:rsidRPr="00203191">
        <w:rPr>
          <w:rFonts w:ascii="Calibri" w:hAnsi="Calibri" w:cs="Calibri"/>
        </w:rPr>
        <w:t>6.2. Kontrola jakości prac pomiarowych</w:t>
      </w:r>
    </w:p>
    <w:p w:rsidR="00656AC1" w:rsidRPr="00203191" w:rsidRDefault="00656AC1" w:rsidP="00364E4D">
      <w:pPr>
        <w:tabs>
          <w:tab w:val="left" w:pos="0"/>
        </w:tabs>
        <w:rPr>
          <w:rFonts w:ascii="Calibri" w:hAnsi="Calibri" w:cs="Calibri"/>
        </w:rPr>
      </w:pPr>
      <w:r w:rsidRPr="00203191">
        <w:rPr>
          <w:rFonts w:ascii="Calibri" w:hAnsi="Calibri" w:cs="Calibri"/>
        </w:rPr>
        <w:t xml:space="preserve">Kontrolę jakości prac pomiarowych związanych z </w:t>
      </w:r>
      <w:r w:rsidR="000418A0">
        <w:rPr>
          <w:rFonts w:ascii="Calibri" w:hAnsi="Calibri" w:cs="Calibri"/>
        </w:rPr>
        <w:t>pracami pomiarowymi</w:t>
      </w:r>
      <w:r w:rsidRPr="00203191">
        <w:rPr>
          <w:rFonts w:ascii="Calibri" w:hAnsi="Calibri" w:cs="Calibri"/>
        </w:rPr>
        <w:t xml:space="preserve"> należy prowadzić według ogólnych zasad określonych w instrukcjach i wytycznych GUGiK (1,2,3,4,5,6,7) zgodnie z wymaganiami podanymi w pkt 5.4.</w:t>
      </w:r>
    </w:p>
    <w:p w:rsidR="00656AC1" w:rsidRPr="00203191" w:rsidRDefault="00656AC1" w:rsidP="00364E4D">
      <w:pPr>
        <w:pStyle w:val="Nagwek3"/>
        <w:rPr>
          <w:rFonts w:ascii="Calibri" w:hAnsi="Calibri" w:cs="Calibri"/>
        </w:rPr>
      </w:pPr>
      <w:r w:rsidRPr="00203191">
        <w:rPr>
          <w:rFonts w:ascii="Calibri" w:hAnsi="Calibri" w:cs="Calibri"/>
        </w:rPr>
        <w:t>7. OBMIAR ROBÓT</w:t>
      </w:r>
    </w:p>
    <w:p w:rsidR="000418A0" w:rsidRPr="000418A0" w:rsidRDefault="000418A0" w:rsidP="000418A0">
      <w:pPr>
        <w:pStyle w:val="Nagwek4"/>
        <w:rPr>
          <w:rFonts w:asciiTheme="minorHAnsi" w:hAnsiTheme="minorHAnsi"/>
        </w:rPr>
      </w:pPr>
      <w:r w:rsidRPr="000418A0">
        <w:rPr>
          <w:rFonts w:asciiTheme="minorHAnsi" w:hAnsiTheme="minorHAnsi"/>
        </w:rPr>
        <w:t>7.1. Ogólne zasady obmiaru robót</w:t>
      </w:r>
    </w:p>
    <w:p w:rsidR="000418A0" w:rsidRPr="000418A0" w:rsidRDefault="000418A0" w:rsidP="000418A0">
      <w:pPr>
        <w:tabs>
          <w:tab w:val="left" w:pos="0"/>
        </w:tabs>
        <w:rPr>
          <w:rFonts w:asciiTheme="minorHAnsi" w:hAnsiTheme="minorHAnsi"/>
        </w:rPr>
      </w:pPr>
      <w:r w:rsidRPr="000418A0">
        <w:rPr>
          <w:rFonts w:asciiTheme="minorHAnsi" w:hAnsiTheme="minorHAnsi"/>
        </w:rPr>
        <w:t>Ogólne zasady obmiaru robót podano w ST</w:t>
      </w:r>
      <w:r>
        <w:rPr>
          <w:rFonts w:asciiTheme="minorHAnsi" w:hAnsiTheme="minorHAnsi"/>
        </w:rPr>
        <w:t>WiORB</w:t>
      </w:r>
      <w:r w:rsidRPr="000418A0">
        <w:rPr>
          <w:rFonts w:asciiTheme="minorHAnsi" w:hAnsiTheme="minorHAnsi"/>
        </w:rPr>
        <w:t xml:space="preserve"> D-M-00.00.00 „Wymagania ogólne” pkt 7.</w:t>
      </w:r>
    </w:p>
    <w:p w:rsidR="000418A0" w:rsidRPr="000418A0" w:rsidRDefault="000418A0" w:rsidP="000418A0">
      <w:pPr>
        <w:pStyle w:val="Nagwek4"/>
        <w:rPr>
          <w:rFonts w:asciiTheme="minorHAnsi" w:hAnsiTheme="minorHAnsi"/>
        </w:rPr>
      </w:pPr>
      <w:r w:rsidRPr="000418A0">
        <w:rPr>
          <w:rFonts w:asciiTheme="minorHAnsi" w:hAnsiTheme="minorHAnsi"/>
        </w:rPr>
        <w:t>7.2. Jednostka obmiarowa</w:t>
      </w:r>
    </w:p>
    <w:p w:rsidR="000418A0" w:rsidRPr="000418A0" w:rsidRDefault="000418A0" w:rsidP="000418A0">
      <w:pPr>
        <w:tabs>
          <w:tab w:val="left" w:pos="0"/>
        </w:tabs>
        <w:rPr>
          <w:rFonts w:asciiTheme="minorHAnsi" w:hAnsiTheme="minorHAnsi"/>
        </w:rPr>
      </w:pPr>
      <w:r w:rsidRPr="000418A0">
        <w:rPr>
          <w:rFonts w:asciiTheme="minorHAnsi" w:hAnsiTheme="minorHAnsi"/>
        </w:rPr>
        <w:t>Jednostką obmiarową jest km (kilometr) odtworzonej trasy w terenie</w:t>
      </w:r>
      <w:r>
        <w:rPr>
          <w:rFonts w:asciiTheme="minorHAnsi" w:hAnsiTheme="minorHAnsi"/>
        </w:rPr>
        <w:t xml:space="preserve"> oraz 1 hektar (ha) dla powierzchniowych robót ziemnych</w:t>
      </w:r>
      <w:r w:rsidRPr="000418A0">
        <w:rPr>
          <w:rFonts w:asciiTheme="minorHAnsi" w:hAnsiTheme="minorHAnsi"/>
        </w:rPr>
        <w:t>.</w:t>
      </w:r>
    </w:p>
    <w:p w:rsidR="000418A0" w:rsidRPr="000418A0" w:rsidRDefault="000418A0" w:rsidP="000418A0">
      <w:pPr>
        <w:tabs>
          <w:tab w:val="left" w:pos="0"/>
        </w:tabs>
        <w:rPr>
          <w:rFonts w:asciiTheme="minorHAnsi" w:hAnsiTheme="minorHAnsi"/>
        </w:rPr>
      </w:pPr>
      <w:r w:rsidRPr="000418A0">
        <w:rPr>
          <w:rFonts w:asciiTheme="minorHAnsi" w:hAnsiTheme="minorHAnsi"/>
        </w:rPr>
        <w:t xml:space="preserve">Obmiar robót związanych z wyznaczeniem </w:t>
      </w:r>
      <w:r>
        <w:rPr>
          <w:rFonts w:asciiTheme="minorHAnsi" w:hAnsiTheme="minorHAnsi"/>
        </w:rPr>
        <w:t>murów</w:t>
      </w:r>
      <w:r w:rsidRPr="000418A0">
        <w:rPr>
          <w:rFonts w:asciiTheme="minorHAnsi" w:hAnsiTheme="minorHAnsi"/>
        </w:rPr>
        <w:t xml:space="preserve"> jest częścią obmiaru </w:t>
      </w:r>
      <w:r>
        <w:rPr>
          <w:rFonts w:asciiTheme="minorHAnsi" w:hAnsiTheme="minorHAnsi"/>
        </w:rPr>
        <w:t>wykonania murów oporowych</w:t>
      </w:r>
      <w:r w:rsidRPr="000418A0">
        <w:rPr>
          <w:rFonts w:asciiTheme="minorHAnsi" w:hAnsiTheme="minorHAnsi"/>
        </w:rPr>
        <w:t>.</w:t>
      </w:r>
    </w:p>
    <w:p w:rsidR="00656AC1" w:rsidRPr="00203191" w:rsidRDefault="00656AC1" w:rsidP="00364E4D">
      <w:pPr>
        <w:pStyle w:val="Nagwek3"/>
        <w:rPr>
          <w:rFonts w:ascii="Calibri" w:hAnsi="Calibri" w:cs="Calibri"/>
        </w:rPr>
      </w:pPr>
      <w:r w:rsidRPr="00203191">
        <w:rPr>
          <w:rFonts w:ascii="Calibri" w:hAnsi="Calibri" w:cs="Calibri"/>
        </w:rPr>
        <w:t>8. ODBIÓR ROBÓT</w:t>
      </w:r>
    </w:p>
    <w:p w:rsidR="00656AC1" w:rsidRPr="00203191" w:rsidRDefault="00656AC1" w:rsidP="00364E4D">
      <w:pPr>
        <w:pStyle w:val="Nagwek4"/>
        <w:rPr>
          <w:rFonts w:ascii="Calibri" w:hAnsi="Calibri" w:cs="Calibri"/>
        </w:rPr>
      </w:pPr>
      <w:r w:rsidRPr="00203191">
        <w:rPr>
          <w:rFonts w:ascii="Calibri" w:hAnsi="Calibri" w:cs="Calibri"/>
        </w:rPr>
        <w:t>8.1. Ogólne zasady odbioru robót</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364E4D">
      <w:pPr>
        <w:pStyle w:val="Nagwek4"/>
        <w:rPr>
          <w:rFonts w:ascii="Calibri" w:hAnsi="Calibri" w:cs="Calibri"/>
        </w:rPr>
      </w:pPr>
      <w:r w:rsidRPr="00203191">
        <w:rPr>
          <w:rFonts w:ascii="Calibri" w:hAnsi="Calibri" w:cs="Calibri"/>
        </w:rPr>
        <w:t>8.2. Sposób odbioru robót</w:t>
      </w:r>
    </w:p>
    <w:p w:rsidR="00656AC1" w:rsidRPr="00203191" w:rsidRDefault="00656AC1" w:rsidP="00364E4D">
      <w:pPr>
        <w:tabs>
          <w:tab w:val="left" w:pos="0"/>
        </w:tabs>
        <w:rPr>
          <w:rFonts w:ascii="Calibri" w:hAnsi="Calibri" w:cs="Calibri"/>
        </w:rPr>
      </w:pPr>
      <w:r w:rsidRPr="00203191">
        <w:rPr>
          <w:rFonts w:ascii="Calibri" w:hAnsi="Calibri" w:cs="Calibri"/>
        </w:rPr>
        <w:t xml:space="preserve">Odbiór robót związanych z </w:t>
      </w:r>
      <w:r w:rsidR="000418A0">
        <w:rPr>
          <w:rFonts w:ascii="Calibri" w:hAnsi="Calibri" w:cs="Calibri"/>
        </w:rPr>
        <w:t>wyniesieniem parkingu w teren</w:t>
      </w:r>
      <w:r w:rsidRPr="00203191">
        <w:rPr>
          <w:rFonts w:ascii="Calibri" w:hAnsi="Calibri" w:cs="Calibri"/>
        </w:rPr>
        <w:t xml:space="preserve"> następuje na podstawie szkiców i dzienników pomiarów geodezyjnych lub protokółu z kontroli geodezyjnej, które Wykonawca przedkłada Inżynierowi.</w:t>
      </w:r>
    </w:p>
    <w:p w:rsidR="00656AC1" w:rsidRPr="00203191" w:rsidRDefault="00656AC1" w:rsidP="00364E4D">
      <w:pPr>
        <w:pStyle w:val="Nagwek3"/>
        <w:rPr>
          <w:rFonts w:ascii="Calibri" w:hAnsi="Calibri" w:cs="Calibri"/>
        </w:rPr>
      </w:pPr>
      <w:r w:rsidRPr="00203191">
        <w:rPr>
          <w:rFonts w:ascii="Calibri" w:hAnsi="Calibri" w:cs="Calibri"/>
        </w:rPr>
        <w:t>9. PODSTAWA PŁATNOŚCI</w:t>
      </w:r>
    </w:p>
    <w:p w:rsidR="00656AC1" w:rsidRPr="00203191" w:rsidRDefault="00656AC1" w:rsidP="00364E4D">
      <w:pPr>
        <w:pStyle w:val="Nagwek4"/>
        <w:rPr>
          <w:rFonts w:ascii="Calibri" w:hAnsi="Calibri" w:cs="Calibri"/>
        </w:rPr>
      </w:pPr>
      <w:r w:rsidRPr="00203191">
        <w:rPr>
          <w:rFonts w:ascii="Calibri" w:hAnsi="Calibri" w:cs="Calibri"/>
        </w:rPr>
        <w:t>9.1. Ogólne ustalenia dotyczące podstawy płatności</w:t>
      </w:r>
    </w:p>
    <w:p w:rsidR="000418A0" w:rsidRPr="000418A0" w:rsidRDefault="000418A0" w:rsidP="000418A0">
      <w:pPr>
        <w:tabs>
          <w:tab w:val="left" w:pos="0"/>
        </w:tabs>
        <w:rPr>
          <w:rFonts w:asciiTheme="minorHAnsi" w:hAnsiTheme="minorHAnsi"/>
        </w:rPr>
      </w:pPr>
      <w:r w:rsidRPr="000418A0">
        <w:rPr>
          <w:rFonts w:asciiTheme="minorHAnsi" w:hAnsiTheme="minorHAnsi"/>
        </w:rPr>
        <w:t>Ogólne ustalenia dotyczące podstawy płatności podano w ST</w:t>
      </w:r>
      <w:r>
        <w:rPr>
          <w:rFonts w:asciiTheme="minorHAnsi" w:hAnsiTheme="minorHAnsi"/>
        </w:rPr>
        <w:t>WiORB</w:t>
      </w:r>
      <w:r w:rsidRPr="000418A0">
        <w:rPr>
          <w:rFonts w:asciiTheme="minorHAnsi" w:hAnsiTheme="minorHAnsi"/>
        </w:rPr>
        <w:t xml:space="preserve"> D-M-00.00.00 „Wymagania ogólne” pkt 9.</w:t>
      </w:r>
    </w:p>
    <w:p w:rsidR="000418A0" w:rsidRPr="000418A0" w:rsidRDefault="000418A0" w:rsidP="000418A0">
      <w:pPr>
        <w:pStyle w:val="Nagwek4"/>
        <w:rPr>
          <w:rFonts w:asciiTheme="minorHAnsi" w:hAnsiTheme="minorHAnsi"/>
        </w:rPr>
      </w:pPr>
      <w:r w:rsidRPr="000418A0">
        <w:rPr>
          <w:rFonts w:asciiTheme="minorHAnsi" w:hAnsiTheme="minorHAnsi"/>
        </w:rPr>
        <w:t>9.2. Cena jednostki obmiarowej</w:t>
      </w:r>
    </w:p>
    <w:p w:rsidR="000418A0" w:rsidRPr="000418A0" w:rsidRDefault="000418A0" w:rsidP="000418A0">
      <w:pPr>
        <w:tabs>
          <w:tab w:val="left" w:pos="0"/>
        </w:tabs>
        <w:rPr>
          <w:rFonts w:asciiTheme="minorHAnsi" w:hAnsiTheme="minorHAnsi"/>
        </w:rPr>
      </w:pPr>
      <w:r w:rsidRPr="000418A0">
        <w:rPr>
          <w:rFonts w:asciiTheme="minorHAnsi" w:hAnsiTheme="minorHAnsi"/>
        </w:rPr>
        <w:t>Cena 1 km</w:t>
      </w:r>
      <w:r>
        <w:rPr>
          <w:rFonts w:asciiTheme="minorHAnsi" w:hAnsiTheme="minorHAnsi"/>
        </w:rPr>
        <w:t>/1ha</w:t>
      </w:r>
      <w:r w:rsidRPr="000418A0">
        <w:rPr>
          <w:rFonts w:asciiTheme="minorHAnsi" w:hAnsiTheme="minorHAnsi"/>
        </w:rPr>
        <w:t xml:space="preserve"> wykonania robót obejmuje:</w:t>
      </w:r>
    </w:p>
    <w:p w:rsidR="000418A0" w:rsidRPr="000418A0" w:rsidRDefault="000418A0" w:rsidP="00973D29">
      <w:pPr>
        <w:numPr>
          <w:ilvl w:val="0"/>
          <w:numId w:val="38"/>
        </w:numPr>
        <w:tabs>
          <w:tab w:val="left" w:pos="0"/>
        </w:tabs>
        <w:rPr>
          <w:rFonts w:asciiTheme="minorHAnsi" w:hAnsiTheme="minorHAnsi"/>
        </w:rPr>
      </w:pPr>
      <w:r w:rsidRPr="000418A0">
        <w:rPr>
          <w:rFonts w:asciiTheme="minorHAnsi" w:hAnsiTheme="minorHAnsi"/>
        </w:rPr>
        <w:t>sprawdzen</w:t>
      </w:r>
      <w:r>
        <w:rPr>
          <w:rFonts w:asciiTheme="minorHAnsi" w:hAnsiTheme="minorHAnsi"/>
        </w:rPr>
        <w:t xml:space="preserve">ie wyznaczenia punktów głównych </w:t>
      </w:r>
      <w:r w:rsidRPr="000418A0">
        <w:rPr>
          <w:rFonts w:asciiTheme="minorHAnsi" w:hAnsiTheme="minorHAnsi"/>
        </w:rPr>
        <w:t>i punktów wysokościowych,</w:t>
      </w:r>
    </w:p>
    <w:p w:rsidR="000418A0" w:rsidRPr="000418A0" w:rsidRDefault="000418A0" w:rsidP="00973D29">
      <w:pPr>
        <w:numPr>
          <w:ilvl w:val="0"/>
          <w:numId w:val="38"/>
        </w:numPr>
        <w:tabs>
          <w:tab w:val="left" w:pos="0"/>
        </w:tabs>
        <w:rPr>
          <w:rFonts w:asciiTheme="minorHAnsi" w:hAnsiTheme="minorHAnsi"/>
        </w:rPr>
      </w:pPr>
      <w:r w:rsidRPr="000418A0">
        <w:rPr>
          <w:rFonts w:asciiTheme="minorHAnsi" w:hAnsiTheme="minorHAnsi"/>
        </w:rPr>
        <w:t>uzupełnienie osi trasy dodatkowymi punktami,</w:t>
      </w:r>
    </w:p>
    <w:p w:rsidR="000418A0" w:rsidRPr="000418A0" w:rsidRDefault="000418A0" w:rsidP="00973D29">
      <w:pPr>
        <w:numPr>
          <w:ilvl w:val="0"/>
          <w:numId w:val="38"/>
        </w:numPr>
        <w:tabs>
          <w:tab w:val="left" w:pos="0"/>
        </w:tabs>
        <w:rPr>
          <w:rFonts w:asciiTheme="minorHAnsi" w:hAnsiTheme="minorHAnsi"/>
        </w:rPr>
      </w:pPr>
      <w:r w:rsidRPr="000418A0">
        <w:rPr>
          <w:rFonts w:asciiTheme="minorHAnsi" w:hAnsiTheme="minorHAnsi"/>
        </w:rPr>
        <w:t>wyznaczenie dodatkowych punktów wysokościowych,</w:t>
      </w:r>
    </w:p>
    <w:p w:rsidR="000418A0" w:rsidRPr="000418A0" w:rsidRDefault="000418A0" w:rsidP="00973D29">
      <w:pPr>
        <w:numPr>
          <w:ilvl w:val="0"/>
          <w:numId w:val="38"/>
        </w:numPr>
        <w:tabs>
          <w:tab w:val="left" w:pos="0"/>
        </w:tabs>
        <w:rPr>
          <w:rFonts w:asciiTheme="minorHAnsi" w:hAnsiTheme="minorHAnsi"/>
        </w:rPr>
      </w:pPr>
      <w:r w:rsidRPr="000418A0">
        <w:rPr>
          <w:rFonts w:asciiTheme="minorHAnsi" w:hAnsiTheme="minorHAnsi"/>
        </w:rPr>
        <w:t>wyznaczenie przekrojów poprzecznych z ewentualnym wytyczeniem dodatkowych przekrojów,</w:t>
      </w:r>
    </w:p>
    <w:p w:rsidR="000418A0" w:rsidRPr="000418A0" w:rsidRDefault="000418A0" w:rsidP="00973D29">
      <w:pPr>
        <w:numPr>
          <w:ilvl w:val="0"/>
          <w:numId w:val="38"/>
        </w:numPr>
        <w:tabs>
          <w:tab w:val="left" w:pos="0"/>
        </w:tabs>
        <w:rPr>
          <w:rFonts w:asciiTheme="minorHAnsi" w:hAnsiTheme="minorHAnsi"/>
        </w:rPr>
      </w:pPr>
      <w:r w:rsidRPr="000418A0">
        <w:rPr>
          <w:rFonts w:asciiTheme="minorHAnsi" w:hAnsiTheme="minorHAnsi"/>
        </w:rPr>
        <w:lastRenderedPageBreak/>
        <w:t>zastabilizowanie punktów w sposób trwały, ochrona ich przed zniszczeniem i oznakowanie ułatwiające odszukanie i ewentualne odtworzenie.</w:t>
      </w:r>
    </w:p>
    <w:p w:rsidR="000418A0" w:rsidRPr="000418A0" w:rsidRDefault="000418A0" w:rsidP="000418A0">
      <w:pPr>
        <w:tabs>
          <w:tab w:val="left" w:pos="0"/>
        </w:tabs>
        <w:rPr>
          <w:rFonts w:asciiTheme="minorHAnsi" w:hAnsiTheme="minorHAnsi"/>
        </w:rPr>
      </w:pPr>
      <w:r w:rsidRPr="000418A0">
        <w:rPr>
          <w:rFonts w:asciiTheme="minorHAnsi" w:hAnsiTheme="minorHAnsi"/>
        </w:rPr>
        <w:t xml:space="preserve">Płatność robót związanych z wyznaczeniem </w:t>
      </w:r>
      <w:r>
        <w:rPr>
          <w:rFonts w:asciiTheme="minorHAnsi" w:hAnsiTheme="minorHAnsi"/>
        </w:rPr>
        <w:t>murów oporowych</w:t>
      </w:r>
      <w:r w:rsidRPr="000418A0">
        <w:rPr>
          <w:rFonts w:asciiTheme="minorHAnsi" w:hAnsiTheme="minorHAnsi"/>
        </w:rPr>
        <w:t xml:space="preserve"> jest ujęta w koszc</w:t>
      </w:r>
      <w:r>
        <w:rPr>
          <w:rFonts w:asciiTheme="minorHAnsi" w:hAnsiTheme="minorHAnsi"/>
        </w:rPr>
        <w:t>ie wykonania murów oporowych</w:t>
      </w:r>
      <w:r w:rsidRPr="000418A0">
        <w:rPr>
          <w:rFonts w:asciiTheme="minorHAnsi" w:hAnsiTheme="minorHAnsi"/>
        </w:rPr>
        <w:t>.</w:t>
      </w:r>
    </w:p>
    <w:p w:rsidR="00656AC1" w:rsidRPr="000418A0" w:rsidRDefault="00656AC1" w:rsidP="005F7B4E">
      <w:pPr>
        <w:tabs>
          <w:tab w:val="left" w:pos="0"/>
        </w:tabs>
        <w:rPr>
          <w:rFonts w:asciiTheme="minorHAnsi" w:hAnsiTheme="minorHAnsi" w:cs="Calibri"/>
        </w:rPr>
      </w:pPr>
    </w:p>
    <w:p w:rsidR="00656AC1" w:rsidRPr="000418A0" w:rsidRDefault="00656AC1" w:rsidP="00364E4D">
      <w:pPr>
        <w:tabs>
          <w:tab w:val="left" w:pos="0"/>
        </w:tabs>
        <w:rPr>
          <w:rFonts w:asciiTheme="minorHAnsi" w:hAnsiTheme="minorHAnsi" w:cs="Calibri"/>
        </w:rPr>
      </w:pPr>
      <w:r w:rsidRPr="000418A0">
        <w:rPr>
          <w:rFonts w:asciiTheme="minorHAnsi" w:hAnsiTheme="minorHAnsi" w:cs="Calibri"/>
        </w:rPr>
        <w:tab/>
      </w:r>
    </w:p>
    <w:p w:rsidR="00656AC1" w:rsidRPr="00203191" w:rsidRDefault="00656AC1" w:rsidP="00364E4D">
      <w:pPr>
        <w:pStyle w:val="Nagwek3"/>
        <w:rPr>
          <w:rFonts w:ascii="Calibri" w:hAnsi="Calibri" w:cs="Calibri"/>
        </w:rPr>
      </w:pPr>
      <w:r w:rsidRPr="00203191">
        <w:rPr>
          <w:rFonts w:ascii="Calibri" w:hAnsi="Calibri" w:cs="Calibri"/>
        </w:rPr>
        <w:t>10. PRZEPISY ZWIĄZANE</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Instrukcja techniczna 0-1. Ogólne zasady wykonywania prac geodezyjnych.</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Instrukcja techniczna G-3. Geodezyjna obsługa inwestycji, Główny Urząd Geodezji i Kartografii, Warszawa 1979.</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Instrukcja techniczna G-1. Geodezyjna osnowa pozioma, GUGiK 1978.</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Instrukcja techniczna G-2. Wysokościowa osnowa geodezyjna, GUGiK 1983.</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Instrukcja techniczna G-4. Pomiary sytuacyjne i wysokościowe, GUGiK 1979.</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Wytyczne techniczne G-3.2. Pomiary realizacyjne, GUGiK 1983.</w:t>
      </w:r>
    </w:p>
    <w:p w:rsidR="00656AC1" w:rsidRPr="00203191" w:rsidRDefault="00656AC1" w:rsidP="00954A11">
      <w:pPr>
        <w:numPr>
          <w:ilvl w:val="0"/>
          <w:numId w:val="14"/>
        </w:numPr>
        <w:tabs>
          <w:tab w:val="left" w:pos="0"/>
        </w:tabs>
        <w:rPr>
          <w:rFonts w:ascii="Calibri" w:hAnsi="Calibri" w:cs="Calibri"/>
        </w:rPr>
      </w:pPr>
      <w:r w:rsidRPr="00203191">
        <w:rPr>
          <w:rFonts w:ascii="Calibri" w:hAnsi="Calibri" w:cs="Calibri"/>
        </w:rPr>
        <w:t>Wytyczne techniczne G-3.1. Osnowy realizacyjne, GUGiK 1983.</w:t>
      </w:r>
    </w:p>
    <w:p w:rsidR="00656AC1" w:rsidRPr="00203191" w:rsidRDefault="00656AC1" w:rsidP="00364E4D">
      <w:pPr>
        <w:numPr>
          <w:ilvl w:val="12"/>
          <w:numId w:val="0"/>
        </w:numPr>
        <w:tabs>
          <w:tab w:val="left" w:pos="0"/>
        </w:tabs>
        <w:rPr>
          <w:rFonts w:ascii="Calibri" w:hAnsi="Calibri" w:cs="Calibri"/>
        </w:rPr>
      </w:pPr>
    </w:p>
    <w:p w:rsidR="00656AC1" w:rsidRPr="005F7B4E" w:rsidRDefault="005B48CA" w:rsidP="005F7B4E">
      <w:pPr>
        <w:pStyle w:val="Nagwek2"/>
      </w:pPr>
      <w:r w:rsidRPr="005F7B4E">
        <w:lastRenderedPageBreak/>
        <w:t>SPECYFIKACJE TECHNICZNE</w:t>
      </w:r>
      <w:r w:rsidR="00E22F37" w:rsidRPr="005F7B4E">
        <w:t xml:space="preserve"> WYKONANIA I ODBIORU ROBÓT BUDOWLANYCH</w:t>
      </w:r>
    </w:p>
    <w:p w:rsidR="00656AC1" w:rsidRPr="005F7B4E" w:rsidRDefault="00656AC1" w:rsidP="005F7B4E">
      <w:pPr>
        <w:pStyle w:val="Nagwek1"/>
      </w:pPr>
      <w:bookmarkStart w:id="48" w:name="_Toc352837478"/>
      <w:bookmarkStart w:id="49" w:name="_Toc427178262"/>
      <w:bookmarkStart w:id="50" w:name="_Toc459929660"/>
      <w:r w:rsidRPr="005F7B4E">
        <w:t>D-01.02.01  USUNIĘCIE DRZEW I KRZAKÓW</w:t>
      </w:r>
      <w:bookmarkEnd w:id="48"/>
      <w:bookmarkEnd w:id="49"/>
      <w:bookmarkEnd w:id="50"/>
    </w:p>
    <w:p w:rsidR="00656AC1" w:rsidRPr="00203191" w:rsidRDefault="00656AC1" w:rsidP="00364E4D">
      <w:pPr>
        <w:pStyle w:val="Standardowytekst"/>
        <w:rPr>
          <w:rFonts w:ascii="Calibri" w:hAnsi="Calibri" w:cs="Calibri"/>
          <w:b/>
          <w:bCs/>
          <w:sz w:val="24"/>
          <w:szCs w:val="24"/>
        </w:rPr>
      </w:pPr>
    </w:p>
    <w:p w:rsidR="00656AC1" w:rsidRPr="00203191" w:rsidRDefault="00656AC1" w:rsidP="00364E4D">
      <w:pPr>
        <w:pStyle w:val="Nagwek3"/>
        <w:rPr>
          <w:rFonts w:ascii="Calibri" w:hAnsi="Calibri" w:cs="Calibri"/>
        </w:rPr>
      </w:pPr>
      <w:r w:rsidRPr="00203191">
        <w:rPr>
          <w:rFonts w:ascii="Calibri" w:hAnsi="Calibri" w:cs="Calibri"/>
        </w:rPr>
        <w:t>1. WSTĘP</w:t>
      </w:r>
    </w:p>
    <w:p w:rsidR="00656AC1" w:rsidRPr="00203191" w:rsidRDefault="00656AC1" w:rsidP="00364E4D">
      <w:pPr>
        <w:pStyle w:val="Nagwek4"/>
        <w:rPr>
          <w:rFonts w:ascii="Calibri" w:hAnsi="Calibri" w:cs="Calibri"/>
        </w:rPr>
      </w:pPr>
      <w:r w:rsidRPr="00203191">
        <w:rPr>
          <w:rFonts w:ascii="Calibri" w:hAnsi="Calibri" w:cs="Calibri"/>
        </w:rPr>
        <w:t xml:space="preserve">1.1.Przedmiot </w:t>
      </w:r>
      <w:r w:rsidR="005B48CA">
        <w:rPr>
          <w:rFonts w:ascii="Calibri" w:hAnsi="Calibri" w:cs="Calibri"/>
        </w:rPr>
        <w:t>STWiORB</w:t>
      </w:r>
    </w:p>
    <w:p w:rsidR="00656AC1" w:rsidRPr="00203191" w:rsidRDefault="00F66436" w:rsidP="00364E4D">
      <w:pPr>
        <w:tabs>
          <w:tab w:val="left" w:pos="0"/>
        </w:tabs>
        <w:rPr>
          <w:rFonts w:ascii="Calibri" w:hAnsi="Calibri" w:cs="Calibri"/>
        </w:rPr>
      </w:pPr>
      <w:r>
        <w:rPr>
          <w:rFonts w:ascii="Calibri" w:hAnsi="Calibri" w:cs="Calibri"/>
        </w:rPr>
        <w:t xml:space="preserve">Przedmiotem </w:t>
      </w:r>
      <w:r w:rsidR="00ED6D29">
        <w:rPr>
          <w:rFonts w:ascii="Calibri" w:hAnsi="Calibri" w:cs="Calibri"/>
        </w:rPr>
        <w:t>niniejszej</w:t>
      </w:r>
      <w:r>
        <w:rPr>
          <w:rFonts w:ascii="Calibri" w:hAnsi="Calibri" w:cs="Calibri"/>
        </w:rPr>
        <w:t xml:space="preserve"> </w:t>
      </w:r>
      <w:r w:rsidR="00ED6D29">
        <w:rPr>
          <w:rFonts w:ascii="Calibri" w:hAnsi="Calibri" w:cs="Calibri"/>
        </w:rPr>
        <w:t>specyfikacji</w:t>
      </w:r>
      <w:r w:rsidR="00656AC1" w:rsidRPr="00203191">
        <w:rPr>
          <w:rFonts w:ascii="Calibri" w:hAnsi="Calibri" w:cs="Calibri"/>
        </w:rPr>
        <w:t xml:space="preserve"> są wymagania dotyczące wykonania i odbioru robót związanych z usunięciem</w:t>
      </w:r>
      <w:r w:rsidR="00656AC1">
        <w:rPr>
          <w:rFonts w:ascii="Calibri" w:hAnsi="Calibri" w:cs="Calibri"/>
        </w:rPr>
        <w:t xml:space="preserve"> drzew i</w:t>
      </w:r>
      <w:r w:rsidR="00656AC1" w:rsidRPr="00203191">
        <w:rPr>
          <w:rFonts w:ascii="Calibri" w:hAnsi="Calibri" w:cs="Calibri"/>
        </w:rPr>
        <w:t xml:space="preserve"> krzaków rosnących w pasie drogowym.</w:t>
      </w:r>
    </w:p>
    <w:p w:rsidR="00656AC1" w:rsidRPr="00203191" w:rsidRDefault="00656AC1" w:rsidP="00364E4D">
      <w:pPr>
        <w:pStyle w:val="Nagwek4"/>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0949D2">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656AC1" w:rsidRPr="00203191" w:rsidRDefault="00656AC1" w:rsidP="00364E4D">
      <w:pPr>
        <w:tabs>
          <w:tab w:val="left" w:pos="0"/>
        </w:tabs>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 usunięciem krzaków, wykonywanych w ramach robót przygotowawczych.</w:t>
      </w:r>
    </w:p>
    <w:p w:rsidR="00656AC1" w:rsidRPr="00203191" w:rsidRDefault="00656AC1" w:rsidP="00364E4D">
      <w:pPr>
        <w:pStyle w:val="Nagwek4"/>
        <w:rPr>
          <w:rFonts w:ascii="Calibri" w:hAnsi="Calibri" w:cs="Calibri"/>
        </w:rPr>
      </w:pPr>
      <w:r w:rsidRPr="00203191">
        <w:rPr>
          <w:rFonts w:ascii="Calibri" w:hAnsi="Calibri" w:cs="Calibri"/>
        </w:rPr>
        <w:t>1.4. Określenia podstawowe</w:t>
      </w:r>
    </w:p>
    <w:p w:rsidR="00656AC1" w:rsidRPr="00203191" w:rsidRDefault="00656AC1" w:rsidP="00364E4D">
      <w:pPr>
        <w:tabs>
          <w:tab w:val="left" w:pos="0"/>
        </w:tabs>
        <w:rPr>
          <w:rFonts w:ascii="Calibri" w:hAnsi="Calibri" w:cs="Calibri"/>
        </w:rPr>
      </w:pPr>
      <w:r w:rsidRPr="00203191">
        <w:rPr>
          <w:rFonts w:ascii="Calibri" w:hAnsi="Calibri" w:cs="Calibri"/>
        </w:rPr>
        <w:t xml:space="preserve">Stosowane określenia podstawowe są zgodne z obowiązującymi, odpowiednimi polskimi normami oraz z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3D2906" w:rsidRDefault="00656AC1" w:rsidP="00364E4D">
      <w:pPr>
        <w:pStyle w:val="Nagwek4"/>
        <w:rPr>
          <w:rFonts w:ascii="Calibri" w:hAnsi="Calibri" w:cs="Calibri"/>
        </w:rPr>
      </w:pPr>
      <w:r w:rsidRPr="003D2906">
        <w:rPr>
          <w:rFonts w:ascii="Calibri" w:hAnsi="Calibri" w:cs="Calibri"/>
        </w:rPr>
        <w:t>1.5. Ogólne wymagania dotyczące robót</w:t>
      </w:r>
    </w:p>
    <w:p w:rsidR="00656AC1" w:rsidRPr="003D2906" w:rsidRDefault="00656AC1" w:rsidP="00364E4D">
      <w:pPr>
        <w:tabs>
          <w:tab w:val="left" w:pos="0"/>
        </w:tabs>
        <w:rPr>
          <w:rFonts w:ascii="Calibri" w:hAnsi="Calibri" w:cs="Calibri"/>
        </w:rPr>
      </w:pPr>
      <w:r w:rsidRPr="003D2906">
        <w:rPr>
          <w:rFonts w:ascii="Calibri" w:hAnsi="Calibri" w:cs="Calibri"/>
        </w:rPr>
        <w:t xml:space="preserve">Ogólne wymagania dotyczące robót podano w </w:t>
      </w:r>
      <w:r w:rsidR="005B48CA">
        <w:rPr>
          <w:rFonts w:ascii="Calibri" w:hAnsi="Calibri" w:cs="Calibri"/>
        </w:rPr>
        <w:t>STWiORB</w:t>
      </w:r>
      <w:r w:rsidRPr="003D2906">
        <w:rPr>
          <w:rFonts w:ascii="Calibri" w:hAnsi="Calibri" w:cs="Calibri"/>
        </w:rPr>
        <w:t xml:space="preserve"> D-M-00.00.00 „Wymagania ogólne” pkt 1.5.</w:t>
      </w:r>
    </w:p>
    <w:p w:rsidR="00656AC1" w:rsidRPr="003D2906" w:rsidRDefault="00656AC1" w:rsidP="00364E4D">
      <w:pPr>
        <w:pStyle w:val="Nagwek3"/>
        <w:rPr>
          <w:rFonts w:ascii="Calibri" w:hAnsi="Calibri" w:cs="Calibri"/>
        </w:rPr>
      </w:pPr>
      <w:r w:rsidRPr="003D2906">
        <w:rPr>
          <w:rFonts w:ascii="Calibri" w:hAnsi="Calibri" w:cs="Calibri"/>
        </w:rPr>
        <w:t xml:space="preserve">2. </w:t>
      </w:r>
      <w:r w:rsidR="00A95FEE">
        <w:rPr>
          <w:rFonts w:ascii="Calibri" w:hAnsi="Calibri" w:cs="Calibri"/>
        </w:rPr>
        <w:t>WYROBY BUDOWLANE</w:t>
      </w:r>
    </w:p>
    <w:p w:rsidR="00656AC1" w:rsidRPr="003D2906" w:rsidRDefault="00656AC1" w:rsidP="00364E4D">
      <w:pPr>
        <w:tabs>
          <w:tab w:val="left" w:pos="0"/>
        </w:tabs>
        <w:rPr>
          <w:rFonts w:ascii="Calibri" w:hAnsi="Calibri" w:cs="Calibri"/>
        </w:rPr>
      </w:pPr>
      <w:r w:rsidRPr="003D2906">
        <w:rPr>
          <w:rFonts w:ascii="Calibri" w:hAnsi="Calibri" w:cs="Calibri"/>
        </w:rPr>
        <w:t>Nie występują.</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t>3. SPRZĘT</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3.1. Ogólne wymagania dotyczące sprzętu</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 xml:space="preserve">Ogólne wymagania dotyczące sprzętu podano w </w:t>
      </w:r>
      <w:r w:rsidR="005B48CA">
        <w:rPr>
          <w:rFonts w:ascii="Calibri" w:hAnsi="Calibri" w:cs="Calibri"/>
        </w:rPr>
        <w:t>STWiORB</w:t>
      </w:r>
      <w:r w:rsidRPr="003D2906">
        <w:rPr>
          <w:rFonts w:ascii="Calibri" w:hAnsi="Calibri" w:cs="Calibri"/>
        </w:rPr>
        <w:t xml:space="preserve"> D-M-00.00.00 „Wymagania ogólne” pkt 3.</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3.2. Sprzęt do usuwania drzew i krzaków</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Do wykonywania robót związanych z usunięciem drzew i krzaków należy stosować:</w:t>
      </w:r>
    </w:p>
    <w:p w:rsidR="00656AC1" w:rsidRPr="003D2906" w:rsidRDefault="00656AC1" w:rsidP="00954A11">
      <w:pPr>
        <w:numPr>
          <w:ilvl w:val="0"/>
          <w:numId w:val="1"/>
        </w:numPr>
        <w:tabs>
          <w:tab w:val="left" w:pos="0"/>
          <w:tab w:val="left" w:pos="9914"/>
        </w:tabs>
        <w:ind w:left="0" w:firstLine="0"/>
        <w:rPr>
          <w:rFonts w:ascii="Calibri" w:hAnsi="Calibri" w:cs="Calibri"/>
          <w:b/>
          <w:bCs/>
        </w:rPr>
      </w:pPr>
      <w:r w:rsidRPr="003D2906">
        <w:rPr>
          <w:rFonts w:ascii="Calibri" w:hAnsi="Calibri" w:cs="Calibri"/>
        </w:rPr>
        <w:t>piły mechaniczne,</w:t>
      </w:r>
    </w:p>
    <w:p w:rsidR="00656AC1" w:rsidRPr="003D2906" w:rsidRDefault="00656AC1" w:rsidP="00954A11">
      <w:pPr>
        <w:numPr>
          <w:ilvl w:val="0"/>
          <w:numId w:val="1"/>
        </w:numPr>
        <w:tabs>
          <w:tab w:val="left" w:pos="0"/>
          <w:tab w:val="left" w:pos="9914"/>
        </w:tabs>
        <w:ind w:left="0" w:firstLine="0"/>
        <w:rPr>
          <w:rFonts w:ascii="Calibri" w:hAnsi="Calibri" w:cs="Calibri"/>
          <w:b/>
          <w:bCs/>
        </w:rPr>
      </w:pPr>
      <w:r w:rsidRPr="003D2906">
        <w:rPr>
          <w:rFonts w:ascii="Calibri" w:hAnsi="Calibri" w:cs="Calibri"/>
        </w:rPr>
        <w:t>maszyny przeznaczone do karczowania pni oraz ich usunięcia z pasa drogowego,</w:t>
      </w:r>
    </w:p>
    <w:p w:rsidR="00656AC1" w:rsidRPr="003D2906" w:rsidRDefault="00656AC1" w:rsidP="00954A11">
      <w:pPr>
        <w:numPr>
          <w:ilvl w:val="0"/>
          <w:numId w:val="1"/>
        </w:numPr>
        <w:tabs>
          <w:tab w:val="left" w:pos="0"/>
          <w:tab w:val="left" w:pos="9914"/>
        </w:tabs>
        <w:ind w:left="0" w:firstLine="0"/>
        <w:rPr>
          <w:rFonts w:ascii="Calibri" w:hAnsi="Calibri" w:cs="Calibri"/>
          <w:b/>
          <w:bCs/>
        </w:rPr>
      </w:pPr>
      <w:r w:rsidRPr="003D2906">
        <w:rPr>
          <w:rFonts w:ascii="Calibri" w:hAnsi="Calibri" w:cs="Calibri"/>
        </w:rPr>
        <w:t>frezarki do pni,</w:t>
      </w:r>
    </w:p>
    <w:p w:rsidR="00656AC1" w:rsidRPr="003D2906" w:rsidRDefault="00656AC1" w:rsidP="00954A11">
      <w:pPr>
        <w:numPr>
          <w:ilvl w:val="0"/>
          <w:numId w:val="1"/>
        </w:numPr>
        <w:tabs>
          <w:tab w:val="left" w:pos="0"/>
          <w:tab w:val="left" w:pos="9914"/>
        </w:tabs>
        <w:ind w:left="0" w:firstLine="0"/>
        <w:rPr>
          <w:rFonts w:ascii="Calibri" w:hAnsi="Calibri" w:cs="Calibri"/>
          <w:b/>
          <w:bCs/>
        </w:rPr>
      </w:pPr>
      <w:r w:rsidRPr="003D2906">
        <w:rPr>
          <w:rFonts w:ascii="Calibri" w:hAnsi="Calibri" w:cs="Calibri"/>
        </w:rPr>
        <w:t>spycharki,</w:t>
      </w:r>
    </w:p>
    <w:p w:rsidR="00656AC1" w:rsidRPr="003D2906" w:rsidRDefault="00656AC1" w:rsidP="00954A11">
      <w:pPr>
        <w:numPr>
          <w:ilvl w:val="0"/>
          <w:numId w:val="1"/>
        </w:numPr>
        <w:tabs>
          <w:tab w:val="left" w:pos="0"/>
          <w:tab w:val="left" w:pos="9914"/>
        </w:tabs>
        <w:ind w:left="0" w:firstLine="0"/>
        <w:rPr>
          <w:rFonts w:ascii="Calibri" w:hAnsi="Calibri" w:cs="Calibri"/>
          <w:b/>
          <w:bCs/>
        </w:rPr>
      </w:pPr>
      <w:r w:rsidRPr="003D2906">
        <w:rPr>
          <w:rFonts w:ascii="Calibri" w:hAnsi="Calibri" w:cs="Calibri"/>
        </w:rPr>
        <w:t>koparki lub ciągniki ze specjalnym osprzętem do prowadzenia prac związanych z wyrębem drzew.</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lastRenderedPageBreak/>
        <w:t>4. TRANSPORT</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4.1. Ogólne wymagania dotyczące transportu</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 xml:space="preserve">Ogólne wymagania dotyczące transportu podano w </w:t>
      </w:r>
      <w:r w:rsidR="005B48CA">
        <w:rPr>
          <w:rFonts w:ascii="Calibri" w:hAnsi="Calibri" w:cs="Calibri"/>
        </w:rPr>
        <w:t>STWiORB</w:t>
      </w:r>
      <w:r w:rsidRPr="003D2906">
        <w:rPr>
          <w:rFonts w:ascii="Calibri" w:hAnsi="Calibri" w:cs="Calibri"/>
        </w:rPr>
        <w:t xml:space="preserve"> D-M-00.00.00 „Wymagania ogólne” pkt 4.</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4.2. Transport pni i karpiny</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Pnie, karpinę oraz gałęzie należy przewozić transportem samochodowym.</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Pnie przedstawiające wartość jako materiał użytkowy (np. budowlany, meblarski itp.) powinny być transportowane w sposób nie powodujący ich uszkodzeń.</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t>5. WYKONANIE ROBÓT</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5.1. Ogólne zasady wykonania robót</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 xml:space="preserve">Ogólne zasady wykonania robót podano w </w:t>
      </w:r>
      <w:r w:rsidR="005B48CA">
        <w:rPr>
          <w:rFonts w:ascii="Calibri" w:hAnsi="Calibri" w:cs="Calibri"/>
        </w:rPr>
        <w:t>STWiORB</w:t>
      </w:r>
      <w:r w:rsidRPr="003D2906">
        <w:rPr>
          <w:rFonts w:ascii="Calibri" w:hAnsi="Calibri" w:cs="Calibri"/>
        </w:rPr>
        <w:t xml:space="preserve"> D-M-00.00.00 „Wymagania ogólne” pkt 5.</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5.2. Zasady oczyszczania terenu z drzew i krzaków</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Teren pod budowę drogi w pasie robót ziemnych, w miejscach dokopów i w innych miejscach wskazanych w dokumentacji projektowej, powinien być oczyszczony z drzew i krzaków.</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Wycinkę drzew o właściwościach materiału użytkowego należy wykonywać w tzw. sezonie rębnym, ustalonym przez Inżyniera.</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W miejscach dokopów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W miejscach nasypów teren należy oczyścić tak, aby części roślinności nie znajdowały się na głębokości do 60 cm poniżej niwelety robót ziemnych i linii skarp nasypu, z wyjątkiem przypadków podanych w punkcie 5.3.</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5.3. Usunięcie drzew i krzaków</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Pnie drzew i krzaków znajdujące się w pasie robót ziemnych, powinny być wykarczowane.</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 xml:space="preserve">Poza miejscami wykopów doły po wykarczowanych pniach należy wypełnić gruntem przydatnym do budowy nasypów i zagęścić, do stopnia zagęszczenia nie mniejszego niż 0,97. Grunt użyty do wypełnienia dołów winien odpowiadać wymaganiom </w:t>
      </w:r>
      <w:r w:rsidR="005B48CA">
        <w:rPr>
          <w:rFonts w:ascii="Calibri" w:hAnsi="Calibri" w:cs="Calibri"/>
        </w:rPr>
        <w:t>STWiORB</w:t>
      </w:r>
      <w:r w:rsidRPr="003D2906">
        <w:rPr>
          <w:rFonts w:ascii="Calibri" w:hAnsi="Calibri" w:cs="Calibri"/>
        </w:rPr>
        <w:t xml:space="preserve"> D-02.03.01 Nasypy</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Doły w obrębie przewidywanych wykopów, należy tymczasowo zabezpieczyć przed gromadzeniem się w nich wody.</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Wykonawca ma obowiązek prowadzenia robót w taki sposób, aby drzewa przedstawiające wartość jako materiał użytkowy (np. budowlany, meblarski itp.) nie utraciły tej właściwości w czasie robót.</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5.4. Zniszczenie pozostałości po usuniętej roślinności</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Sposób zniszczenia pozostałości po usuniętej roślinności powinien być zgodny z ustaleniami dokumentacji projektowej lub wskazaniami Inżyniera.</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Nie dopuszcza się spalania na miejscu roślinności usuniętej w czasie robót</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lastRenderedPageBreak/>
        <w:t>6. KONTROLA JAKOŚCI ROBÓT</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6.1. Ogólne zasady kontroli jakości robót</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 xml:space="preserve">Ogólne zasady kontroli jakości robót podano w </w:t>
      </w:r>
      <w:r w:rsidR="005B48CA">
        <w:rPr>
          <w:rFonts w:ascii="Calibri" w:hAnsi="Calibri" w:cs="Calibri"/>
        </w:rPr>
        <w:t>STWiORB</w:t>
      </w:r>
      <w:r w:rsidRPr="003D2906">
        <w:rPr>
          <w:rFonts w:ascii="Calibri" w:hAnsi="Calibri" w:cs="Calibri"/>
        </w:rPr>
        <w:t xml:space="preserve"> D-M-00.00.00 „Wymagania ogólne” pkt 6.</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6.2. Kontrola robót przy usuwaniu drzew i krzaków</w:t>
      </w:r>
    </w:p>
    <w:p w:rsidR="00656AC1" w:rsidRPr="003D2906" w:rsidRDefault="00656AC1" w:rsidP="003D2906">
      <w:pPr>
        <w:tabs>
          <w:tab w:val="left" w:pos="0"/>
          <w:tab w:val="left" w:pos="9914"/>
        </w:tabs>
        <w:rPr>
          <w:rFonts w:ascii="Calibri" w:hAnsi="Calibri" w:cs="Calibri"/>
        </w:rPr>
      </w:pPr>
      <w:r w:rsidRPr="003D2906">
        <w:rPr>
          <w:rFonts w:ascii="Calibri" w:hAnsi="Calibri" w:cs="Calibri"/>
        </w:rPr>
        <w:t xml:space="preserve">Sprawdzenie jakości robót polega na wizualnej ocenie kompletności usunięcia roślinności, wykarczowania korzeni i zasypania dołów. Zagęszczenie gruntu wypełniającego doły powinno być nie mniejsze niż 0,97. Grunt użyty do wypełnienia dołów winien odpowiadać wymaganiom </w:t>
      </w:r>
      <w:r w:rsidR="005B48CA">
        <w:rPr>
          <w:rFonts w:ascii="Calibri" w:hAnsi="Calibri" w:cs="Calibri"/>
        </w:rPr>
        <w:t>STWiORB</w:t>
      </w:r>
      <w:r w:rsidRPr="003D2906">
        <w:rPr>
          <w:rFonts w:ascii="Calibri" w:hAnsi="Calibri" w:cs="Calibri"/>
        </w:rPr>
        <w:t xml:space="preserve"> D-02.03.01 Nasypy</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t>7. OBMIAR ROBÓT</w:t>
      </w:r>
    </w:p>
    <w:p w:rsidR="00464BA1" w:rsidRPr="003D2906" w:rsidRDefault="00464BA1" w:rsidP="00464BA1">
      <w:pPr>
        <w:pStyle w:val="Nagwek4"/>
        <w:tabs>
          <w:tab w:val="left" w:pos="9914"/>
        </w:tabs>
        <w:rPr>
          <w:rFonts w:asciiTheme="minorHAnsi" w:hAnsiTheme="minorHAnsi"/>
        </w:rPr>
      </w:pPr>
      <w:r w:rsidRPr="003D2906">
        <w:rPr>
          <w:rFonts w:asciiTheme="minorHAnsi" w:hAnsiTheme="minorHAnsi"/>
        </w:rPr>
        <w:t>7.1. Ogólne zasady obmiaru robót</w:t>
      </w:r>
    </w:p>
    <w:p w:rsidR="00464BA1" w:rsidRPr="003D2906" w:rsidRDefault="00464BA1" w:rsidP="00464BA1">
      <w:pPr>
        <w:tabs>
          <w:tab w:val="left" w:pos="0"/>
          <w:tab w:val="left" w:pos="9914"/>
        </w:tabs>
        <w:rPr>
          <w:rFonts w:asciiTheme="minorHAnsi" w:hAnsiTheme="minorHAnsi"/>
        </w:rPr>
      </w:pPr>
      <w:r w:rsidRPr="003D2906">
        <w:rPr>
          <w:rFonts w:asciiTheme="minorHAnsi" w:hAnsiTheme="minorHAnsi"/>
        </w:rPr>
        <w:t>Ogólne zasady obmiaru robót podano w STWiORB D-M-00.00.00 „Wymagania ogólne” pkt 7.</w:t>
      </w:r>
    </w:p>
    <w:p w:rsidR="00464BA1" w:rsidRPr="003D2906" w:rsidRDefault="00464BA1" w:rsidP="00464BA1">
      <w:pPr>
        <w:pStyle w:val="Nagwek4"/>
        <w:tabs>
          <w:tab w:val="left" w:pos="9914"/>
        </w:tabs>
        <w:rPr>
          <w:rFonts w:asciiTheme="minorHAnsi" w:hAnsiTheme="minorHAnsi"/>
        </w:rPr>
      </w:pPr>
      <w:r w:rsidRPr="003D2906">
        <w:rPr>
          <w:rFonts w:asciiTheme="minorHAnsi" w:hAnsiTheme="minorHAnsi"/>
        </w:rPr>
        <w:t>7.2. Jednostka obmiarowa</w:t>
      </w:r>
    </w:p>
    <w:p w:rsidR="00464BA1" w:rsidRPr="003D2906" w:rsidRDefault="00464BA1" w:rsidP="00464BA1">
      <w:pPr>
        <w:tabs>
          <w:tab w:val="left" w:pos="0"/>
          <w:tab w:val="left" w:pos="9914"/>
        </w:tabs>
        <w:rPr>
          <w:rFonts w:asciiTheme="minorHAnsi" w:hAnsiTheme="minorHAnsi"/>
        </w:rPr>
      </w:pPr>
      <w:r w:rsidRPr="003D2906">
        <w:rPr>
          <w:rFonts w:asciiTheme="minorHAnsi" w:hAnsiTheme="minorHAnsi"/>
        </w:rPr>
        <w:t>Jednostką obmiarową robót związanych z usunięciem drzew i krzaków jest:</w:t>
      </w:r>
    </w:p>
    <w:p w:rsidR="00464BA1" w:rsidRPr="003D2906" w:rsidRDefault="00464BA1" w:rsidP="00464BA1">
      <w:pPr>
        <w:numPr>
          <w:ilvl w:val="0"/>
          <w:numId w:val="38"/>
        </w:numPr>
        <w:tabs>
          <w:tab w:val="left" w:pos="0"/>
          <w:tab w:val="left" w:pos="9914"/>
        </w:tabs>
        <w:ind w:left="0" w:firstLine="0"/>
        <w:rPr>
          <w:rFonts w:asciiTheme="minorHAnsi" w:hAnsiTheme="minorHAnsi"/>
        </w:rPr>
      </w:pPr>
      <w:r w:rsidRPr="003D2906">
        <w:rPr>
          <w:rFonts w:asciiTheme="minorHAnsi" w:hAnsiTheme="minorHAnsi"/>
        </w:rPr>
        <w:t>dla drzew – sztuka,</w:t>
      </w:r>
    </w:p>
    <w:p w:rsidR="00656AC1" w:rsidRPr="003D2906" w:rsidRDefault="00464BA1" w:rsidP="00464BA1">
      <w:pPr>
        <w:tabs>
          <w:tab w:val="left" w:pos="0"/>
          <w:tab w:val="left" w:pos="9914"/>
        </w:tabs>
        <w:rPr>
          <w:rFonts w:ascii="Calibri" w:hAnsi="Calibri" w:cs="Calibri"/>
        </w:rPr>
      </w:pPr>
      <w:r>
        <w:rPr>
          <w:rFonts w:asciiTheme="minorHAnsi" w:hAnsiTheme="minorHAnsi"/>
        </w:rPr>
        <w:t xml:space="preserve">-     </w:t>
      </w:r>
      <w:r w:rsidRPr="003D2906">
        <w:rPr>
          <w:rFonts w:asciiTheme="minorHAnsi" w:hAnsiTheme="minorHAnsi"/>
        </w:rPr>
        <w:t xml:space="preserve">dla krzaków – </w:t>
      </w:r>
      <w:r>
        <w:rPr>
          <w:rFonts w:asciiTheme="minorHAnsi" w:hAnsiTheme="minorHAnsi"/>
        </w:rPr>
        <w:t>m</w:t>
      </w:r>
      <w:r w:rsidRPr="003D2906">
        <w:rPr>
          <w:rFonts w:asciiTheme="minorHAnsi" w:hAnsiTheme="minorHAnsi"/>
          <w:vertAlign w:val="superscript"/>
        </w:rPr>
        <w:t>2</w:t>
      </w:r>
      <w:r>
        <w:rPr>
          <w:rFonts w:asciiTheme="minorHAnsi" w:hAnsiTheme="minorHAnsi"/>
        </w:rPr>
        <w:t xml:space="preserve"> (metr kwadratowy)</w:t>
      </w:r>
      <w:r w:rsidRPr="003D2906">
        <w:rPr>
          <w:rFonts w:asciiTheme="minorHAnsi" w:hAnsiTheme="minorHAnsi"/>
        </w:rPr>
        <w:t>.</w:t>
      </w:r>
      <w:r w:rsidR="00656AC1" w:rsidRPr="003D2906">
        <w:rPr>
          <w:rFonts w:ascii="Calibri" w:hAnsi="Calibri" w:cs="Calibri"/>
        </w:rPr>
        <w:t>.</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t>8. ODBIÓR ROBÓT</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8.1. Ogólne zasady odbioru robót</w:t>
      </w:r>
    </w:p>
    <w:p w:rsidR="00656AC1" w:rsidRPr="003D2906" w:rsidRDefault="00656AC1" w:rsidP="003D2906">
      <w:pPr>
        <w:numPr>
          <w:ilvl w:val="12"/>
          <w:numId w:val="0"/>
        </w:numPr>
        <w:tabs>
          <w:tab w:val="left" w:pos="0"/>
          <w:tab w:val="left" w:pos="9914"/>
        </w:tabs>
        <w:rPr>
          <w:rFonts w:ascii="Calibri" w:hAnsi="Calibri" w:cs="Calibri"/>
        </w:rPr>
      </w:pPr>
      <w:r w:rsidRPr="003D2906">
        <w:rPr>
          <w:rFonts w:ascii="Calibri" w:hAnsi="Calibri" w:cs="Calibri"/>
        </w:rPr>
        <w:t xml:space="preserve">Ogólne zasady odbioru robót podano w </w:t>
      </w:r>
      <w:r w:rsidR="005B48CA">
        <w:rPr>
          <w:rFonts w:ascii="Calibri" w:hAnsi="Calibri" w:cs="Calibri"/>
        </w:rPr>
        <w:t>STWiORB</w:t>
      </w:r>
      <w:r w:rsidRPr="003D2906">
        <w:rPr>
          <w:rFonts w:ascii="Calibri" w:hAnsi="Calibri" w:cs="Calibri"/>
        </w:rPr>
        <w:t xml:space="preserve"> D-M-00.00.00 „Wymagania ogólne” pkt 8.</w:t>
      </w:r>
    </w:p>
    <w:p w:rsidR="00656AC1" w:rsidRPr="003D2906" w:rsidRDefault="00656AC1" w:rsidP="003D2906">
      <w:pPr>
        <w:pStyle w:val="Nagwek4"/>
        <w:tabs>
          <w:tab w:val="left" w:pos="9914"/>
        </w:tabs>
        <w:rPr>
          <w:rFonts w:ascii="Calibri" w:hAnsi="Calibri" w:cs="Calibri"/>
        </w:rPr>
      </w:pPr>
      <w:r w:rsidRPr="003D2906">
        <w:rPr>
          <w:rFonts w:ascii="Calibri" w:hAnsi="Calibri" w:cs="Calibri"/>
        </w:rPr>
        <w:t>8.2. Odbiór robót zanikających i ulegających zakryciu</w:t>
      </w:r>
    </w:p>
    <w:p w:rsidR="00656AC1" w:rsidRPr="003D2906" w:rsidRDefault="00656AC1" w:rsidP="003D2906">
      <w:pPr>
        <w:numPr>
          <w:ilvl w:val="12"/>
          <w:numId w:val="0"/>
        </w:numPr>
        <w:tabs>
          <w:tab w:val="left" w:pos="0"/>
          <w:tab w:val="left" w:pos="9914"/>
        </w:tabs>
        <w:rPr>
          <w:rFonts w:ascii="Calibri" w:hAnsi="Calibri" w:cs="Calibri"/>
        </w:rPr>
      </w:pPr>
      <w:r w:rsidRPr="003D2906">
        <w:rPr>
          <w:rFonts w:ascii="Calibri" w:hAnsi="Calibri" w:cs="Calibri"/>
        </w:rPr>
        <w:t>Odbiorowi robót zanikających i ulegających zakryciu podlega sprawdzenie dołów po wykarczowanych pniach, przed ich zasypaniem.</w:t>
      </w:r>
    </w:p>
    <w:p w:rsidR="00656AC1" w:rsidRPr="003D2906" w:rsidRDefault="00656AC1" w:rsidP="003D2906">
      <w:pPr>
        <w:pStyle w:val="Nagwek3"/>
        <w:tabs>
          <w:tab w:val="left" w:pos="9914"/>
        </w:tabs>
        <w:rPr>
          <w:rFonts w:ascii="Calibri" w:hAnsi="Calibri" w:cs="Calibri"/>
        </w:rPr>
      </w:pPr>
      <w:r w:rsidRPr="003D2906">
        <w:rPr>
          <w:rFonts w:ascii="Calibri" w:hAnsi="Calibri" w:cs="Calibri"/>
        </w:rPr>
        <w:t>9. PODSTAWA PŁATNOŚCI</w:t>
      </w:r>
    </w:p>
    <w:p w:rsidR="00464BA1" w:rsidRPr="003D2906" w:rsidRDefault="00464BA1" w:rsidP="00464BA1">
      <w:pPr>
        <w:pStyle w:val="Nagwek4"/>
        <w:tabs>
          <w:tab w:val="left" w:pos="9914"/>
        </w:tabs>
        <w:rPr>
          <w:rFonts w:asciiTheme="minorHAnsi" w:hAnsiTheme="minorHAnsi"/>
        </w:rPr>
      </w:pPr>
      <w:r w:rsidRPr="003D2906">
        <w:rPr>
          <w:rFonts w:asciiTheme="minorHAnsi" w:hAnsiTheme="minorHAnsi"/>
        </w:rPr>
        <w:t>9.1. Ogólne ustalenia dotyczące podstawy płatności</w:t>
      </w:r>
    </w:p>
    <w:p w:rsidR="00464BA1" w:rsidRPr="003D2906" w:rsidRDefault="00464BA1" w:rsidP="00464BA1">
      <w:pPr>
        <w:numPr>
          <w:ilvl w:val="12"/>
          <w:numId w:val="0"/>
        </w:numPr>
        <w:tabs>
          <w:tab w:val="left" w:pos="0"/>
          <w:tab w:val="left" w:pos="9914"/>
        </w:tabs>
        <w:rPr>
          <w:rFonts w:asciiTheme="minorHAnsi" w:hAnsiTheme="minorHAnsi"/>
        </w:rPr>
      </w:pPr>
      <w:r w:rsidRPr="003D2906">
        <w:rPr>
          <w:rFonts w:asciiTheme="minorHAnsi" w:hAnsiTheme="minorHAnsi"/>
        </w:rPr>
        <w:t>Ogólne ustalenia dotyczące podstawy płatności podano w STWiORB D-M-00.00.00 „Wymagania ogólne” pkt 9.</w:t>
      </w:r>
    </w:p>
    <w:p w:rsidR="00464BA1" w:rsidRPr="003D2906" w:rsidRDefault="00464BA1" w:rsidP="00464BA1">
      <w:pPr>
        <w:pStyle w:val="Nagwek4"/>
        <w:tabs>
          <w:tab w:val="left" w:pos="9914"/>
        </w:tabs>
        <w:rPr>
          <w:rFonts w:asciiTheme="minorHAnsi" w:hAnsiTheme="minorHAnsi"/>
        </w:rPr>
      </w:pPr>
      <w:r w:rsidRPr="003D2906">
        <w:rPr>
          <w:rFonts w:asciiTheme="minorHAnsi" w:hAnsiTheme="minorHAnsi"/>
        </w:rPr>
        <w:t>9.2. Cena jednostki obmiarowej</w:t>
      </w:r>
    </w:p>
    <w:p w:rsidR="00464BA1" w:rsidRPr="003D2906" w:rsidRDefault="00464BA1" w:rsidP="00464BA1">
      <w:pPr>
        <w:numPr>
          <w:ilvl w:val="12"/>
          <w:numId w:val="0"/>
        </w:numPr>
        <w:tabs>
          <w:tab w:val="left" w:pos="0"/>
          <w:tab w:val="left" w:pos="9914"/>
        </w:tabs>
        <w:rPr>
          <w:rFonts w:asciiTheme="minorHAnsi" w:hAnsiTheme="minorHAnsi"/>
        </w:rPr>
      </w:pPr>
      <w:r w:rsidRPr="003D2906">
        <w:rPr>
          <w:rFonts w:asciiTheme="minorHAnsi" w:hAnsiTheme="minorHAnsi"/>
        </w:rPr>
        <w:t>Płatność należy przyjmować na podstawie jednostek obmiarowych według pkt 7.</w:t>
      </w:r>
    </w:p>
    <w:p w:rsidR="00464BA1" w:rsidRPr="003D2906" w:rsidRDefault="00464BA1" w:rsidP="00464BA1">
      <w:pPr>
        <w:numPr>
          <w:ilvl w:val="12"/>
          <w:numId w:val="0"/>
        </w:numPr>
        <w:tabs>
          <w:tab w:val="left" w:pos="0"/>
          <w:tab w:val="left" w:pos="9914"/>
        </w:tabs>
        <w:rPr>
          <w:rFonts w:asciiTheme="minorHAnsi" w:hAnsiTheme="minorHAnsi"/>
        </w:rPr>
      </w:pPr>
      <w:r w:rsidRPr="003D2906">
        <w:rPr>
          <w:rFonts w:asciiTheme="minorHAnsi" w:hAnsiTheme="minorHAnsi"/>
        </w:rPr>
        <w:t>Cena wykonania robót obejmuje:</w:t>
      </w:r>
    </w:p>
    <w:p w:rsidR="00464BA1" w:rsidRPr="003D2906" w:rsidRDefault="00464BA1" w:rsidP="00464BA1">
      <w:pPr>
        <w:numPr>
          <w:ilvl w:val="0"/>
          <w:numId w:val="38"/>
        </w:numPr>
        <w:tabs>
          <w:tab w:val="left" w:pos="0"/>
          <w:tab w:val="left" w:pos="9914"/>
        </w:tabs>
        <w:ind w:left="0" w:firstLine="0"/>
        <w:rPr>
          <w:rFonts w:asciiTheme="minorHAnsi" w:hAnsiTheme="minorHAnsi"/>
        </w:rPr>
      </w:pPr>
      <w:r w:rsidRPr="003D2906">
        <w:rPr>
          <w:rFonts w:asciiTheme="minorHAnsi" w:hAnsiTheme="minorHAnsi"/>
        </w:rPr>
        <w:t>wycięcie i wykarczowanie lub wyfrezowanie drzew i krzaków,</w:t>
      </w:r>
    </w:p>
    <w:p w:rsidR="00464BA1" w:rsidRPr="003D2906" w:rsidRDefault="00464BA1" w:rsidP="00464BA1">
      <w:pPr>
        <w:numPr>
          <w:ilvl w:val="0"/>
          <w:numId w:val="38"/>
        </w:numPr>
        <w:tabs>
          <w:tab w:val="left" w:pos="0"/>
          <w:tab w:val="left" w:pos="9914"/>
        </w:tabs>
        <w:ind w:left="0" w:firstLine="0"/>
        <w:rPr>
          <w:rFonts w:asciiTheme="minorHAnsi" w:hAnsiTheme="minorHAnsi"/>
        </w:rPr>
      </w:pPr>
      <w:r w:rsidRPr="003D2906">
        <w:rPr>
          <w:rFonts w:asciiTheme="minorHAnsi" w:hAnsiTheme="minorHAnsi"/>
        </w:rPr>
        <w:t xml:space="preserve">wywiezienie pni, karpiny i gałęzi poza teren budowy wraz z kosztami utylizacji lub przerobienie gałęzi na korę drzewną, </w:t>
      </w:r>
    </w:p>
    <w:p w:rsidR="00464BA1" w:rsidRPr="003D2906" w:rsidRDefault="00464BA1" w:rsidP="00464BA1">
      <w:pPr>
        <w:numPr>
          <w:ilvl w:val="0"/>
          <w:numId w:val="38"/>
        </w:numPr>
        <w:tabs>
          <w:tab w:val="left" w:pos="0"/>
          <w:tab w:val="left" w:pos="9914"/>
        </w:tabs>
        <w:ind w:left="0" w:firstLine="0"/>
        <w:rPr>
          <w:rFonts w:asciiTheme="minorHAnsi" w:hAnsiTheme="minorHAnsi"/>
        </w:rPr>
      </w:pPr>
      <w:r w:rsidRPr="003D2906">
        <w:rPr>
          <w:rFonts w:asciiTheme="minorHAnsi" w:hAnsiTheme="minorHAnsi"/>
        </w:rPr>
        <w:t>zasypanie dołów,</w:t>
      </w:r>
    </w:p>
    <w:p w:rsidR="00464BA1" w:rsidRPr="003D2906" w:rsidRDefault="00464BA1" w:rsidP="00464BA1">
      <w:pPr>
        <w:numPr>
          <w:ilvl w:val="0"/>
          <w:numId w:val="38"/>
        </w:numPr>
        <w:tabs>
          <w:tab w:val="left" w:pos="0"/>
          <w:tab w:val="left" w:pos="9914"/>
        </w:tabs>
        <w:ind w:left="0" w:firstLine="0"/>
        <w:rPr>
          <w:rFonts w:asciiTheme="minorHAnsi" w:hAnsiTheme="minorHAnsi"/>
        </w:rPr>
      </w:pPr>
      <w:r w:rsidRPr="003D2906">
        <w:rPr>
          <w:rFonts w:asciiTheme="minorHAnsi" w:hAnsiTheme="minorHAnsi"/>
        </w:rPr>
        <w:t>uporządkowanie miejsca prowadzonych robót.</w:t>
      </w:r>
    </w:p>
    <w:p w:rsidR="00656AC1" w:rsidRPr="003D2906" w:rsidRDefault="00656AC1" w:rsidP="005F7B4E">
      <w:pPr>
        <w:tabs>
          <w:tab w:val="left" w:pos="0"/>
          <w:tab w:val="left" w:pos="9914"/>
        </w:tabs>
        <w:rPr>
          <w:rFonts w:ascii="Calibri" w:hAnsi="Calibri" w:cs="Calibri"/>
        </w:rPr>
      </w:pPr>
    </w:p>
    <w:p w:rsidR="00656AC1" w:rsidRPr="003D2906" w:rsidRDefault="00656AC1" w:rsidP="003D2906">
      <w:pPr>
        <w:pStyle w:val="Nagwek3"/>
        <w:tabs>
          <w:tab w:val="left" w:pos="9914"/>
        </w:tabs>
        <w:rPr>
          <w:rFonts w:ascii="Calibri" w:hAnsi="Calibri" w:cs="Calibri"/>
        </w:rPr>
      </w:pPr>
      <w:r w:rsidRPr="003D2906">
        <w:rPr>
          <w:rFonts w:ascii="Calibri" w:hAnsi="Calibri" w:cs="Calibri"/>
        </w:rPr>
        <w:t>10. przepisy związane</w:t>
      </w:r>
    </w:p>
    <w:p w:rsidR="00656AC1" w:rsidRPr="003D2906" w:rsidRDefault="00656AC1" w:rsidP="003D2906">
      <w:pPr>
        <w:numPr>
          <w:ilvl w:val="12"/>
          <w:numId w:val="0"/>
        </w:numPr>
        <w:tabs>
          <w:tab w:val="left" w:pos="9914"/>
        </w:tabs>
        <w:rPr>
          <w:rFonts w:ascii="Calibri" w:hAnsi="Calibri" w:cs="Calibri"/>
        </w:rPr>
      </w:pPr>
      <w:r w:rsidRPr="003D2906">
        <w:rPr>
          <w:rFonts w:ascii="Calibri" w:hAnsi="Calibri" w:cs="Calibri"/>
        </w:rPr>
        <w:t>Nie występują.</w:t>
      </w:r>
    </w:p>
    <w:p w:rsidR="00656AC1" w:rsidRPr="00203191" w:rsidRDefault="00656AC1" w:rsidP="00364E4D">
      <w:pPr>
        <w:pStyle w:val="Standardowytekst"/>
        <w:jc w:val="center"/>
        <w:rPr>
          <w:rFonts w:ascii="Calibri" w:hAnsi="Calibri" w:cs="Calibri"/>
          <w:b/>
          <w:bCs/>
          <w:sz w:val="28"/>
          <w:szCs w:val="28"/>
        </w:rPr>
      </w:pPr>
    </w:p>
    <w:p w:rsidR="00656AC1" w:rsidRPr="00203191" w:rsidRDefault="00656AC1" w:rsidP="00364E4D">
      <w:pPr>
        <w:pStyle w:val="Standardowytekst"/>
        <w:jc w:val="center"/>
        <w:rPr>
          <w:rFonts w:ascii="Calibri" w:hAnsi="Calibri" w:cs="Calibri"/>
          <w:b/>
          <w:bCs/>
          <w:sz w:val="28"/>
          <w:szCs w:val="28"/>
        </w:rPr>
      </w:pPr>
    </w:p>
    <w:p w:rsidR="00656AC1" w:rsidRPr="00203191" w:rsidRDefault="00656AC1" w:rsidP="00364E4D">
      <w:pPr>
        <w:pStyle w:val="Standardowytekst"/>
        <w:jc w:val="center"/>
        <w:rPr>
          <w:rFonts w:ascii="Calibri" w:hAnsi="Calibri" w:cs="Calibri"/>
          <w:b/>
          <w:bCs/>
          <w:sz w:val="28"/>
          <w:szCs w:val="28"/>
        </w:rPr>
      </w:pPr>
    </w:p>
    <w:p w:rsidR="00656AC1" w:rsidRPr="00203191" w:rsidRDefault="00656AC1" w:rsidP="00364E4D">
      <w:pPr>
        <w:pStyle w:val="Standardowytekst"/>
        <w:jc w:val="center"/>
        <w:rPr>
          <w:rFonts w:ascii="Calibri" w:hAnsi="Calibri" w:cs="Calibri"/>
          <w:b/>
          <w:bCs/>
          <w:sz w:val="28"/>
          <w:szCs w:val="28"/>
        </w:rPr>
      </w:pPr>
    </w:p>
    <w:p w:rsidR="00656AC1" w:rsidRPr="00203191" w:rsidRDefault="00656AC1" w:rsidP="00364E4D">
      <w:pPr>
        <w:pStyle w:val="Standardowytekst"/>
        <w:jc w:val="center"/>
        <w:rPr>
          <w:rFonts w:ascii="Calibri" w:hAnsi="Calibri" w:cs="Calibri"/>
          <w:b/>
          <w:bCs/>
          <w:sz w:val="28"/>
          <w:szCs w:val="28"/>
        </w:rPr>
      </w:pPr>
    </w:p>
    <w:p w:rsidR="00656AC1" w:rsidRPr="00203191" w:rsidRDefault="00656AC1" w:rsidP="00364E4D">
      <w:pPr>
        <w:pStyle w:val="Standardowytekst"/>
        <w:jc w:val="center"/>
        <w:rPr>
          <w:rFonts w:ascii="Calibri" w:hAnsi="Calibri" w:cs="Calibri"/>
          <w:b/>
          <w:bCs/>
          <w:sz w:val="28"/>
          <w:szCs w:val="28"/>
        </w:rPr>
      </w:pPr>
    </w:p>
    <w:p w:rsidR="00656AC1" w:rsidRPr="00203191" w:rsidRDefault="00656AC1" w:rsidP="00364E4D">
      <w:pPr>
        <w:pStyle w:val="Standardowytekst"/>
        <w:jc w:val="center"/>
        <w:rPr>
          <w:rFonts w:ascii="Calibri" w:hAnsi="Calibri" w:cs="Calibri"/>
          <w:b/>
          <w:bCs/>
          <w:sz w:val="28"/>
          <w:szCs w:val="28"/>
        </w:rPr>
      </w:pPr>
    </w:p>
    <w:p w:rsidR="00656AC1" w:rsidRPr="003D2906" w:rsidRDefault="005B48CA" w:rsidP="005F7B4E">
      <w:pPr>
        <w:pStyle w:val="Nagwek2"/>
      </w:pPr>
      <w:r w:rsidRPr="005B48CA">
        <w:lastRenderedPageBreak/>
        <w:t>SPECYFIKACJE TECHNICZNE</w:t>
      </w:r>
      <w:r w:rsidR="00E22F37">
        <w:t xml:space="preserve"> WYKONANIA I ODBIORU ROBÓT BUDOWLANYCH</w:t>
      </w:r>
    </w:p>
    <w:p w:rsidR="00656AC1" w:rsidRPr="005F7B4E" w:rsidRDefault="00656AC1" w:rsidP="005F7B4E">
      <w:pPr>
        <w:pStyle w:val="Nagwek1"/>
      </w:pPr>
      <w:bookmarkStart w:id="51" w:name="_Toc352837479"/>
      <w:bookmarkStart w:id="52" w:name="_Toc427178263"/>
      <w:bookmarkStart w:id="53" w:name="_Toc459929661"/>
      <w:r w:rsidRPr="005F7B4E">
        <w:t>D-01.02.02</w:t>
      </w:r>
      <w:bookmarkStart w:id="54" w:name="_Toc279993375"/>
      <w:r w:rsidRPr="005F7B4E">
        <w:t xml:space="preserve"> ZDJĘCIE  WARSTWY  HUMUSU  I/LUB  DARNINY</w:t>
      </w:r>
      <w:bookmarkEnd w:id="51"/>
      <w:bookmarkEnd w:id="52"/>
      <w:bookmarkEnd w:id="53"/>
      <w:bookmarkEnd w:id="54"/>
    </w:p>
    <w:p w:rsidR="00656AC1" w:rsidRPr="00203191" w:rsidRDefault="00656AC1" w:rsidP="00364E4D">
      <w:pPr>
        <w:pStyle w:val="Nagwek3"/>
        <w:rPr>
          <w:rFonts w:ascii="Calibri" w:hAnsi="Calibri" w:cs="Calibri"/>
        </w:rPr>
      </w:pPr>
      <w:r w:rsidRPr="00203191">
        <w:rPr>
          <w:rFonts w:ascii="Calibri" w:hAnsi="Calibri" w:cs="Calibri"/>
        </w:rPr>
        <w:t>1. WSTĘP</w:t>
      </w:r>
    </w:p>
    <w:p w:rsidR="00656AC1" w:rsidRPr="00203191" w:rsidRDefault="00656AC1" w:rsidP="00364E4D">
      <w:pPr>
        <w:pStyle w:val="Nagwek4"/>
        <w:rPr>
          <w:rFonts w:ascii="Calibri" w:hAnsi="Calibri" w:cs="Calibri"/>
        </w:rPr>
      </w:pPr>
      <w:r w:rsidRPr="00203191">
        <w:rPr>
          <w:rFonts w:ascii="Calibri" w:hAnsi="Calibri" w:cs="Calibri"/>
        </w:rPr>
        <w:t xml:space="preserve">1.1. Przedmiot </w:t>
      </w:r>
      <w:r w:rsidR="005B48CA">
        <w:rPr>
          <w:rFonts w:ascii="Calibri" w:hAnsi="Calibri" w:cs="Calibri"/>
        </w:rPr>
        <w:t>STWiORB</w:t>
      </w:r>
    </w:p>
    <w:p w:rsidR="00656AC1" w:rsidRPr="00203191" w:rsidRDefault="00656AC1" w:rsidP="00364E4D">
      <w:pPr>
        <w:tabs>
          <w:tab w:val="left" w:pos="0"/>
        </w:tabs>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są wymagania dotyczące wykonania i odbioru robót związanych ze zdjęciem warstwy humusu i/lub darniny.</w:t>
      </w:r>
    </w:p>
    <w:p w:rsidR="00656AC1" w:rsidRPr="00203191" w:rsidRDefault="00656AC1" w:rsidP="00364E4D">
      <w:pPr>
        <w:pStyle w:val="Nagwek4"/>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0949D2">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ze zdjęciem warstwy humusu i/lub darniny, wykonywanych w ramach robót przygotowawczych.</w:t>
      </w:r>
    </w:p>
    <w:p w:rsidR="00656AC1" w:rsidRPr="00203191" w:rsidRDefault="00656AC1" w:rsidP="00364E4D">
      <w:pPr>
        <w:pStyle w:val="Nagwek4"/>
        <w:rPr>
          <w:rFonts w:ascii="Calibri" w:hAnsi="Calibri" w:cs="Calibri"/>
        </w:rPr>
      </w:pPr>
      <w:r w:rsidRPr="00203191">
        <w:rPr>
          <w:rFonts w:ascii="Calibri" w:hAnsi="Calibri" w:cs="Calibri"/>
        </w:rPr>
        <w:t>1.4. Określenia podstawowe</w:t>
      </w:r>
    </w:p>
    <w:p w:rsidR="00656AC1" w:rsidRPr="00203191" w:rsidRDefault="00656AC1" w:rsidP="00364E4D">
      <w:pPr>
        <w:tabs>
          <w:tab w:val="left" w:pos="0"/>
        </w:tabs>
        <w:rPr>
          <w:rFonts w:ascii="Calibri" w:hAnsi="Calibri" w:cs="Calibri"/>
        </w:rPr>
      </w:pPr>
      <w:r w:rsidRPr="00203191">
        <w:rPr>
          <w:rFonts w:ascii="Calibri" w:hAnsi="Calibri" w:cs="Calibri"/>
        </w:rPr>
        <w:t xml:space="preserve">Stosowane określenia podstawowe są zgodne z obowiązującymi, odpowiednimi polskimi normami oraz z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203191" w:rsidRDefault="00656AC1" w:rsidP="00364E4D">
      <w:pPr>
        <w:pStyle w:val="Nagwek4"/>
        <w:rPr>
          <w:rFonts w:ascii="Calibri" w:hAnsi="Calibri" w:cs="Calibri"/>
        </w:rPr>
      </w:pPr>
      <w:r w:rsidRPr="00203191">
        <w:rPr>
          <w:rFonts w:ascii="Calibri" w:hAnsi="Calibri" w:cs="Calibri"/>
        </w:rPr>
        <w:t>1.5. Ogólne wymagania dotyczące robót</w:t>
      </w:r>
    </w:p>
    <w:p w:rsidR="00656AC1" w:rsidRPr="00203191" w:rsidRDefault="00656AC1" w:rsidP="00364E4D">
      <w:pPr>
        <w:tabs>
          <w:tab w:val="left" w:pos="0"/>
        </w:tabs>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364E4D">
      <w:pPr>
        <w:pStyle w:val="Nagwek3"/>
        <w:rPr>
          <w:rFonts w:ascii="Calibri" w:hAnsi="Calibri" w:cs="Calibri"/>
        </w:rPr>
      </w:pPr>
      <w:r w:rsidRPr="00203191">
        <w:rPr>
          <w:rFonts w:ascii="Calibri" w:hAnsi="Calibri" w:cs="Calibri"/>
        </w:rPr>
        <w:t xml:space="preserve">2. </w:t>
      </w:r>
      <w:r w:rsidR="00A95FEE">
        <w:rPr>
          <w:rFonts w:ascii="Calibri" w:hAnsi="Calibri" w:cs="Calibri"/>
        </w:rPr>
        <w:t>WYROBY BUDOWLANE</w:t>
      </w:r>
    </w:p>
    <w:p w:rsidR="00656AC1" w:rsidRPr="00203191" w:rsidRDefault="00656AC1" w:rsidP="00364E4D">
      <w:pPr>
        <w:tabs>
          <w:tab w:val="left" w:pos="0"/>
        </w:tabs>
        <w:rPr>
          <w:rFonts w:ascii="Calibri" w:hAnsi="Calibri" w:cs="Calibri"/>
        </w:rPr>
      </w:pPr>
      <w:r w:rsidRPr="00203191">
        <w:rPr>
          <w:rFonts w:ascii="Calibri" w:hAnsi="Calibri" w:cs="Calibri"/>
        </w:rPr>
        <w:t>Nie występują.</w:t>
      </w:r>
    </w:p>
    <w:p w:rsidR="00656AC1" w:rsidRPr="00203191" w:rsidRDefault="00656AC1" w:rsidP="00364E4D">
      <w:pPr>
        <w:pStyle w:val="Nagwek3"/>
        <w:rPr>
          <w:rFonts w:ascii="Calibri" w:hAnsi="Calibri" w:cs="Calibri"/>
        </w:rPr>
      </w:pPr>
      <w:r w:rsidRPr="00203191">
        <w:rPr>
          <w:rFonts w:ascii="Calibri" w:hAnsi="Calibri" w:cs="Calibri"/>
        </w:rPr>
        <w:t>3. SPRZĘT</w:t>
      </w:r>
    </w:p>
    <w:p w:rsidR="00656AC1" w:rsidRPr="00203191" w:rsidRDefault="00656AC1" w:rsidP="00364E4D">
      <w:pPr>
        <w:pStyle w:val="Nagwek4"/>
        <w:rPr>
          <w:rFonts w:ascii="Calibri" w:hAnsi="Calibri" w:cs="Calibri"/>
        </w:rPr>
      </w:pPr>
      <w:r w:rsidRPr="00203191">
        <w:rPr>
          <w:rFonts w:ascii="Calibri" w:hAnsi="Calibri" w:cs="Calibri"/>
        </w:rPr>
        <w:t>3.1. Ogólne wymagania dotyczące sprzętu</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rPr>
          <w:rFonts w:ascii="Calibri" w:hAnsi="Calibri" w:cs="Calibri"/>
        </w:rPr>
      </w:pPr>
      <w:r w:rsidRPr="00203191">
        <w:rPr>
          <w:rFonts w:ascii="Calibri" w:hAnsi="Calibri" w:cs="Calibri"/>
        </w:rPr>
        <w:t>3.2. Sprzęt do zdjęcia humusu i/lub darniny</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Do wykonania robót związanych ze zdjęciem warstwy humusu lub/i darniny nie nadającej się do powtórnego użycia należy stosować:</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równiarki,</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spycharki,</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koparki</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łopaty, szpadle i inny sprzęt do ręcznego wykonywania robót ziemnych - w miejscach, gdzie prawidłowe wykonanie robót sprzętem zmechanizowanym nie jest możliwe,</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koparki i samochody samowyładowcze - w przypadku transportu na odległość wymagającą zastosowania takiego sprzętu.</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Do wykonania robót związanych ze zdjęciem warstwy darniny nadającej się do powtórnego użycia, należy stosować:</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noże do cięcia darniny według zasad określonych w p. 5.3,</w:t>
      </w:r>
    </w:p>
    <w:p w:rsidR="00656AC1" w:rsidRPr="00203191" w:rsidRDefault="00656AC1" w:rsidP="00954A11">
      <w:pPr>
        <w:numPr>
          <w:ilvl w:val="0"/>
          <w:numId w:val="19"/>
        </w:numPr>
        <w:tabs>
          <w:tab w:val="left" w:pos="283"/>
          <w:tab w:val="left" w:pos="426"/>
          <w:tab w:val="right" w:leader="dot" w:pos="8505"/>
        </w:tabs>
        <w:suppressAutoHyphens/>
        <w:autoSpaceDN/>
        <w:adjustRightInd/>
        <w:rPr>
          <w:rFonts w:ascii="Calibri" w:hAnsi="Calibri" w:cs="Calibri"/>
        </w:rPr>
      </w:pPr>
      <w:r w:rsidRPr="00203191">
        <w:rPr>
          <w:rFonts w:ascii="Calibri" w:hAnsi="Calibri" w:cs="Calibri"/>
        </w:rPr>
        <w:t>łopaty i szpadle.</w:t>
      </w:r>
    </w:p>
    <w:p w:rsidR="00656AC1" w:rsidRPr="00203191" w:rsidRDefault="00656AC1" w:rsidP="00364E4D">
      <w:pPr>
        <w:pStyle w:val="Nagwek3"/>
        <w:rPr>
          <w:rFonts w:ascii="Calibri" w:hAnsi="Calibri" w:cs="Calibri"/>
        </w:rPr>
      </w:pPr>
      <w:r w:rsidRPr="00203191">
        <w:rPr>
          <w:rFonts w:ascii="Calibri" w:hAnsi="Calibri" w:cs="Calibri"/>
        </w:rPr>
        <w:lastRenderedPageBreak/>
        <w:t>4. TRANSPORT</w:t>
      </w:r>
    </w:p>
    <w:p w:rsidR="00656AC1" w:rsidRPr="00203191" w:rsidRDefault="00656AC1" w:rsidP="00364E4D">
      <w:pPr>
        <w:pStyle w:val="Nagwek4"/>
        <w:rPr>
          <w:rFonts w:ascii="Calibri" w:hAnsi="Calibri" w:cs="Calibri"/>
        </w:rPr>
      </w:pPr>
      <w:r w:rsidRPr="00203191">
        <w:rPr>
          <w:rFonts w:ascii="Calibri" w:hAnsi="Calibri" w:cs="Calibri"/>
        </w:rPr>
        <w:t>4.1. Ogólne wymagania dotyczące transportu</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rPr>
          <w:rFonts w:ascii="Calibri" w:hAnsi="Calibri" w:cs="Calibri"/>
        </w:rPr>
      </w:pPr>
      <w:r w:rsidRPr="00203191">
        <w:rPr>
          <w:rFonts w:ascii="Calibri" w:hAnsi="Calibri" w:cs="Calibri"/>
        </w:rPr>
        <w:t>4.2. Transport humusu i darniny</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Humus należy przemieszczać z zastosowaniem równiarek lub spycharek albo przewozić transportem samochodowym. Wybór środka transportu zależy od odległości, warunków lokalnych i przeznaczenia humusu.</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Darninę należy przewozić transportem samochodowym. W przypadku darniny przeznaczonej do powtórnego zastosowania, powinna ona być transportowana w sposób nie powodujący uszkodzeń.</w:t>
      </w:r>
    </w:p>
    <w:p w:rsidR="00656AC1" w:rsidRPr="00203191" w:rsidRDefault="00656AC1" w:rsidP="00364E4D">
      <w:pPr>
        <w:pStyle w:val="Nagwek3"/>
        <w:rPr>
          <w:rFonts w:ascii="Calibri" w:hAnsi="Calibri" w:cs="Calibri"/>
        </w:rPr>
      </w:pPr>
      <w:r w:rsidRPr="00203191">
        <w:rPr>
          <w:rFonts w:ascii="Calibri" w:hAnsi="Calibri" w:cs="Calibri"/>
        </w:rPr>
        <w:t>5. WYKONANIE ROBÓT</w:t>
      </w:r>
    </w:p>
    <w:p w:rsidR="00656AC1" w:rsidRPr="00203191" w:rsidRDefault="00656AC1" w:rsidP="00364E4D">
      <w:pPr>
        <w:pStyle w:val="Nagwek4"/>
        <w:rPr>
          <w:rFonts w:ascii="Calibri" w:hAnsi="Calibri" w:cs="Calibri"/>
        </w:rPr>
      </w:pPr>
      <w:r w:rsidRPr="00203191">
        <w:rPr>
          <w:rFonts w:ascii="Calibri" w:hAnsi="Calibri" w:cs="Calibri"/>
        </w:rPr>
        <w:t>5.1. Ogólne zasady wykonania robót</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Teren pod budowę drogi w pasie robót ziemnych, powinien być oczyszczony z humusu i/lub darniny.</w:t>
      </w:r>
    </w:p>
    <w:p w:rsidR="00656AC1" w:rsidRPr="00203191" w:rsidRDefault="00656AC1" w:rsidP="00364E4D">
      <w:pPr>
        <w:pStyle w:val="Nagwek4"/>
        <w:rPr>
          <w:rFonts w:ascii="Calibri" w:hAnsi="Calibri" w:cs="Calibri"/>
        </w:rPr>
      </w:pPr>
      <w:r w:rsidRPr="00203191">
        <w:rPr>
          <w:rFonts w:ascii="Calibri" w:hAnsi="Calibri" w:cs="Calibri"/>
        </w:rPr>
        <w:t>5.2. Zdjęcie warstwy humusu</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Warstwa humusu powinna być zdjęta z przeznaczeniem do późniejszego użycia przy umacnianiu skarp, zakładaniu trawników, sadzeniu drzew i krzewów oraz do innych czynności określonych w dokumentacji projektowej. Zagospodarowanie nadmiaru humusu powinno być wykonane zgodnie z ustaleniami dokumentacji projektowej lub wskazaniami Inżyniera.</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Humus należy zdejmować mechanicznie z zastosowaniem równiarek, spycharek bądź koparek. W wyjątkowych sytuacjach, gdy zastosowanie maszyn nie jest wystarczające dla prawidłowego wykonania robót, względnie może stanowić zagrożenie dla bezpieczeństwa robót (zmienna grubość warstwy humusu, sąsiedztwo budowli), należy dodatkowo stosować ręczne wykonanie robót, jako uzupełnienie prac wykonywanych  mechanicznie.</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Warstwę humusu należy zdjąć z powierzchni całego pasa robót ziemnych oraz w innych miejscach określonych w dokumentacji projektowej lub wskazanych przez Inżyniera.</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Grubość zdejmowanej warstwy humusu (zależna od głębokości jego zalegania, wysokości nasypu, potrzeb jego wykorzystania na budowie itp.) powinna być zgodna z ustaleniami dokumentacji projektowej, lub wskazana przez Inżyniera, według faktycznego stanu występowania.</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rsidR="00656AC1" w:rsidRPr="00203191" w:rsidRDefault="00656AC1" w:rsidP="00364E4D">
      <w:pPr>
        <w:pStyle w:val="Nagwek4"/>
        <w:rPr>
          <w:rFonts w:ascii="Calibri" w:hAnsi="Calibri" w:cs="Calibri"/>
        </w:rPr>
      </w:pPr>
      <w:r w:rsidRPr="00203191">
        <w:rPr>
          <w:rFonts w:ascii="Calibri" w:hAnsi="Calibri" w:cs="Calibri"/>
        </w:rPr>
        <w:t>5.3. Zdjęcie darniny</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Jeżeli powierzchnia terenu w obrębie pasa przeznaczonego pod budowę trasy drogowej jest pokryta darniną przeznaczoną do umocnienia skarp, darninę należy zdjąć w sposób, który nie spowoduje jej uszkodzeń i przechowywać w odpowiednich warunkach do czasu wykorzystania.</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Wysokie trawy powinny być skoszone przed zdjęciem darniny. Darninę należy ciąć w regularne, prostokątne pasy o szerokości około 0,30 metra lub w kwadraty o długości boku około 0,30 metra. Grubość darniny powinna wynosić od 0,05 do 0,10 metra.</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Należy dążyć do jak najszybszego użycia pozyskanej darniny. Jeżeli darnina przed powtórnym wykorzystaniem musi być składowana, to zaleca się jej rozłożenie na gruncie rodzimym. Jeżeli brak miejsca na takie rozłożenie darniny, to należy ją magazynować w regularnych pryzmach. W porze rozwoju roślin darninę należy składować w warstwach trawą do dołu. W pozostałym okresie darninę należy składować warstwami na przemian trawą do góry i trawą do dołu. Czas składowania darniny przed wbudowaniem nie powinien przekraczać 4 tygodni.</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Darninę nie nadającą się do powtórnego wykorzystania należy usunąć mechanicznie, z zastosowaniem równiarek, spycharek lub koparek i przewieźć na miejsce wskazane w </w:t>
      </w:r>
      <w:r w:rsidR="005B48CA">
        <w:rPr>
          <w:rFonts w:ascii="Calibri" w:hAnsi="Calibri" w:cs="Calibri"/>
        </w:rPr>
        <w:t>STWiORB</w:t>
      </w:r>
      <w:r w:rsidRPr="00203191">
        <w:rPr>
          <w:rFonts w:ascii="Calibri" w:hAnsi="Calibri" w:cs="Calibri"/>
        </w:rPr>
        <w:t xml:space="preserve"> lub przez Inżyniera.</w:t>
      </w:r>
    </w:p>
    <w:p w:rsidR="00656AC1" w:rsidRPr="00203191" w:rsidRDefault="00656AC1" w:rsidP="00364E4D">
      <w:pPr>
        <w:pStyle w:val="Nagwek3"/>
        <w:rPr>
          <w:rFonts w:ascii="Calibri" w:hAnsi="Calibri" w:cs="Calibri"/>
        </w:rPr>
      </w:pPr>
      <w:r w:rsidRPr="00203191">
        <w:rPr>
          <w:rFonts w:ascii="Calibri" w:hAnsi="Calibri" w:cs="Calibri"/>
        </w:rPr>
        <w:lastRenderedPageBreak/>
        <w:t>6. KONTROLA JAKOŚCI ROBÓT</w:t>
      </w:r>
    </w:p>
    <w:p w:rsidR="00656AC1" w:rsidRPr="00203191" w:rsidRDefault="00656AC1" w:rsidP="00364E4D">
      <w:pPr>
        <w:pStyle w:val="Nagwek4"/>
        <w:rPr>
          <w:rFonts w:ascii="Calibri" w:hAnsi="Calibri" w:cs="Calibri"/>
        </w:rPr>
      </w:pPr>
      <w:r w:rsidRPr="00203191">
        <w:rPr>
          <w:rFonts w:ascii="Calibri" w:hAnsi="Calibri" w:cs="Calibri"/>
        </w:rPr>
        <w:t>6.1. Ogólne zasady kontroli jakości robót</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rPr>
          <w:rFonts w:ascii="Calibri" w:hAnsi="Calibri" w:cs="Calibri"/>
        </w:rPr>
      </w:pPr>
      <w:r w:rsidRPr="00203191">
        <w:rPr>
          <w:rFonts w:ascii="Calibri" w:hAnsi="Calibri" w:cs="Calibri"/>
        </w:rPr>
        <w:t>6.2. Kontrola usunięcia humusu lub/i darniny</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Sprawdzenie jakości robót polega na wizualnej ocenie kompletności usunięcia humusu lub/i darniny.</w:t>
      </w:r>
    </w:p>
    <w:p w:rsidR="00656AC1" w:rsidRPr="00203191" w:rsidRDefault="00656AC1" w:rsidP="00364E4D">
      <w:pPr>
        <w:tabs>
          <w:tab w:val="right" w:leader="dot" w:pos="-1985"/>
          <w:tab w:val="left" w:pos="426"/>
          <w:tab w:val="right" w:leader="dot" w:pos="8505"/>
        </w:tabs>
        <w:rPr>
          <w:rFonts w:ascii="Calibri" w:hAnsi="Calibri" w:cs="Calibri"/>
        </w:rPr>
      </w:pPr>
    </w:p>
    <w:p w:rsidR="00656AC1" w:rsidRPr="00203191" w:rsidRDefault="00656AC1" w:rsidP="00364E4D">
      <w:pPr>
        <w:pStyle w:val="Nagwek3"/>
        <w:rPr>
          <w:rFonts w:ascii="Calibri" w:hAnsi="Calibri" w:cs="Calibri"/>
        </w:rPr>
      </w:pPr>
      <w:r w:rsidRPr="00203191">
        <w:rPr>
          <w:rFonts w:ascii="Calibri" w:hAnsi="Calibri" w:cs="Calibri"/>
        </w:rPr>
        <w:t>7. OBMIAR ROBÓT</w:t>
      </w:r>
    </w:p>
    <w:p w:rsidR="00464BA1" w:rsidRPr="00203191" w:rsidRDefault="00464BA1" w:rsidP="00464BA1">
      <w:pPr>
        <w:pStyle w:val="Nagwek4"/>
        <w:rPr>
          <w:rFonts w:asciiTheme="minorHAnsi" w:hAnsiTheme="minorHAnsi"/>
        </w:rPr>
      </w:pPr>
      <w:r w:rsidRPr="00203191">
        <w:rPr>
          <w:rFonts w:asciiTheme="minorHAnsi" w:hAnsiTheme="minorHAnsi"/>
        </w:rPr>
        <w:t>7.1. Ogólne zasady obmiaru robót</w:t>
      </w:r>
    </w:p>
    <w:p w:rsidR="00464BA1" w:rsidRPr="00203191" w:rsidRDefault="00464BA1" w:rsidP="00464BA1">
      <w:pPr>
        <w:tabs>
          <w:tab w:val="right" w:leader="dot" w:pos="-1985"/>
          <w:tab w:val="left" w:pos="426"/>
          <w:tab w:val="right" w:leader="dot" w:pos="8505"/>
        </w:tabs>
        <w:rPr>
          <w:rFonts w:asciiTheme="minorHAnsi" w:hAnsiTheme="minorHAnsi"/>
        </w:rPr>
      </w:pPr>
      <w:r w:rsidRPr="00203191">
        <w:rPr>
          <w:rFonts w:asciiTheme="minorHAnsi" w:hAnsiTheme="minorHAnsi"/>
        </w:rPr>
        <w:t>Ogólne zasady obmiaru robót podano w STWiORB D-M-00.00.00 „Wymagania ogólne” pkt 7.</w:t>
      </w:r>
    </w:p>
    <w:p w:rsidR="00464BA1" w:rsidRPr="00203191" w:rsidRDefault="00464BA1" w:rsidP="00464BA1">
      <w:pPr>
        <w:pStyle w:val="Nagwek4"/>
        <w:rPr>
          <w:rFonts w:asciiTheme="minorHAnsi" w:hAnsiTheme="minorHAnsi"/>
        </w:rPr>
      </w:pPr>
      <w:r w:rsidRPr="00203191">
        <w:rPr>
          <w:rFonts w:asciiTheme="minorHAnsi" w:hAnsiTheme="minorHAnsi"/>
        </w:rPr>
        <w:t>7.2. Jednostka obmiarowa</w:t>
      </w:r>
    </w:p>
    <w:p w:rsidR="00464BA1" w:rsidRPr="00203191" w:rsidRDefault="00464BA1" w:rsidP="00464BA1">
      <w:pPr>
        <w:tabs>
          <w:tab w:val="right" w:leader="dot" w:pos="-1985"/>
          <w:tab w:val="left" w:pos="426"/>
          <w:tab w:val="right" w:leader="dot" w:pos="8505"/>
        </w:tabs>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2</w:t>
      </w:r>
      <w:r w:rsidRPr="00203191">
        <w:rPr>
          <w:rFonts w:asciiTheme="minorHAnsi" w:hAnsiTheme="minorHAnsi"/>
        </w:rPr>
        <w:t xml:space="preserve"> (metr kwadratowy) zdjętej warstwy humusu lub/i darniny.</w:t>
      </w:r>
    </w:p>
    <w:p w:rsidR="00656AC1" w:rsidRPr="00203191" w:rsidRDefault="00656AC1" w:rsidP="00364E4D">
      <w:pPr>
        <w:pStyle w:val="Nagwek3"/>
        <w:rPr>
          <w:rFonts w:ascii="Calibri" w:hAnsi="Calibri" w:cs="Calibri"/>
        </w:rPr>
      </w:pPr>
      <w:r w:rsidRPr="00203191">
        <w:rPr>
          <w:rFonts w:ascii="Calibri" w:hAnsi="Calibri" w:cs="Calibri"/>
        </w:rPr>
        <w:t>8. ODBIÓR ROBÓT</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364E4D">
      <w:pPr>
        <w:pStyle w:val="Nagwek3"/>
        <w:rPr>
          <w:rFonts w:ascii="Calibri" w:hAnsi="Calibri" w:cs="Calibri"/>
        </w:rPr>
      </w:pPr>
      <w:r w:rsidRPr="00203191">
        <w:rPr>
          <w:rFonts w:ascii="Calibri" w:hAnsi="Calibri" w:cs="Calibri"/>
        </w:rPr>
        <w:t>9. PODSTAWA PŁATNOŚCI</w:t>
      </w:r>
    </w:p>
    <w:p w:rsidR="00464BA1" w:rsidRPr="00203191" w:rsidRDefault="00464BA1" w:rsidP="00464BA1">
      <w:pPr>
        <w:pStyle w:val="Nagwek4"/>
        <w:rPr>
          <w:rFonts w:asciiTheme="minorHAnsi" w:hAnsiTheme="minorHAnsi"/>
        </w:rPr>
      </w:pPr>
      <w:r w:rsidRPr="00203191">
        <w:rPr>
          <w:rFonts w:asciiTheme="minorHAnsi" w:hAnsiTheme="minorHAnsi"/>
        </w:rPr>
        <w:t>9.1. Ogólne ustalenia dotyczące podstawy płatności</w:t>
      </w:r>
    </w:p>
    <w:p w:rsidR="00464BA1" w:rsidRPr="00203191" w:rsidRDefault="00464BA1" w:rsidP="00464BA1">
      <w:pPr>
        <w:tabs>
          <w:tab w:val="right" w:leader="dot" w:pos="-1985"/>
          <w:tab w:val="left" w:pos="426"/>
          <w:tab w:val="right" w:leader="dot" w:pos="8505"/>
        </w:tabs>
        <w:rPr>
          <w:rFonts w:asciiTheme="minorHAnsi" w:hAnsiTheme="minorHAnsi"/>
        </w:rPr>
      </w:pPr>
      <w:r w:rsidRPr="00203191">
        <w:rPr>
          <w:rFonts w:asciiTheme="minorHAnsi" w:hAnsiTheme="minorHAnsi"/>
        </w:rPr>
        <w:t>Ogólne ustalenia dotyczą</w:t>
      </w:r>
      <w:r>
        <w:rPr>
          <w:rFonts w:asciiTheme="minorHAnsi" w:hAnsiTheme="minorHAnsi"/>
        </w:rPr>
        <w:t xml:space="preserve">ce podstawy płatności podano w </w:t>
      </w:r>
      <w:r w:rsidRPr="00203191">
        <w:rPr>
          <w:rFonts w:asciiTheme="minorHAnsi" w:hAnsiTheme="minorHAnsi"/>
        </w:rPr>
        <w:t>STWiORB D-M-00.00.00 „Wymagania ogólne” pkt 9.</w:t>
      </w:r>
    </w:p>
    <w:p w:rsidR="00464BA1" w:rsidRPr="00203191" w:rsidRDefault="00464BA1" w:rsidP="00464BA1">
      <w:pPr>
        <w:pStyle w:val="Nagwek4"/>
        <w:rPr>
          <w:rFonts w:asciiTheme="minorHAnsi" w:hAnsiTheme="minorHAnsi"/>
        </w:rPr>
      </w:pPr>
      <w:r w:rsidRPr="00203191">
        <w:rPr>
          <w:rFonts w:asciiTheme="minorHAnsi" w:hAnsiTheme="minorHAnsi"/>
        </w:rPr>
        <w:t>9.2. Cena jednostki obmiarowej</w:t>
      </w:r>
    </w:p>
    <w:p w:rsidR="00464BA1" w:rsidRPr="00203191" w:rsidRDefault="00464BA1" w:rsidP="00464BA1">
      <w:pPr>
        <w:tabs>
          <w:tab w:val="right" w:leader="dot" w:pos="-1985"/>
          <w:tab w:val="left" w:pos="426"/>
          <w:tab w:val="right" w:leader="dot" w:pos="8505"/>
        </w:tabs>
        <w:rPr>
          <w:rFonts w:asciiTheme="minorHAnsi" w:hAnsiTheme="minorHAnsi"/>
        </w:rPr>
      </w:pPr>
      <w:r w:rsidRPr="00203191">
        <w:rPr>
          <w:rFonts w:asciiTheme="minorHAnsi" w:hAnsiTheme="minorHAnsi"/>
        </w:rPr>
        <w:t>Cena 1 m</w:t>
      </w:r>
      <w:r w:rsidRPr="00203191">
        <w:rPr>
          <w:rFonts w:asciiTheme="minorHAnsi" w:hAnsiTheme="minorHAnsi"/>
          <w:vertAlign w:val="superscript"/>
        </w:rPr>
        <w:t>2</w:t>
      </w:r>
      <w:r w:rsidRPr="00203191">
        <w:rPr>
          <w:rFonts w:asciiTheme="minorHAnsi" w:hAnsiTheme="minorHAnsi"/>
        </w:rPr>
        <w:t xml:space="preserve"> wykonania robót obejmuje:</w:t>
      </w:r>
    </w:p>
    <w:p w:rsidR="00464BA1" w:rsidRPr="00203191" w:rsidRDefault="00464BA1" w:rsidP="00464BA1">
      <w:pPr>
        <w:numPr>
          <w:ilvl w:val="0"/>
          <w:numId w:val="19"/>
        </w:numPr>
        <w:tabs>
          <w:tab w:val="left" w:pos="283"/>
          <w:tab w:val="left" w:pos="426"/>
          <w:tab w:val="right" w:leader="dot" w:pos="8505"/>
        </w:tabs>
        <w:suppressAutoHyphens/>
        <w:autoSpaceDN/>
        <w:adjustRightInd/>
        <w:rPr>
          <w:rFonts w:asciiTheme="minorHAnsi" w:hAnsiTheme="minorHAnsi"/>
        </w:rPr>
      </w:pPr>
      <w:r w:rsidRPr="00203191">
        <w:rPr>
          <w:rFonts w:asciiTheme="minorHAnsi" w:hAnsiTheme="minorHAnsi"/>
        </w:rPr>
        <w:t>zdjęcie humusu wraz z hałdowaniem w pryzmy wzdłuż drogi lub odwiezieniem na odkład,</w:t>
      </w:r>
    </w:p>
    <w:p w:rsidR="00464BA1" w:rsidRPr="00203191" w:rsidRDefault="00464BA1" w:rsidP="00464BA1">
      <w:pPr>
        <w:numPr>
          <w:ilvl w:val="0"/>
          <w:numId w:val="19"/>
        </w:numPr>
        <w:tabs>
          <w:tab w:val="num" w:pos="0"/>
          <w:tab w:val="left" w:pos="283"/>
          <w:tab w:val="left" w:pos="426"/>
          <w:tab w:val="right" w:leader="dot" w:pos="8505"/>
        </w:tabs>
        <w:suppressAutoHyphens/>
        <w:autoSpaceDN/>
        <w:adjustRightInd/>
        <w:rPr>
          <w:rFonts w:asciiTheme="minorHAnsi" w:hAnsiTheme="minorHAnsi"/>
        </w:rPr>
      </w:pPr>
      <w:r w:rsidRPr="00203191">
        <w:rPr>
          <w:rFonts w:asciiTheme="minorHAnsi" w:hAnsiTheme="minorHAnsi"/>
        </w:rPr>
        <w:t>zdjęcie darniny z ewentualnym odwiezieniem i składowaniem jej w regularnych pryzmach.</w:t>
      </w:r>
    </w:p>
    <w:p w:rsidR="00656AC1" w:rsidRPr="00203191" w:rsidRDefault="00656AC1" w:rsidP="005F7B4E">
      <w:pPr>
        <w:tabs>
          <w:tab w:val="left" w:pos="426"/>
          <w:tab w:val="right" w:leader="dot" w:pos="8505"/>
        </w:tabs>
        <w:suppressAutoHyphens/>
        <w:autoSpaceDN/>
        <w:adjustRightInd/>
        <w:rPr>
          <w:rFonts w:ascii="Calibri" w:hAnsi="Calibri" w:cs="Calibri"/>
        </w:rPr>
      </w:pPr>
    </w:p>
    <w:p w:rsidR="00656AC1" w:rsidRPr="00203191" w:rsidRDefault="00656AC1" w:rsidP="00364E4D">
      <w:pPr>
        <w:pStyle w:val="Nagwek3"/>
        <w:rPr>
          <w:rFonts w:ascii="Calibri" w:hAnsi="Calibri" w:cs="Calibri"/>
        </w:rPr>
      </w:pPr>
      <w:r w:rsidRPr="00203191">
        <w:rPr>
          <w:rFonts w:ascii="Calibri" w:hAnsi="Calibri" w:cs="Calibri"/>
        </w:rPr>
        <w:t>10. przepisy związane</w:t>
      </w:r>
    </w:p>
    <w:p w:rsidR="00656AC1" w:rsidRPr="00203191" w:rsidRDefault="00656AC1" w:rsidP="00364E4D">
      <w:pPr>
        <w:rPr>
          <w:rFonts w:ascii="Calibri" w:hAnsi="Calibri" w:cs="Calibri"/>
        </w:rPr>
      </w:pPr>
      <w:r w:rsidRPr="00203191">
        <w:rPr>
          <w:rFonts w:ascii="Calibri" w:hAnsi="Calibri" w:cs="Calibri"/>
        </w:rPr>
        <w:t>Nie występują.</w:t>
      </w:r>
    </w:p>
    <w:p w:rsidR="00656AC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ab/>
      </w:r>
    </w:p>
    <w:p w:rsidR="000902B5" w:rsidRDefault="000902B5" w:rsidP="00364E4D">
      <w:pPr>
        <w:tabs>
          <w:tab w:val="right" w:leader="dot" w:pos="-1985"/>
          <w:tab w:val="left" w:pos="426"/>
          <w:tab w:val="right" w:leader="dot" w:pos="8505"/>
        </w:tabs>
        <w:rPr>
          <w:rFonts w:ascii="Calibri" w:hAnsi="Calibri" w:cs="Calibri"/>
        </w:rPr>
      </w:pPr>
    </w:p>
    <w:p w:rsidR="000902B5" w:rsidRPr="000902B5" w:rsidRDefault="000902B5" w:rsidP="000902B5">
      <w:pPr>
        <w:pStyle w:val="Nagwek2"/>
      </w:pPr>
      <w:r w:rsidRPr="000902B5">
        <w:lastRenderedPageBreak/>
        <w:t>SPECYFIKACJA TECHNICZNA WYKONANIA I ODBIORU ROBÓT BUDOWLANYCH</w:t>
      </w:r>
    </w:p>
    <w:p w:rsidR="000902B5" w:rsidRPr="000902B5" w:rsidRDefault="000902B5" w:rsidP="000902B5">
      <w:pPr>
        <w:pStyle w:val="Nagwek1"/>
      </w:pPr>
      <w:bookmarkStart w:id="55" w:name="_Toc358037991"/>
      <w:bookmarkStart w:id="56" w:name="_Toc459929662"/>
      <w:r w:rsidRPr="000902B5">
        <w:t>D-01.02.03 ROZBIÓRKA OBIEKTÓW BUDOWLANYCH</w:t>
      </w:r>
      <w:bookmarkEnd w:id="55"/>
      <w:bookmarkEnd w:id="56"/>
    </w:p>
    <w:p w:rsidR="000902B5" w:rsidRPr="000902B5" w:rsidRDefault="000902B5" w:rsidP="000902B5">
      <w:pPr>
        <w:pStyle w:val="Nagwek3"/>
      </w:pPr>
      <w:r w:rsidRPr="000902B5">
        <w:t>1. WSTĘP</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1.1.Przedmiot STWiORB</w:t>
      </w:r>
    </w:p>
    <w:p w:rsidR="000902B5" w:rsidRPr="00203191" w:rsidRDefault="000902B5" w:rsidP="000902B5">
      <w:pPr>
        <w:numPr>
          <w:ilvl w:val="12"/>
          <w:numId w:val="0"/>
        </w:numPr>
        <w:tabs>
          <w:tab w:val="left" w:pos="0"/>
          <w:tab w:val="left" w:pos="9914"/>
        </w:tabs>
        <w:rPr>
          <w:rFonts w:asciiTheme="minorHAnsi" w:hAnsiTheme="minorHAnsi"/>
        </w:rPr>
      </w:pPr>
      <w:r w:rsidRPr="00203191">
        <w:rPr>
          <w:rFonts w:asciiTheme="minorHAnsi" w:hAnsiTheme="minorHAnsi"/>
        </w:rPr>
        <w:t>Przedmiotem niniejszej specyfikacji technicznej wykonania i odbioru robót budowlanych (STWiORB) są wymagania dotyczące wykonania i odbioru robót związanych z rozbiórką obiektów budowlanych.</w:t>
      </w:r>
    </w:p>
    <w:p w:rsidR="000902B5" w:rsidRPr="00A71F89" w:rsidRDefault="000902B5" w:rsidP="000902B5">
      <w:pPr>
        <w:pStyle w:val="Nagwek4"/>
        <w:tabs>
          <w:tab w:val="left" w:pos="9914"/>
        </w:tabs>
        <w:rPr>
          <w:rFonts w:asciiTheme="minorHAnsi" w:hAnsiTheme="minorHAnsi"/>
        </w:rPr>
      </w:pPr>
      <w:r w:rsidRPr="00203191">
        <w:rPr>
          <w:rFonts w:asciiTheme="minorHAnsi" w:hAnsiTheme="minorHAnsi"/>
        </w:rPr>
        <w:t>1.2. Zakres stosowania STWiORB</w:t>
      </w:r>
    </w:p>
    <w:p w:rsidR="000902B5" w:rsidRPr="00A71F89" w:rsidRDefault="000902B5" w:rsidP="000902B5">
      <w:pPr>
        <w:pStyle w:val="Nagwek7"/>
        <w:tabs>
          <w:tab w:val="left" w:pos="9914"/>
        </w:tabs>
        <w:rPr>
          <w:rFonts w:asciiTheme="minorHAnsi" w:hAnsiTheme="minorHAnsi"/>
        </w:rPr>
      </w:pPr>
      <w:r>
        <w:rPr>
          <w:rFonts w:ascii="Calibri" w:hAnsi="Calibri" w:cs="Calibri"/>
        </w:rPr>
        <w:t xml:space="preserve">Specyfikacja techniczna stanowi </w:t>
      </w:r>
      <w:r w:rsidRPr="00203191">
        <w:rPr>
          <w:rFonts w:ascii="Calibri" w:hAnsi="Calibri" w:cs="Calibri"/>
        </w:rPr>
        <w:t xml:space="preserve">dokument przetargowy i kontraktowy przy realizacji  zadania </w:t>
      </w:r>
      <w:r>
        <w:rPr>
          <w:rFonts w:ascii="Calibri" w:hAnsi="Calibri" w:cs="Calibri"/>
        </w:rPr>
        <w:t>„</w:t>
      </w:r>
      <w:r w:rsidRPr="00F57D49">
        <w:rPr>
          <w:rFonts w:asciiTheme="minorHAnsi" w:hAnsiTheme="minorHAnsi"/>
        </w:rPr>
        <w:t>Budowa parkingu wraz z drogą manewrową przy ul. Armii Krajowej w Wałbrzychu zlokalizowanego na dz. nr ew. 113, 116/1, obr. 20 Stary Zdrój (przy budynkach mieszkalnych nr 46 i 54)"</w:t>
      </w:r>
    </w:p>
    <w:p w:rsidR="000902B5" w:rsidRPr="00A71F89" w:rsidRDefault="000902B5" w:rsidP="000902B5">
      <w:pPr>
        <w:pStyle w:val="Nagwek4"/>
        <w:tabs>
          <w:tab w:val="left" w:pos="9914"/>
        </w:tabs>
        <w:rPr>
          <w:rFonts w:asciiTheme="minorHAnsi" w:hAnsiTheme="minorHAnsi"/>
        </w:rPr>
      </w:pPr>
      <w:r w:rsidRPr="00A71F89">
        <w:rPr>
          <w:rFonts w:asciiTheme="minorHAnsi" w:hAnsiTheme="minorHAnsi"/>
        </w:rPr>
        <w:t>1.3. Zakres robót objętych STWiORB</w:t>
      </w:r>
    </w:p>
    <w:p w:rsidR="000902B5" w:rsidRPr="00203191" w:rsidRDefault="000902B5" w:rsidP="000902B5">
      <w:p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Ustalenia zawarte w niniejszej specyfikacji dotyczą zasad prowadzenia robót związanych z rozbiórką budowli kolidujących z projektowanym zakresem robót</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1.4. Określenia podstawowe</w:t>
      </w:r>
    </w:p>
    <w:p w:rsidR="000902B5" w:rsidRPr="00203191" w:rsidRDefault="000902B5" w:rsidP="000902B5">
      <w:pPr>
        <w:numPr>
          <w:ilvl w:val="12"/>
          <w:numId w:val="0"/>
        </w:numPr>
        <w:tabs>
          <w:tab w:val="left" w:pos="0"/>
          <w:tab w:val="left" w:pos="9914"/>
        </w:tabs>
        <w:rPr>
          <w:rFonts w:asciiTheme="minorHAnsi" w:hAnsiTheme="minorHAnsi"/>
        </w:rPr>
      </w:pPr>
      <w:r w:rsidRPr="00203191">
        <w:rPr>
          <w:rFonts w:asciiTheme="minorHAnsi" w:hAnsiTheme="minorHAnsi"/>
        </w:rPr>
        <w:t>Stosowane określenia podstawowe są zgodne z obowiązującymi, odpowiednimi polskimi normami oraz z definicjami podanymi w STWiORB D-M-00.00.00 „Wymagania ogólne” pkt 1.4.</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1.5. Ogólne wymagania dotyczące robót</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wymagania dotyczące robót podano w STWiORB D-M-00.00.00 „Wymagania ogólne” pkt 1.5.</w:t>
      </w:r>
    </w:p>
    <w:p w:rsidR="000902B5" w:rsidRPr="000902B5" w:rsidRDefault="000902B5" w:rsidP="000902B5">
      <w:pPr>
        <w:pStyle w:val="Nagwek3"/>
      </w:pPr>
      <w:r w:rsidRPr="000902B5">
        <w:t>2. MATERIAŁY</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2.1. Ogólne wymagania dotyczące materiałów</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wymagania dotyczące materiałów, ich pozyskiwania i składowania, podano w STWiORB D-M-00.00.00 „Wymagania ogólne” pkt 2.</w:t>
      </w:r>
    </w:p>
    <w:p w:rsidR="000902B5" w:rsidRPr="000902B5" w:rsidRDefault="000902B5" w:rsidP="000902B5">
      <w:pPr>
        <w:pStyle w:val="Nagwek3"/>
      </w:pPr>
      <w:r w:rsidRPr="000902B5">
        <w:t>3. SPRZĘT</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3.1. Ogólne wymagania dotyczące sprzętu</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wymagania dotyczące sprzętu podano w STWiORB D-M-00.00.00 „Wymagania ogólne” pkt 3.</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3.2. Sprzęt do wykonania robót związanych z rozbiórką obiektów</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Do wykonania robót związanych z rozbiórką obiektów budowlanych należy stosować:</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ładowarki,</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dźwigi,</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młoty pneumatyczne lub hydrauliczne,</w:t>
      </w:r>
    </w:p>
    <w:p w:rsidR="000902B5" w:rsidRPr="000902B5" w:rsidRDefault="000902B5" w:rsidP="000902B5">
      <w:pPr>
        <w:pStyle w:val="Nagwek3"/>
      </w:pPr>
      <w:r w:rsidRPr="000902B5">
        <w:t>4. TRANSPORT</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4.1. Ogólne wymagania dotyczące transportu</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wymagania dotyczące transportu podano w STWiORB D-M-00.00.00 „Wymagania ogólne” pkt 4.</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lastRenderedPageBreak/>
        <w:t>4.2. Transport materiałów z rozbiórki</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Materiał z rozbiórki można przewozić dowolnym środkiem transportu. Wybór środka transportu zależy od odległości i warunków lokalnych.</w:t>
      </w:r>
    </w:p>
    <w:p w:rsidR="000902B5" w:rsidRPr="000902B5" w:rsidRDefault="000902B5" w:rsidP="000902B5">
      <w:pPr>
        <w:pStyle w:val="Nagwek3"/>
      </w:pPr>
      <w:r w:rsidRPr="000902B5">
        <w:t>5. WYKONANIE ROBÓT</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5.1. Ogólne zasady wykonania robót</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zasady wykonania robót podano w STWiORB D-M-00.00.00 „Wymagania ogólne” pkt 5.</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5.2. Czynności wstępne</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Roboty rozbiórkowe obejmują usunięcie z terenu budowy wszystkich obiektów budowlanych, w stosunku do których zostało to przewidziane w dokumentacji projektowej.</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Obiekty znajdujące się w pasie robót drogowych, nie przeznaczone do usunięcia, powinny być przez Wykonawcę zabezpieczone przed uszkodzeniem. Jeżeli obiekty, które mają być zachowane, zostaną uszkodzone lub zniszczone przez Wykonawcę, to powinny one być odtworzone na koszt Wykonawcy, w sposób zaakceptowany przez Zamawiającego.</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5.3. Roboty rozbiórkowe</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Wszystkie obiekty przewidziane do rozbiórki, wykonane z elementów możliwych do powtórnego wykorzystania powinny być usuwane bez powodowania zbędnych uszkodzeń. O ile uzyskane elementy nie stają się własnością Wykonawcy, powinien on przewieźć je na miejsce wskazane przez Inżyniera/Kierownika projektu.</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Elementy i materiały, które stają się własnością Wykonawcy, powinny być usunięte z terenu budowy.</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Doły (wykopy) po usuniętych obiektach budowlanych lub ich elementach, znajdujące się w miejscach, gdzie zgodnie z dokumentacją projektową będą wykonywane wykopy drogowe, powinny być tymczasowo zabezpieczone. W szczególności należy zapobiec gromadzeniu się w nich wody opadowej.</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Doły, w miejscach gdzie nie przewiduje się wykonania wykopów drogowych, należy wypełnić warstwami, odpowiednim gruntem do poziomu otaczającego terenu i zagęścić zgodnie z wymaganiami określonymi w STWiORB D-02.03.01 „Nasypy”.</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Jeżeli obiekty budowlane przeznaczone do usunięcia stanowią elementy użytkowanego układu komunikacyjnego (mosty, estakady, tunele itp.) Wykonawca może przystąpić do robót rozbiórkowych dopiero po zapewnieniu odpowiedniego objazdu lub przejścia.</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Szyny i podkłady kolejowe będą podlegać wywozowi i utylizacji przez wykonawcę.</w:t>
      </w:r>
    </w:p>
    <w:p w:rsidR="000902B5" w:rsidRPr="000902B5" w:rsidRDefault="000902B5" w:rsidP="000902B5">
      <w:pPr>
        <w:pStyle w:val="Nagwek3"/>
      </w:pPr>
      <w:r w:rsidRPr="000902B5">
        <w:t>6. KONTROLA JAKOŚCI ROBÓT</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6.1. Ogólne zasady kontroli jakości robót</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zasady kontroli jakości robót podano w STWiORB D-M-00.00.00 „Wymagania ogólne” pkt 6.</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6.2. Kontrola jakości robót wyburzeniowych</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Sprawdzenie jakości robót polega na wizualnej ocenie kompletności usunięcia resztek budynków i budowli, gruzu, oraz sprawdzeniu uszkodzeń elementów przewidzianych do powtórnego wykorzystania.</w:t>
      </w:r>
    </w:p>
    <w:p w:rsidR="000902B5" w:rsidRPr="000902B5" w:rsidRDefault="000902B5" w:rsidP="000902B5">
      <w:pPr>
        <w:pStyle w:val="Nagwek3"/>
      </w:pPr>
      <w:r w:rsidRPr="000902B5">
        <w:t>7. OBMIAR ROBÓT</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7.1. Ogólne zasady obmiaru robót</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zasady obmiaru robót podano w STWiORB D-M-00.00.00 „Wymagania ogólne” pkt 7.</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7.2. Jednostka obmiarowa</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3</w:t>
      </w:r>
      <w:r w:rsidRPr="00203191">
        <w:rPr>
          <w:rFonts w:asciiTheme="minorHAnsi" w:hAnsiTheme="minorHAnsi"/>
        </w:rPr>
        <w:t xml:space="preserve"> (metr sześcienny) rozebranych obiektów budowlanych.</w:t>
      </w:r>
    </w:p>
    <w:p w:rsidR="000902B5" w:rsidRPr="000902B5" w:rsidRDefault="000902B5" w:rsidP="000902B5">
      <w:pPr>
        <w:pStyle w:val="Nagwek3"/>
      </w:pPr>
      <w:r w:rsidRPr="000902B5">
        <w:lastRenderedPageBreak/>
        <w:t>8. ODBIÓR ROBÓT</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zasady odbioru robót podano w STWiORB D-M-00.00.00 „Wymagania ogólne” pkt 8.</w:t>
      </w:r>
    </w:p>
    <w:p w:rsidR="000902B5" w:rsidRPr="000902B5" w:rsidRDefault="000902B5" w:rsidP="000902B5">
      <w:pPr>
        <w:pStyle w:val="Nagwek3"/>
      </w:pPr>
      <w:r w:rsidRPr="000902B5">
        <w:t>9. PODSTAWA PŁATNOŚCI</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9.1. Ogólne ustalenia  dotyczące podstawy płatności</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Ogólne ustalenia dotyczące podstawy płatności podano w STWiORB D-M-00.00.00 „Wymagania ogólne” pkt 9.</w:t>
      </w:r>
    </w:p>
    <w:p w:rsidR="000902B5" w:rsidRPr="00203191" w:rsidRDefault="000902B5" w:rsidP="000902B5">
      <w:pPr>
        <w:pStyle w:val="Nagwek4"/>
        <w:tabs>
          <w:tab w:val="left" w:pos="9914"/>
        </w:tabs>
        <w:rPr>
          <w:rFonts w:asciiTheme="minorHAnsi" w:hAnsiTheme="minorHAnsi"/>
        </w:rPr>
      </w:pPr>
      <w:r w:rsidRPr="00203191">
        <w:rPr>
          <w:rFonts w:asciiTheme="minorHAnsi" w:hAnsiTheme="minorHAnsi"/>
        </w:rPr>
        <w:t>9.2. Cena jednostki obmiarowej</w:t>
      </w:r>
    </w:p>
    <w:p w:rsidR="000902B5" w:rsidRPr="00203191" w:rsidRDefault="000902B5" w:rsidP="000902B5">
      <w:pPr>
        <w:numPr>
          <w:ilvl w:val="12"/>
          <w:numId w:val="0"/>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 xml:space="preserve">Cena </w:t>
      </w:r>
      <w:smartTag w:uri="urn:schemas-microsoft-com:office:smarttags" w:element="metricconverter">
        <w:smartTagPr>
          <w:attr w:name="ProductID" w:val="1 m3"/>
        </w:smartTagPr>
        <w:r w:rsidRPr="00203191">
          <w:rPr>
            <w:rFonts w:asciiTheme="minorHAnsi" w:hAnsiTheme="minorHAnsi"/>
          </w:rPr>
          <w:t>1 m</w:t>
        </w:r>
        <w:r w:rsidRPr="00203191">
          <w:rPr>
            <w:rFonts w:asciiTheme="minorHAnsi" w:hAnsiTheme="minorHAnsi"/>
            <w:vertAlign w:val="superscript"/>
          </w:rPr>
          <w:t>3</w:t>
        </w:r>
      </w:smartTag>
      <w:r w:rsidRPr="00203191">
        <w:rPr>
          <w:rFonts w:asciiTheme="minorHAnsi" w:hAnsiTheme="minorHAnsi"/>
        </w:rPr>
        <w:t xml:space="preserve"> robót obejmuje:</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rozebranie i wyburzenie obiektów budowlanych,</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odwiezienie materiału z rozbiórki wraz z ewentualnymi kosztami utylizacji,</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sortowanie i pryzmowanie odzyskanych materiałów,</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ewentualne zasypanie i zagęszczenie gruntu w dołach (wykopach) po usuniętych obiektach,</w:t>
      </w:r>
    </w:p>
    <w:p w:rsidR="000902B5" w:rsidRPr="00203191" w:rsidRDefault="000902B5" w:rsidP="000902B5">
      <w:pPr>
        <w:numPr>
          <w:ilvl w:val="0"/>
          <w:numId w:val="38"/>
        </w:numPr>
        <w:tabs>
          <w:tab w:val="right" w:leader="dot" w:pos="-1985"/>
          <w:tab w:val="left" w:pos="426"/>
          <w:tab w:val="right" w:leader="dot" w:pos="8505"/>
          <w:tab w:val="left" w:pos="9914"/>
        </w:tabs>
        <w:rPr>
          <w:rFonts w:asciiTheme="minorHAnsi" w:hAnsiTheme="minorHAnsi"/>
        </w:rPr>
      </w:pPr>
      <w:r w:rsidRPr="00203191">
        <w:rPr>
          <w:rFonts w:asciiTheme="minorHAnsi" w:hAnsiTheme="minorHAnsi"/>
        </w:rPr>
        <w:t>uporządkowanie miejsca prowadzonych robót.</w:t>
      </w:r>
    </w:p>
    <w:p w:rsidR="000902B5" w:rsidRPr="000902B5" w:rsidRDefault="000902B5" w:rsidP="000902B5">
      <w:pPr>
        <w:pStyle w:val="Nagwek3"/>
      </w:pPr>
      <w:r w:rsidRPr="000902B5">
        <w:t>10. PRZEPISY ZWIĄZANE</w:t>
      </w:r>
    </w:p>
    <w:p w:rsidR="000902B5" w:rsidRPr="00203191" w:rsidRDefault="000902B5" w:rsidP="000902B5">
      <w:pPr>
        <w:tabs>
          <w:tab w:val="right" w:leader="dot" w:pos="-1985"/>
          <w:tab w:val="left" w:pos="426"/>
          <w:tab w:val="right" w:leader="dot" w:pos="8505"/>
        </w:tabs>
        <w:rPr>
          <w:rFonts w:ascii="Calibri" w:hAnsi="Calibri" w:cs="Calibri"/>
        </w:rPr>
      </w:pPr>
      <w:r w:rsidRPr="00203191">
        <w:rPr>
          <w:rFonts w:asciiTheme="minorHAnsi" w:hAnsiTheme="minorHAnsi"/>
        </w:rPr>
        <w:t>Nie występują.</w:t>
      </w:r>
    </w:p>
    <w:p w:rsidR="00656AC1" w:rsidRPr="005F7B4E" w:rsidRDefault="005B48CA" w:rsidP="005F7B4E">
      <w:pPr>
        <w:pStyle w:val="Nagwek2"/>
      </w:pPr>
      <w:r w:rsidRPr="005F7B4E">
        <w:lastRenderedPageBreak/>
        <w:t>SPECYFIKACJE TECHNICZNE</w:t>
      </w:r>
      <w:r w:rsidR="00E22F37" w:rsidRPr="005F7B4E">
        <w:t xml:space="preserve"> WYKONANIA I ODBIORU ROBÓT BUDOWLANYCH</w:t>
      </w:r>
    </w:p>
    <w:p w:rsidR="00656AC1" w:rsidRPr="005F7B4E" w:rsidRDefault="00656AC1" w:rsidP="005F7B4E">
      <w:pPr>
        <w:pStyle w:val="Nagwek1"/>
      </w:pPr>
      <w:bookmarkStart w:id="57" w:name="_Toc352837480"/>
      <w:bookmarkStart w:id="58" w:name="_Toc427178264"/>
      <w:bookmarkStart w:id="59" w:name="_Toc459929663"/>
      <w:r w:rsidRPr="005F7B4E">
        <w:t>D-01.02.04 ROZBIÓRKA ELEMENTÓW DRÓG</w:t>
      </w:r>
      <w:bookmarkEnd w:id="57"/>
      <w:bookmarkEnd w:id="58"/>
      <w:bookmarkEnd w:id="59"/>
    </w:p>
    <w:p w:rsidR="00656AC1" w:rsidRPr="00203191" w:rsidRDefault="00656AC1" w:rsidP="00364E4D">
      <w:pPr>
        <w:pStyle w:val="Nagwek3"/>
        <w:rPr>
          <w:rFonts w:ascii="Calibri" w:hAnsi="Calibri" w:cs="Calibri"/>
        </w:rPr>
      </w:pPr>
      <w:r w:rsidRPr="00203191">
        <w:rPr>
          <w:rFonts w:ascii="Calibri" w:hAnsi="Calibri" w:cs="Calibri"/>
        </w:rPr>
        <w:t>1. WSTĘP</w:t>
      </w:r>
    </w:p>
    <w:p w:rsidR="00656AC1" w:rsidRPr="00203191" w:rsidRDefault="00656AC1" w:rsidP="00364E4D">
      <w:pPr>
        <w:pStyle w:val="Nagwek4"/>
        <w:rPr>
          <w:rFonts w:ascii="Calibri" w:hAnsi="Calibri" w:cs="Calibri"/>
        </w:rPr>
      </w:pPr>
      <w:r w:rsidRPr="00203191">
        <w:rPr>
          <w:rFonts w:ascii="Calibri" w:hAnsi="Calibri" w:cs="Calibri"/>
        </w:rPr>
        <w:t xml:space="preserve">1.1.Przedmiot </w:t>
      </w:r>
      <w:r w:rsidR="005B48CA">
        <w:rPr>
          <w:rFonts w:ascii="Calibri" w:hAnsi="Calibri" w:cs="Calibri"/>
        </w:rPr>
        <w:t>STWiORB</w:t>
      </w:r>
    </w:p>
    <w:p w:rsidR="00656AC1" w:rsidRPr="00203191" w:rsidRDefault="00656AC1" w:rsidP="00364E4D">
      <w:pPr>
        <w:tabs>
          <w:tab w:val="left" w:pos="0"/>
        </w:tabs>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są wymagania dotyczące wykonania i odbioru robót związanych z rozbiórką elementów dróg. </w:t>
      </w:r>
    </w:p>
    <w:p w:rsidR="00656AC1" w:rsidRPr="00203191" w:rsidRDefault="00656AC1" w:rsidP="00364E4D">
      <w:pPr>
        <w:pStyle w:val="Nagwek4"/>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0949D2">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„Przebudowa ulicy Wrocławskiej na odcinku od ul. Stacyjnej do ul. Ogrodowej”</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656AC1" w:rsidRPr="00203191" w:rsidRDefault="00656AC1" w:rsidP="00364E4D">
      <w:pPr>
        <w:tabs>
          <w:tab w:val="right" w:leader="dot" w:pos="-1985"/>
          <w:tab w:val="left" w:pos="426"/>
          <w:tab w:val="right" w:leader="dot" w:pos="8505"/>
        </w:tabs>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 rozbiórką:</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warstw nawierzchni,</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krawężników, obrzeży i oporników,</w:t>
      </w:r>
    </w:p>
    <w:p w:rsidR="00656AC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znaków drogowych.</w:t>
      </w:r>
    </w:p>
    <w:p w:rsidR="001E3F22" w:rsidRPr="00203191" w:rsidRDefault="003712A1" w:rsidP="00954A11">
      <w:pPr>
        <w:numPr>
          <w:ilvl w:val="0"/>
          <w:numId w:val="1"/>
        </w:numPr>
        <w:tabs>
          <w:tab w:val="right" w:leader="dot" w:pos="-1985"/>
          <w:tab w:val="left" w:pos="426"/>
          <w:tab w:val="right" w:leader="dot" w:pos="8505"/>
        </w:tabs>
        <w:rPr>
          <w:rFonts w:ascii="Calibri" w:hAnsi="Calibri" w:cs="Calibri"/>
        </w:rPr>
      </w:pPr>
      <w:r>
        <w:rPr>
          <w:rFonts w:ascii="Calibri" w:hAnsi="Calibri" w:cs="Calibri"/>
        </w:rPr>
        <w:t>małej architektury</w:t>
      </w:r>
    </w:p>
    <w:p w:rsidR="00656AC1" w:rsidRPr="00203191" w:rsidRDefault="00656AC1" w:rsidP="00364E4D">
      <w:pPr>
        <w:pStyle w:val="Nagwek4"/>
        <w:rPr>
          <w:rFonts w:ascii="Calibri" w:hAnsi="Calibri" w:cs="Calibri"/>
        </w:rPr>
      </w:pPr>
      <w:r w:rsidRPr="00203191">
        <w:rPr>
          <w:rFonts w:ascii="Calibri" w:hAnsi="Calibri" w:cs="Calibri"/>
        </w:rPr>
        <w:t>1.4. Określenia podstawowe</w:t>
      </w:r>
    </w:p>
    <w:p w:rsidR="00656AC1" w:rsidRPr="00203191" w:rsidRDefault="00656AC1" w:rsidP="00364E4D">
      <w:pPr>
        <w:numPr>
          <w:ilvl w:val="12"/>
          <w:numId w:val="0"/>
        </w:numPr>
        <w:tabs>
          <w:tab w:val="left" w:pos="0"/>
        </w:tabs>
        <w:rPr>
          <w:rFonts w:ascii="Calibri" w:hAnsi="Calibri" w:cs="Calibri"/>
        </w:rPr>
      </w:pPr>
      <w:r w:rsidRPr="00203191">
        <w:rPr>
          <w:rFonts w:ascii="Calibri" w:hAnsi="Calibri" w:cs="Calibri"/>
        </w:rPr>
        <w:t xml:space="preserve">Stosowane określenia podstawowe są zgodne z obowiązującymi, odpowiednimi polskimi normami oraz z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203191" w:rsidRDefault="00656AC1" w:rsidP="00364E4D">
      <w:pPr>
        <w:pStyle w:val="Nagwek4"/>
        <w:rPr>
          <w:rFonts w:ascii="Calibri" w:hAnsi="Calibri" w:cs="Calibri"/>
        </w:rPr>
      </w:pPr>
      <w:r w:rsidRPr="00203191">
        <w:rPr>
          <w:rFonts w:ascii="Calibri" w:hAnsi="Calibri" w:cs="Calibri"/>
        </w:rPr>
        <w:t>1.5. Ogólne wymagania dotyczące robót</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364E4D">
      <w:pPr>
        <w:pStyle w:val="Nagwek3"/>
        <w:rPr>
          <w:rFonts w:ascii="Calibri" w:hAnsi="Calibri" w:cs="Calibri"/>
        </w:rPr>
      </w:pPr>
      <w:r w:rsidRPr="00203191">
        <w:rPr>
          <w:rFonts w:ascii="Calibri" w:hAnsi="Calibri" w:cs="Calibri"/>
        </w:rPr>
        <w:t xml:space="preserve">2. </w:t>
      </w:r>
      <w:r w:rsidR="00A95FEE">
        <w:rPr>
          <w:rFonts w:ascii="Calibri" w:hAnsi="Calibri" w:cs="Calibri"/>
        </w:rPr>
        <w:t>WYROBY BUDOWLANE</w:t>
      </w:r>
    </w:p>
    <w:p w:rsidR="00656AC1" w:rsidRPr="00203191" w:rsidRDefault="00656AC1" w:rsidP="00364E4D">
      <w:pPr>
        <w:pStyle w:val="Nagwek4"/>
        <w:rPr>
          <w:rFonts w:ascii="Calibri" w:hAnsi="Calibri" w:cs="Calibri"/>
        </w:rPr>
      </w:pPr>
      <w:r w:rsidRPr="00203191">
        <w:rPr>
          <w:rFonts w:ascii="Calibri" w:hAnsi="Calibri" w:cs="Calibri"/>
        </w:rPr>
        <w:t>2.1. Ogólne wymagania dotyczące materiałów</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364E4D">
      <w:pPr>
        <w:pStyle w:val="Nagwek3"/>
        <w:rPr>
          <w:rFonts w:ascii="Calibri" w:hAnsi="Calibri" w:cs="Calibri"/>
        </w:rPr>
      </w:pPr>
      <w:r w:rsidRPr="00203191">
        <w:rPr>
          <w:rFonts w:ascii="Calibri" w:hAnsi="Calibri" w:cs="Calibri"/>
        </w:rPr>
        <w:t>3. SPRZĘT</w:t>
      </w:r>
    </w:p>
    <w:p w:rsidR="00656AC1" w:rsidRPr="00203191" w:rsidRDefault="00656AC1" w:rsidP="00364E4D">
      <w:pPr>
        <w:pStyle w:val="Nagwek4"/>
        <w:rPr>
          <w:rFonts w:ascii="Calibri" w:hAnsi="Calibri" w:cs="Calibri"/>
        </w:rPr>
      </w:pPr>
      <w:r w:rsidRPr="00203191">
        <w:rPr>
          <w:rFonts w:ascii="Calibri" w:hAnsi="Calibri" w:cs="Calibri"/>
        </w:rPr>
        <w:t>3.1. Ogólne wymagania dotyczące sprzętu</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rPr>
          <w:rFonts w:ascii="Calibri" w:hAnsi="Calibri" w:cs="Calibri"/>
        </w:rPr>
      </w:pPr>
      <w:r w:rsidRPr="00203191">
        <w:rPr>
          <w:rFonts w:ascii="Calibri" w:hAnsi="Calibri" w:cs="Calibri"/>
        </w:rPr>
        <w:t>3.2. Sprzęt do rozbiórki</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Do wykonania robót związanych z rozbiórką elementów dróg, ogrodzeń i przepustów może być wykorzystany sprzęt podany poniżej, lub inny zaakceptowany przez Inżyniera:</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spycharki,</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ładowarki,</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żurawie samochodowe,</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samochody ciężarowe,</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zrywarki,</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młoty pneumatyczne i hydrauliczne,</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t>piły mechaniczne,</w:t>
      </w:r>
    </w:p>
    <w:p w:rsidR="00656AC1" w:rsidRPr="00203191" w:rsidRDefault="00656AC1" w:rsidP="00954A11">
      <w:pPr>
        <w:numPr>
          <w:ilvl w:val="0"/>
          <w:numId w:val="1"/>
        </w:numPr>
        <w:tabs>
          <w:tab w:val="right" w:leader="dot" w:pos="-1985"/>
          <w:tab w:val="left" w:pos="426"/>
          <w:tab w:val="right" w:leader="dot" w:pos="8505"/>
        </w:tabs>
        <w:rPr>
          <w:rFonts w:ascii="Calibri" w:hAnsi="Calibri" w:cs="Calibri"/>
        </w:rPr>
      </w:pPr>
      <w:r w:rsidRPr="00203191">
        <w:rPr>
          <w:rFonts w:ascii="Calibri" w:hAnsi="Calibri" w:cs="Calibri"/>
        </w:rPr>
        <w:lastRenderedPageBreak/>
        <w:t>koparki.</w:t>
      </w:r>
    </w:p>
    <w:p w:rsidR="00656AC1" w:rsidRPr="00203191" w:rsidRDefault="00656AC1" w:rsidP="00364E4D">
      <w:pPr>
        <w:pStyle w:val="Nagwek3"/>
        <w:rPr>
          <w:rFonts w:ascii="Calibri" w:hAnsi="Calibri" w:cs="Calibri"/>
        </w:rPr>
      </w:pPr>
      <w:r w:rsidRPr="00203191">
        <w:rPr>
          <w:rFonts w:ascii="Calibri" w:hAnsi="Calibri" w:cs="Calibri"/>
        </w:rPr>
        <w:t>4. TRANSPORT</w:t>
      </w:r>
    </w:p>
    <w:p w:rsidR="00656AC1" w:rsidRPr="00203191" w:rsidRDefault="00656AC1" w:rsidP="00364E4D">
      <w:pPr>
        <w:pStyle w:val="Nagwek4"/>
        <w:rPr>
          <w:rFonts w:ascii="Calibri" w:hAnsi="Calibri" w:cs="Calibri"/>
        </w:rPr>
      </w:pPr>
      <w:r w:rsidRPr="00203191">
        <w:rPr>
          <w:rFonts w:ascii="Calibri" w:hAnsi="Calibri" w:cs="Calibri"/>
        </w:rPr>
        <w:t>4.1. Ogólne wymagania dotyczące transportu</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rPr>
          <w:rFonts w:ascii="Calibri" w:hAnsi="Calibri" w:cs="Calibri"/>
        </w:rPr>
      </w:pPr>
      <w:r w:rsidRPr="00203191">
        <w:rPr>
          <w:rFonts w:ascii="Calibri" w:hAnsi="Calibri" w:cs="Calibri"/>
        </w:rPr>
        <w:t>4.2. Transport materiałów z rozbiórki</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Materiał z rozbiórki można przewozić dowolnym środkiem transportu.</w:t>
      </w:r>
    </w:p>
    <w:p w:rsidR="00656AC1" w:rsidRPr="00203191" w:rsidRDefault="00656AC1" w:rsidP="00364E4D">
      <w:pPr>
        <w:pStyle w:val="Nagwek3"/>
        <w:rPr>
          <w:rFonts w:ascii="Calibri" w:hAnsi="Calibri" w:cs="Calibri"/>
        </w:rPr>
      </w:pPr>
      <w:r w:rsidRPr="00203191">
        <w:rPr>
          <w:rFonts w:ascii="Calibri" w:hAnsi="Calibri" w:cs="Calibri"/>
        </w:rPr>
        <w:t>5. WYKONANIE ROBÓT</w:t>
      </w:r>
    </w:p>
    <w:p w:rsidR="00656AC1" w:rsidRPr="00203191" w:rsidRDefault="00656AC1" w:rsidP="00364E4D">
      <w:pPr>
        <w:pStyle w:val="Nagwek4"/>
        <w:rPr>
          <w:rFonts w:ascii="Calibri" w:hAnsi="Calibri" w:cs="Calibri"/>
        </w:rPr>
      </w:pPr>
      <w:r w:rsidRPr="00203191">
        <w:rPr>
          <w:rFonts w:ascii="Calibri" w:hAnsi="Calibri" w:cs="Calibri"/>
        </w:rPr>
        <w:t>5.1. Ogólne zasady wykonania robót</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pStyle w:val="Nagwek4"/>
        <w:rPr>
          <w:rFonts w:ascii="Calibri" w:hAnsi="Calibri" w:cs="Calibri"/>
        </w:rPr>
      </w:pPr>
      <w:r w:rsidRPr="00203191">
        <w:rPr>
          <w:rFonts w:ascii="Calibri" w:hAnsi="Calibri" w:cs="Calibri"/>
        </w:rPr>
        <w:t>5.2. Wykonanie robót rozbiórkowych</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Roboty rozbiórkowe elementów dróg obejmują usunięcie z terenu budowy wszystkich elementów wymienionych w pkt 1.3, zgodnie z dokumentacją projektową lub wskazanych przez Inżyniera.</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Roboty rozbiórkowe można wykonywać mechanicznie lub ręcznie w sposób określony w dokumentacji projektowej lub przez Inżyniera.</w:t>
      </w:r>
    </w:p>
    <w:p w:rsidR="00656AC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Wszystkie elementy możliwe do powtórnego wykorzystania powinny być usuwane bez powodowania zbędnych uszkodzeń. O ile uzyskane elementy nie stają się własnością Wykonawcy, powinien on przewieźć je na miejsce  wskazane przez Inżyniera.</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Elementy i </w:t>
      </w:r>
      <w:r w:rsidR="00A95FEE">
        <w:rPr>
          <w:rFonts w:ascii="Calibri" w:hAnsi="Calibri" w:cs="Calibri"/>
        </w:rPr>
        <w:t>wyroby budowlane</w:t>
      </w:r>
      <w:r w:rsidRPr="00203191">
        <w:rPr>
          <w:rFonts w:ascii="Calibri" w:hAnsi="Calibri" w:cs="Calibri"/>
        </w:rPr>
        <w:t xml:space="preserve">, które zgodnie z </w:t>
      </w:r>
      <w:r w:rsidR="005B48CA">
        <w:rPr>
          <w:rFonts w:ascii="Calibri" w:hAnsi="Calibri" w:cs="Calibri"/>
        </w:rPr>
        <w:t>STWiORB</w:t>
      </w:r>
      <w:r w:rsidRPr="00203191">
        <w:rPr>
          <w:rFonts w:ascii="Calibri" w:hAnsi="Calibri" w:cs="Calibri"/>
        </w:rPr>
        <w:t xml:space="preserve"> stają się własnością Wykonawcy, powinny być usunięte z terenu budowy.</w:t>
      </w:r>
    </w:p>
    <w:p w:rsidR="001E3F22"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Doły w miejscach, gdzie nie przewiduje się wykonania wykopów drogowych należy wypełnić, warstwami, odpowiednim gruntem do poziomu otaczającego terenu i zagęścić zgodnie z wymaganiami określonymi w </w:t>
      </w:r>
      <w:r w:rsidR="005B48CA">
        <w:rPr>
          <w:rFonts w:ascii="Calibri" w:hAnsi="Calibri" w:cs="Calibri"/>
        </w:rPr>
        <w:t>STWiORB</w:t>
      </w:r>
      <w:r w:rsidRPr="00203191">
        <w:rPr>
          <w:rFonts w:ascii="Calibri" w:hAnsi="Calibri" w:cs="Calibri"/>
        </w:rPr>
        <w:t xml:space="preserve"> D-02.03.01 „Nasypy”.</w:t>
      </w:r>
    </w:p>
    <w:p w:rsidR="00656AC1" w:rsidRPr="00203191" w:rsidRDefault="00656AC1" w:rsidP="00364E4D">
      <w:pPr>
        <w:pStyle w:val="Nagwek3"/>
        <w:rPr>
          <w:rFonts w:ascii="Calibri" w:hAnsi="Calibri" w:cs="Calibri"/>
        </w:rPr>
      </w:pPr>
      <w:r w:rsidRPr="00203191">
        <w:rPr>
          <w:rFonts w:ascii="Calibri" w:hAnsi="Calibri" w:cs="Calibri"/>
        </w:rPr>
        <w:t>6. KONTROLA JAKOŚCI ROBÓT</w:t>
      </w:r>
    </w:p>
    <w:p w:rsidR="00656AC1" w:rsidRPr="00203191" w:rsidRDefault="00656AC1" w:rsidP="00364E4D">
      <w:pPr>
        <w:pStyle w:val="Nagwek4"/>
        <w:rPr>
          <w:rFonts w:ascii="Calibri" w:hAnsi="Calibri" w:cs="Calibri"/>
        </w:rPr>
      </w:pPr>
      <w:r w:rsidRPr="00203191">
        <w:rPr>
          <w:rFonts w:ascii="Calibri" w:hAnsi="Calibri" w:cs="Calibri"/>
        </w:rPr>
        <w:t>6.1. Ogólne zasady kontroli jakości robót</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rPr>
          <w:rFonts w:ascii="Calibri" w:hAnsi="Calibri" w:cs="Calibri"/>
        </w:rPr>
      </w:pPr>
      <w:r w:rsidRPr="00203191">
        <w:rPr>
          <w:rFonts w:ascii="Calibri" w:hAnsi="Calibri" w:cs="Calibri"/>
        </w:rPr>
        <w:t>6.2. Kontrola jakości robót rozbiórkowych</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Kontrola jakości robót polega na wizualnej ocenie kompletności wykonanych robót rozbiórkowych oraz sprawdzeniu stopnia uszkodzenia elementów przewidzianych do powtórnego wykorzystania.</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Zagęszczenie gruntu wypełniającego ewentualne doły po usuniętych elementach nawierzchni, ogrodzeń i przepustów powinno spełniać odpowiednie wymagania określone w </w:t>
      </w:r>
      <w:r w:rsidR="005B48CA">
        <w:rPr>
          <w:rFonts w:ascii="Calibri" w:hAnsi="Calibri" w:cs="Calibri"/>
        </w:rPr>
        <w:t>STWiORB</w:t>
      </w:r>
      <w:r w:rsidRPr="00203191">
        <w:rPr>
          <w:rFonts w:ascii="Calibri" w:hAnsi="Calibri" w:cs="Calibri"/>
        </w:rPr>
        <w:t xml:space="preserve"> D-02.03.01 „Nasypy”.</w:t>
      </w:r>
    </w:p>
    <w:p w:rsidR="00656AC1" w:rsidRPr="00203191" w:rsidRDefault="00656AC1" w:rsidP="00364E4D">
      <w:pPr>
        <w:pStyle w:val="Nagwek3"/>
        <w:rPr>
          <w:rFonts w:ascii="Calibri" w:hAnsi="Calibri" w:cs="Calibri"/>
        </w:rPr>
      </w:pPr>
      <w:r w:rsidRPr="00203191">
        <w:rPr>
          <w:rFonts w:ascii="Calibri" w:hAnsi="Calibri" w:cs="Calibri"/>
        </w:rPr>
        <w:t>7. OBMIAR ROBÓT</w:t>
      </w:r>
    </w:p>
    <w:p w:rsidR="00464BA1" w:rsidRPr="00203191" w:rsidRDefault="00464BA1" w:rsidP="00464BA1">
      <w:pPr>
        <w:pStyle w:val="Nagwek4"/>
        <w:rPr>
          <w:rFonts w:asciiTheme="minorHAnsi" w:hAnsiTheme="minorHAnsi"/>
        </w:rPr>
      </w:pPr>
      <w:r w:rsidRPr="00203191">
        <w:rPr>
          <w:rFonts w:asciiTheme="minorHAnsi" w:hAnsiTheme="minorHAnsi"/>
        </w:rPr>
        <w:t>7.1. Ogólne zasady obmiaru robót</w:t>
      </w:r>
    </w:p>
    <w:p w:rsidR="00464BA1" w:rsidRPr="00203191" w:rsidRDefault="00464BA1" w:rsidP="00464BA1">
      <w:pPr>
        <w:numPr>
          <w:ilvl w:val="12"/>
          <w:numId w:val="0"/>
        </w:numPr>
        <w:tabs>
          <w:tab w:val="right" w:leader="dot" w:pos="-1985"/>
          <w:tab w:val="left" w:pos="426"/>
          <w:tab w:val="right" w:leader="dot" w:pos="8505"/>
        </w:tabs>
        <w:rPr>
          <w:rFonts w:asciiTheme="minorHAnsi" w:hAnsiTheme="minorHAnsi"/>
        </w:rPr>
      </w:pPr>
      <w:r w:rsidRPr="00203191">
        <w:rPr>
          <w:rFonts w:asciiTheme="minorHAnsi" w:hAnsiTheme="minorHAnsi"/>
        </w:rPr>
        <w:t>Ogólne zasady obmiaru robót podano w SSTWiORB D-M-00.00.00 „Wymagania ogólne” pkt 7.</w:t>
      </w:r>
    </w:p>
    <w:p w:rsidR="00464BA1" w:rsidRPr="00203191" w:rsidRDefault="00464BA1" w:rsidP="00464BA1">
      <w:pPr>
        <w:pStyle w:val="Nagwek4"/>
        <w:rPr>
          <w:rFonts w:asciiTheme="minorHAnsi" w:hAnsiTheme="minorHAnsi"/>
        </w:rPr>
      </w:pPr>
      <w:r w:rsidRPr="00203191">
        <w:rPr>
          <w:rFonts w:asciiTheme="minorHAnsi" w:hAnsiTheme="minorHAnsi"/>
        </w:rPr>
        <w:t>7.2. Jednostka obmiarowa</w:t>
      </w:r>
    </w:p>
    <w:p w:rsidR="00464BA1" w:rsidRPr="00203191" w:rsidRDefault="00464BA1" w:rsidP="00464BA1">
      <w:pPr>
        <w:numPr>
          <w:ilvl w:val="12"/>
          <w:numId w:val="0"/>
        </w:numPr>
        <w:tabs>
          <w:tab w:val="right" w:leader="dot" w:pos="-1985"/>
          <w:tab w:val="left" w:pos="426"/>
          <w:tab w:val="right" w:leader="dot" w:pos="8505"/>
        </w:tabs>
        <w:rPr>
          <w:rFonts w:asciiTheme="minorHAnsi" w:hAnsiTheme="minorHAnsi"/>
        </w:rPr>
      </w:pPr>
      <w:r w:rsidRPr="00203191">
        <w:rPr>
          <w:rFonts w:asciiTheme="minorHAnsi" w:hAnsiTheme="minorHAnsi"/>
        </w:rPr>
        <w:t>Jednostką obmiarową robót związanych z rozbiórką elementów dróg  jest:</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dla nawierzchni - m</w:t>
      </w:r>
      <w:r w:rsidRPr="00203191">
        <w:rPr>
          <w:rFonts w:asciiTheme="minorHAnsi" w:hAnsiTheme="minorHAnsi"/>
          <w:vertAlign w:val="superscript"/>
        </w:rPr>
        <w:t>2</w:t>
      </w:r>
      <w:r w:rsidRPr="00203191">
        <w:rPr>
          <w:rFonts w:asciiTheme="minorHAnsi" w:hAnsiTheme="minorHAnsi"/>
        </w:rPr>
        <w:t xml:space="preserve"> (metr kwadratowy),</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lastRenderedPageBreak/>
        <w:t>dla krawężnika, obrzeża, ścieków prefabrykowanych, - m (metr),</w:t>
      </w:r>
    </w:p>
    <w:p w:rsidR="00656AC1" w:rsidRPr="00203191" w:rsidRDefault="00464BA1" w:rsidP="00464BA1">
      <w:pPr>
        <w:tabs>
          <w:tab w:val="right" w:leader="dot" w:pos="-1985"/>
          <w:tab w:val="left" w:pos="426"/>
          <w:tab w:val="right" w:leader="dot" w:pos="8505"/>
        </w:tabs>
        <w:rPr>
          <w:rFonts w:ascii="Calibri" w:hAnsi="Calibri" w:cs="Calibri"/>
        </w:rPr>
      </w:pPr>
      <w:r w:rsidRPr="00203191">
        <w:rPr>
          <w:rFonts w:asciiTheme="minorHAnsi" w:hAnsiTheme="minorHAnsi"/>
        </w:rPr>
        <w:t>dla znaków drogowych - szt. (sztuka).</w:t>
      </w:r>
    </w:p>
    <w:p w:rsidR="00656AC1" w:rsidRPr="00203191" w:rsidRDefault="00656AC1" w:rsidP="00364E4D">
      <w:pPr>
        <w:pStyle w:val="Nagwek3"/>
        <w:rPr>
          <w:rFonts w:ascii="Calibri" w:hAnsi="Calibri" w:cs="Calibri"/>
        </w:rPr>
      </w:pPr>
      <w:r w:rsidRPr="00203191">
        <w:rPr>
          <w:rFonts w:ascii="Calibri" w:hAnsi="Calibri" w:cs="Calibri"/>
        </w:rPr>
        <w:t>8. ODBIÓR ROBÓT</w:t>
      </w:r>
    </w:p>
    <w:p w:rsidR="00656AC1" w:rsidRPr="00203191" w:rsidRDefault="00656AC1" w:rsidP="00364E4D">
      <w:pPr>
        <w:numPr>
          <w:ilvl w:val="12"/>
          <w:numId w:val="0"/>
        </w:numPr>
        <w:tabs>
          <w:tab w:val="right" w:leader="dot" w:pos="-1985"/>
          <w:tab w:val="left" w:pos="426"/>
          <w:tab w:val="right" w:leader="dot" w:pos="8505"/>
        </w:tabs>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364E4D">
      <w:pPr>
        <w:pStyle w:val="Nagwek3"/>
        <w:rPr>
          <w:rFonts w:ascii="Calibri" w:hAnsi="Calibri" w:cs="Calibri"/>
        </w:rPr>
      </w:pPr>
      <w:r w:rsidRPr="00203191">
        <w:rPr>
          <w:rFonts w:ascii="Calibri" w:hAnsi="Calibri" w:cs="Calibri"/>
        </w:rPr>
        <w:t>9. PODSTAWA PŁATNOŚCI</w:t>
      </w:r>
    </w:p>
    <w:p w:rsidR="00464BA1" w:rsidRPr="00203191" w:rsidRDefault="00464BA1" w:rsidP="00464BA1">
      <w:pPr>
        <w:pStyle w:val="Nagwek4"/>
        <w:rPr>
          <w:rFonts w:asciiTheme="minorHAnsi" w:hAnsiTheme="minorHAnsi"/>
        </w:rPr>
      </w:pPr>
      <w:r w:rsidRPr="00203191">
        <w:rPr>
          <w:rFonts w:asciiTheme="minorHAnsi" w:hAnsiTheme="minorHAnsi"/>
        </w:rPr>
        <w:t>9.1. Ogólne ustalenia dotyczące podstawy płatności</w:t>
      </w:r>
    </w:p>
    <w:p w:rsidR="00464BA1" w:rsidRPr="00203191" w:rsidRDefault="00464BA1" w:rsidP="00464BA1">
      <w:pPr>
        <w:numPr>
          <w:ilvl w:val="12"/>
          <w:numId w:val="0"/>
        </w:numPr>
        <w:tabs>
          <w:tab w:val="right" w:leader="dot" w:pos="-1985"/>
          <w:tab w:val="left" w:pos="426"/>
          <w:tab w:val="right" w:leader="dot" w:pos="8505"/>
        </w:tabs>
        <w:rPr>
          <w:rFonts w:asciiTheme="minorHAnsi" w:hAnsiTheme="minorHAnsi"/>
        </w:rPr>
      </w:pPr>
      <w:r w:rsidRPr="00203191">
        <w:rPr>
          <w:rFonts w:asciiTheme="minorHAnsi" w:hAnsiTheme="minorHAnsi"/>
        </w:rPr>
        <w:t>Ogólne ustalenia dotyczące podstawy płatności podano w SSTWiORB D-M-00.00.00 „Wymagania ogólne” pkt 9.</w:t>
      </w:r>
    </w:p>
    <w:p w:rsidR="00464BA1" w:rsidRPr="00203191" w:rsidRDefault="00464BA1" w:rsidP="00464BA1">
      <w:pPr>
        <w:pStyle w:val="Nagwek4"/>
        <w:rPr>
          <w:rFonts w:asciiTheme="minorHAnsi" w:hAnsiTheme="minorHAnsi"/>
        </w:rPr>
      </w:pPr>
      <w:r w:rsidRPr="00203191">
        <w:rPr>
          <w:rFonts w:asciiTheme="minorHAnsi" w:hAnsiTheme="minorHAnsi"/>
        </w:rPr>
        <w:t>9.2. Cena jednostki obmiarowej</w:t>
      </w:r>
    </w:p>
    <w:p w:rsidR="00464BA1" w:rsidRPr="00203191" w:rsidRDefault="00464BA1" w:rsidP="00464BA1">
      <w:pPr>
        <w:numPr>
          <w:ilvl w:val="12"/>
          <w:numId w:val="0"/>
        </w:numPr>
        <w:tabs>
          <w:tab w:val="right" w:leader="dot" w:pos="-1985"/>
          <w:tab w:val="left" w:pos="426"/>
          <w:tab w:val="right" w:leader="dot" w:pos="8505"/>
        </w:tabs>
        <w:rPr>
          <w:rFonts w:asciiTheme="minorHAnsi" w:hAnsiTheme="minorHAnsi"/>
        </w:rPr>
      </w:pPr>
      <w:r w:rsidRPr="00203191">
        <w:rPr>
          <w:rFonts w:asciiTheme="minorHAnsi" w:hAnsiTheme="minorHAnsi"/>
        </w:rPr>
        <w:t>Cena wykonania robót obejmuje:</w:t>
      </w:r>
    </w:p>
    <w:p w:rsidR="00464BA1" w:rsidRPr="00203191" w:rsidRDefault="00464BA1" w:rsidP="00464BA1">
      <w:pPr>
        <w:numPr>
          <w:ilvl w:val="12"/>
          <w:numId w:val="0"/>
        </w:numPr>
        <w:tabs>
          <w:tab w:val="right" w:leader="dot" w:pos="-1985"/>
          <w:tab w:val="left" w:pos="426"/>
          <w:tab w:val="right" w:leader="dot" w:pos="8505"/>
        </w:tabs>
        <w:rPr>
          <w:rFonts w:asciiTheme="minorHAnsi" w:hAnsiTheme="minorHAnsi"/>
        </w:rPr>
      </w:pPr>
      <w:r w:rsidRPr="00203191">
        <w:rPr>
          <w:rFonts w:asciiTheme="minorHAnsi" w:hAnsiTheme="minorHAnsi"/>
        </w:rPr>
        <w:t>a) dla rozbiórki warstw nawierzchni:</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wyznaczenie powierzchni przeznaczonej do rozbiórki,</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rozkucie i zerwanie nawierzchni,</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ew. przesortowanie materiału uzyskanego z rozbiórki, w celu ponownego jej użycia, z ułożeniem na poboczu,</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załadunek i wywiezienie materiałów z rozbiórki wraz z kosztami utylizacji,</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wyrównanie podłoża i uporządkowanie terenu rozbiórki;</w:t>
      </w:r>
    </w:p>
    <w:p w:rsidR="00464BA1" w:rsidRPr="00203191" w:rsidRDefault="00464BA1" w:rsidP="00464BA1">
      <w:pPr>
        <w:tabs>
          <w:tab w:val="right" w:leader="dot" w:pos="-1985"/>
          <w:tab w:val="left" w:pos="426"/>
          <w:tab w:val="right" w:leader="dot" w:pos="8505"/>
        </w:tabs>
        <w:rPr>
          <w:rFonts w:asciiTheme="minorHAnsi" w:hAnsiTheme="minorHAnsi"/>
        </w:rPr>
      </w:pPr>
      <w:r w:rsidRPr="00203191">
        <w:rPr>
          <w:rFonts w:asciiTheme="minorHAnsi" w:hAnsiTheme="minorHAnsi"/>
        </w:rPr>
        <w:t>b) dla rozbiórki krawężników, obrzeży i ścieków:</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odkopanie krawężników, obrzeży i ścieków wraz z wyjęciem i oczyszczeniem,</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zerwanie podsypki  i ław,</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załadunek i wywiezienie materiału z rozbiórki wraz z kosztami utylizacji,</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wyrównanie podłoża i uporządkowanie terenu rozbiórki;</w:t>
      </w:r>
    </w:p>
    <w:p w:rsidR="00464BA1" w:rsidRPr="00203191" w:rsidRDefault="00464BA1" w:rsidP="00464BA1">
      <w:pPr>
        <w:numPr>
          <w:ilvl w:val="12"/>
          <w:numId w:val="0"/>
        </w:numPr>
        <w:tabs>
          <w:tab w:val="right" w:leader="dot" w:pos="-1985"/>
          <w:tab w:val="left" w:pos="426"/>
          <w:tab w:val="right" w:leader="dot" w:pos="8505"/>
        </w:tabs>
        <w:rPr>
          <w:rFonts w:asciiTheme="minorHAnsi" w:hAnsiTheme="minorHAnsi"/>
        </w:rPr>
      </w:pPr>
      <w:r w:rsidRPr="00203191">
        <w:rPr>
          <w:rFonts w:asciiTheme="minorHAnsi" w:hAnsiTheme="minorHAnsi"/>
        </w:rPr>
        <w:t>c) dla rozbiórki znaków drogowych:</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demontaż tablic znaków drogowych ze słupków,</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odkopanie i wydobycie słupków,</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 xml:space="preserve">zasypanie dołów po słupkach wraz z zagęszczeniem do uzyskania Is </w:t>
      </w:r>
      <w:r w:rsidRPr="00203191">
        <w:rPr>
          <w:rFonts w:asciiTheme="minorHAnsi" w:hAnsiTheme="minorHAnsi"/>
        </w:rPr>
        <w:sym w:font="Symbol" w:char="F0B3"/>
      </w:r>
      <w:r w:rsidRPr="00203191">
        <w:rPr>
          <w:rFonts w:asciiTheme="minorHAnsi" w:hAnsiTheme="minorHAnsi"/>
        </w:rPr>
        <w:t xml:space="preserve"> 1,00 wg BN-77/8931-12,</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załadunek i wywiezienie materiałów z rozbiórki wraz z kosztami utylizacji,</w:t>
      </w:r>
    </w:p>
    <w:p w:rsidR="00464BA1" w:rsidRPr="00203191" w:rsidRDefault="00464BA1" w:rsidP="00464BA1">
      <w:pPr>
        <w:numPr>
          <w:ilvl w:val="0"/>
          <w:numId w:val="38"/>
        </w:numPr>
        <w:tabs>
          <w:tab w:val="right" w:leader="dot" w:pos="-1985"/>
          <w:tab w:val="left" w:pos="426"/>
          <w:tab w:val="right" w:leader="dot" w:pos="8505"/>
        </w:tabs>
        <w:rPr>
          <w:rFonts w:asciiTheme="minorHAnsi" w:hAnsiTheme="minorHAnsi"/>
        </w:rPr>
      </w:pPr>
      <w:r w:rsidRPr="00203191">
        <w:rPr>
          <w:rFonts w:asciiTheme="minorHAnsi" w:hAnsiTheme="minorHAnsi"/>
        </w:rPr>
        <w:t>uporządkowanie terenu rozbiórki.</w:t>
      </w:r>
    </w:p>
    <w:p w:rsidR="00656AC1" w:rsidRPr="00203191" w:rsidRDefault="00656AC1" w:rsidP="005F7B4E">
      <w:pPr>
        <w:tabs>
          <w:tab w:val="right" w:leader="dot" w:pos="-1985"/>
          <w:tab w:val="left" w:pos="426"/>
          <w:tab w:val="right" w:leader="dot" w:pos="8505"/>
        </w:tabs>
        <w:rPr>
          <w:rFonts w:ascii="Calibri" w:hAnsi="Calibri" w:cs="Calibri"/>
        </w:rPr>
      </w:pPr>
      <w:r w:rsidRPr="00203191">
        <w:rPr>
          <w:rFonts w:ascii="Calibri" w:hAnsi="Calibri" w:cs="Calibri"/>
        </w:rPr>
        <w:t>.</w:t>
      </w:r>
    </w:p>
    <w:p w:rsidR="00656AC1" w:rsidRPr="00203191" w:rsidRDefault="00656AC1" w:rsidP="00364E4D">
      <w:pPr>
        <w:pStyle w:val="Nagwek3"/>
        <w:rPr>
          <w:rFonts w:ascii="Calibri" w:hAnsi="Calibri" w:cs="Calibri"/>
        </w:rPr>
      </w:pPr>
      <w:r w:rsidRPr="00203191">
        <w:rPr>
          <w:rFonts w:ascii="Calibri" w:hAnsi="Calibri" w:cs="Calibri"/>
        </w:rPr>
        <w:t>10. PRZEPISY ZWIĄZANE</w:t>
      </w:r>
    </w:p>
    <w:p w:rsidR="00656AC1" w:rsidRPr="00203191" w:rsidRDefault="00656AC1" w:rsidP="00364E4D">
      <w:pPr>
        <w:ind w:left="1"/>
        <w:rPr>
          <w:rFonts w:ascii="Calibri" w:hAnsi="Calibri" w:cs="Calibri"/>
        </w:rPr>
      </w:pPr>
      <w:r w:rsidRPr="00203191">
        <w:rPr>
          <w:rFonts w:ascii="Calibri" w:hAnsi="Calibri" w:cs="Calibri"/>
        </w:rPr>
        <w:t>Nie występują.</w:t>
      </w:r>
    </w:p>
    <w:p w:rsidR="00656AC1" w:rsidRPr="00203191" w:rsidRDefault="00656AC1" w:rsidP="00364E4D">
      <w:pPr>
        <w:jc w:val="center"/>
        <w:rPr>
          <w:rFonts w:ascii="Calibri" w:hAnsi="Calibri" w:cs="Calibri"/>
          <w:b/>
          <w:bCs/>
          <w:sz w:val="28"/>
          <w:szCs w:val="28"/>
        </w:rPr>
        <w:sectPr w:rsidR="00656AC1" w:rsidRPr="00203191" w:rsidSect="005B48CA">
          <w:headerReference w:type="default" r:id="rId10"/>
          <w:footerReference w:type="default" r:id="rId11"/>
          <w:pgSz w:w="11907" w:h="16840" w:code="9"/>
          <w:pgMar w:top="1417" w:right="1417" w:bottom="1417" w:left="1417" w:header="851" w:footer="851" w:gutter="0"/>
          <w:cols w:space="708"/>
          <w:titlePg/>
          <w:docGrid w:linePitch="272"/>
        </w:sectPr>
      </w:pPr>
    </w:p>
    <w:p w:rsidR="00656AC1" w:rsidRPr="00FE60E3" w:rsidRDefault="005B48CA" w:rsidP="00FE60E3">
      <w:pPr>
        <w:pStyle w:val="Nagwek2"/>
      </w:pPr>
      <w:r w:rsidRPr="00FE60E3">
        <w:lastRenderedPageBreak/>
        <w:t>SPECYFIKACJE TECHNICZNE</w:t>
      </w:r>
      <w:r w:rsidR="00656AC1" w:rsidRPr="00FE60E3">
        <w:t xml:space="preserve"> WYKONANIA I ODBIORU ROBÓT BUDOWLANYCH</w:t>
      </w:r>
    </w:p>
    <w:p w:rsidR="00656AC1" w:rsidRPr="00FE60E3" w:rsidRDefault="00656AC1" w:rsidP="00FE60E3">
      <w:pPr>
        <w:pStyle w:val="Nagwek1"/>
      </w:pPr>
      <w:bookmarkStart w:id="60" w:name="_Toc352837482"/>
      <w:bookmarkStart w:id="61" w:name="_Toc427178266"/>
      <w:bookmarkStart w:id="62" w:name="_Toc459929664"/>
      <w:r w:rsidRPr="00FE60E3">
        <w:t>D-01.03.02 PRZEBUDOWA I ZABEZPIECZENIE KABLOWYCH LINII ENERGETYCZNYCH PRZY BUDOWIE DRÓG</w:t>
      </w:r>
      <w:bookmarkEnd w:id="60"/>
      <w:bookmarkEnd w:id="61"/>
      <w:bookmarkEnd w:id="62"/>
    </w:p>
    <w:p w:rsidR="00656AC1" w:rsidRPr="00203191" w:rsidRDefault="00656AC1" w:rsidP="00364E4D">
      <w:pPr>
        <w:rPr>
          <w:rFonts w:ascii="Calibri" w:hAnsi="Calibri" w:cs="Calibri"/>
          <w:b/>
          <w:bCs/>
        </w:rPr>
      </w:pPr>
    </w:p>
    <w:p w:rsidR="00656AC1" w:rsidRPr="00203191" w:rsidRDefault="00656AC1" w:rsidP="00364E4D">
      <w:pPr>
        <w:rPr>
          <w:rFonts w:ascii="Calibri" w:hAnsi="Calibri" w:cs="Calibri"/>
          <w:b/>
          <w:bCs/>
        </w:rPr>
      </w:pPr>
    </w:p>
    <w:p w:rsidR="00656AC1" w:rsidRPr="00203191" w:rsidRDefault="00656AC1" w:rsidP="00364E4D">
      <w:pPr>
        <w:rPr>
          <w:rFonts w:ascii="Calibri" w:hAnsi="Calibri" w:cs="Calibri"/>
          <w:b/>
          <w:bCs/>
        </w:rPr>
      </w:pPr>
      <w:bookmarkStart w:id="63" w:name="_Toc466861801"/>
      <w:bookmarkStart w:id="64" w:name="_Toc235080279"/>
      <w:r w:rsidRPr="00203191">
        <w:rPr>
          <w:rFonts w:ascii="Calibri" w:hAnsi="Calibri" w:cs="Calibri"/>
          <w:b/>
          <w:bCs/>
        </w:rPr>
        <w:t>1. WSTĘP</w:t>
      </w:r>
      <w:bookmarkEnd w:id="63"/>
      <w:bookmarkEnd w:id="64"/>
    </w:p>
    <w:p w:rsidR="00656AC1" w:rsidRPr="00203191" w:rsidRDefault="00656AC1" w:rsidP="00364E4D">
      <w:pPr>
        <w:rPr>
          <w:rFonts w:ascii="Calibri" w:hAnsi="Calibri" w:cs="Calibri"/>
          <w:b/>
          <w:bCs/>
        </w:rPr>
      </w:pPr>
      <w:bookmarkStart w:id="65" w:name="_Toc235080280"/>
      <w:r w:rsidRPr="00203191">
        <w:rPr>
          <w:rFonts w:ascii="Calibri" w:hAnsi="Calibri" w:cs="Calibri"/>
          <w:b/>
          <w:bCs/>
        </w:rPr>
        <w:t xml:space="preserve">1.1. Przedmiot </w:t>
      </w:r>
      <w:bookmarkEnd w:id="65"/>
      <w:r w:rsidR="005B48CA">
        <w:rPr>
          <w:rFonts w:ascii="Calibri" w:hAnsi="Calibri" w:cs="Calibri"/>
          <w:b/>
          <w:bCs/>
        </w:rPr>
        <w:t>STWiORB</w:t>
      </w:r>
    </w:p>
    <w:p w:rsidR="00656AC1" w:rsidRPr="00203191" w:rsidRDefault="00656AC1" w:rsidP="00364E4D">
      <w:pPr>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 są wymagania dotyczące wykonania i odbioru kablowych linii energetycznych przy przebudowie i budowie dróg.</w:t>
      </w:r>
    </w:p>
    <w:p w:rsidR="00656AC1" w:rsidRPr="00203191" w:rsidRDefault="00656AC1" w:rsidP="00364E4D">
      <w:pPr>
        <w:rPr>
          <w:rFonts w:ascii="Calibri" w:hAnsi="Calibri" w:cs="Calibri"/>
          <w:b/>
          <w:bCs/>
        </w:rPr>
      </w:pPr>
      <w:bookmarkStart w:id="66" w:name="_Toc235080282"/>
      <w:r w:rsidRPr="00203191">
        <w:rPr>
          <w:rFonts w:ascii="Calibri" w:hAnsi="Calibri" w:cs="Calibri"/>
          <w:b/>
          <w:bCs/>
        </w:rPr>
        <w:t xml:space="preserve">1.2. Zakres stosowania </w:t>
      </w:r>
      <w:r w:rsidR="005B48CA">
        <w:rPr>
          <w:rFonts w:ascii="Calibri" w:hAnsi="Calibri" w:cs="Calibri"/>
          <w:b/>
          <w:bCs/>
        </w:rPr>
        <w:t>STWiORB</w:t>
      </w:r>
    </w:p>
    <w:p w:rsidR="00656AC1" w:rsidRPr="00203191" w:rsidRDefault="00FE60E3" w:rsidP="00CA75F4">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rPr>
          <w:rFonts w:ascii="Calibri" w:hAnsi="Calibri" w:cs="Calibri"/>
          <w:b/>
          <w:bCs/>
        </w:rPr>
      </w:pPr>
      <w:r w:rsidRPr="00203191">
        <w:rPr>
          <w:rFonts w:ascii="Calibri" w:hAnsi="Calibri" w:cs="Calibri"/>
          <w:b/>
          <w:bCs/>
        </w:rPr>
        <w:t xml:space="preserve">1.3. Zakres robót objętych </w:t>
      </w:r>
      <w:bookmarkEnd w:id="66"/>
      <w:r w:rsidR="005B48CA">
        <w:rPr>
          <w:rFonts w:ascii="Calibri" w:hAnsi="Calibri" w:cs="Calibri"/>
          <w:b/>
          <w:bCs/>
        </w:rPr>
        <w:t>STWiORB</w:t>
      </w:r>
    </w:p>
    <w:p w:rsidR="00656AC1" w:rsidRPr="00203191" w:rsidRDefault="00656AC1" w:rsidP="00364E4D">
      <w:pPr>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mają zastosowanie do przebudowy linii kablowych kolidujących z przebudową i budową dróg.</w:t>
      </w:r>
    </w:p>
    <w:p w:rsidR="00656AC1" w:rsidRPr="00203191" w:rsidRDefault="00656AC1" w:rsidP="00364E4D">
      <w:pPr>
        <w:rPr>
          <w:rFonts w:ascii="Calibri" w:hAnsi="Calibri" w:cs="Calibri"/>
          <w:b/>
          <w:bCs/>
        </w:rPr>
      </w:pPr>
      <w:bookmarkStart w:id="67" w:name="_Toc235080283"/>
      <w:r w:rsidRPr="00203191">
        <w:rPr>
          <w:rFonts w:ascii="Calibri" w:hAnsi="Calibri" w:cs="Calibri"/>
          <w:b/>
          <w:bCs/>
        </w:rPr>
        <w:t>1.4. Określenia podstawowe</w:t>
      </w:r>
      <w:bookmarkEnd w:id="67"/>
    </w:p>
    <w:p w:rsidR="00656AC1" w:rsidRPr="00203191" w:rsidRDefault="00656AC1" w:rsidP="00364E4D">
      <w:pPr>
        <w:rPr>
          <w:rFonts w:ascii="Calibri" w:hAnsi="Calibri" w:cs="Calibri"/>
        </w:rPr>
      </w:pPr>
      <w:r w:rsidRPr="00203191">
        <w:rPr>
          <w:rFonts w:ascii="Calibri" w:hAnsi="Calibri" w:cs="Calibri"/>
        </w:rPr>
        <w:t>Linia kablowa - kabel wielożyłowy lub wiązka kabli jednożyłowych w układzie wielofazowym albo kilka kabli jedno- lub wielożyłowych połączonych równolegle, łącznie z osprzętem, ułożone na wspólnej trasie i łączące zaciski tych samych dwóch urządzeń elektrycznych jedno- lub wielofazowych.</w:t>
      </w:r>
    </w:p>
    <w:p w:rsidR="00656AC1" w:rsidRPr="00203191" w:rsidRDefault="00656AC1" w:rsidP="00364E4D">
      <w:pPr>
        <w:rPr>
          <w:rFonts w:ascii="Calibri" w:hAnsi="Calibri" w:cs="Calibri"/>
        </w:rPr>
      </w:pPr>
      <w:r w:rsidRPr="00203191">
        <w:rPr>
          <w:rFonts w:ascii="Calibri" w:hAnsi="Calibri" w:cs="Calibri"/>
        </w:rPr>
        <w:t>Trasa kablowa - pas terenu, w którym ułożone są jedna lub więcej linii kablowych.</w:t>
      </w:r>
    </w:p>
    <w:p w:rsidR="00656AC1" w:rsidRPr="00203191" w:rsidRDefault="00656AC1" w:rsidP="00364E4D">
      <w:pPr>
        <w:rPr>
          <w:rFonts w:ascii="Calibri" w:hAnsi="Calibri" w:cs="Calibri"/>
        </w:rPr>
      </w:pPr>
      <w:r w:rsidRPr="00203191">
        <w:rPr>
          <w:rFonts w:ascii="Calibri" w:hAnsi="Calibri" w:cs="Calibri"/>
        </w:rPr>
        <w:t>Napięcie znamionowe linii - napięcie międzyprzewodowe, na które linia kablowa została zbudowana.</w:t>
      </w:r>
    </w:p>
    <w:p w:rsidR="00656AC1" w:rsidRPr="00203191" w:rsidRDefault="00656AC1" w:rsidP="00364E4D">
      <w:pPr>
        <w:rPr>
          <w:rFonts w:ascii="Calibri" w:hAnsi="Calibri" w:cs="Calibri"/>
        </w:rPr>
      </w:pPr>
      <w:r w:rsidRPr="00203191">
        <w:rPr>
          <w:rFonts w:ascii="Calibri" w:hAnsi="Calibri" w:cs="Calibri"/>
        </w:rPr>
        <w:t>Osprzęt linii kablowej - zbiór elementów przeznaczonych do łączenia, rozgałęziania lub zakończenia kabli.</w:t>
      </w:r>
    </w:p>
    <w:p w:rsidR="00656AC1" w:rsidRPr="00203191" w:rsidRDefault="00656AC1" w:rsidP="00364E4D">
      <w:pPr>
        <w:rPr>
          <w:rFonts w:ascii="Calibri" w:hAnsi="Calibri" w:cs="Calibri"/>
        </w:rPr>
      </w:pPr>
      <w:r w:rsidRPr="00203191">
        <w:rPr>
          <w:rFonts w:ascii="Calibri" w:hAnsi="Calibri" w:cs="Calibri"/>
        </w:rPr>
        <w:t>Osłona kabla - konstrukcja przeznaczona do ochrony kabla przed uszkodzeniami mechanicznymi, chemicznymi i działaniem łuku elektrycznego.</w:t>
      </w:r>
    </w:p>
    <w:p w:rsidR="00656AC1" w:rsidRPr="00203191" w:rsidRDefault="00656AC1" w:rsidP="00364E4D">
      <w:pPr>
        <w:rPr>
          <w:rFonts w:ascii="Calibri" w:hAnsi="Calibri" w:cs="Calibri"/>
        </w:rPr>
      </w:pPr>
      <w:r w:rsidRPr="00203191">
        <w:rPr>
          <w:rFonts w:ascii="Calibri" w:hAnsi="Calibri" w:cs="Calibri"/>
        </w:rPr>
        <w:t>Przykrycie - słoma ułożona nad kablem w celu ochrony przed mechanicznym uszkodzeniem od góry.</w:t>
      </w:r>
    </w:p>
    <w:p w:rsidR="00656AC1" w:rsidRPr="00203191" w:rsidRDefault="00656AC1" w:rsidP="00364E4D">
      <w:pPr>
        <w:rPr>
          <w:rFonts w:ascii="Calibri" w:hAnsi="Calibri" w:cs="Calibri"/>
        </w:rPr>
      </w:pPr>
      <w:r w:rsidRPr="00203191">
        <w:rPr>
          <w:rFonts w:ascii="Calibri" w:hAnsi="Calibri" w:cs="Calibri"/>
        </w:rPr>
        <w:t>Przegroda - osłona ułożona wzdłuż kabla w celu oddzielenia go od sąsiedniego kabla lub od innych urządzeń.</w:t>
      </w:r>
    </w:p>
    <w:p w:rsidR="00656AC1" w:rsidRPr="00203191" w:rsidRDefault="00656AC1" w:rsidP="00364E4D">
      <w:pPr>
        <w:rPr>
          <w:rFonts w:ascii="Calibri" w:hAnsi="Calibri" w:cs="Calibri"/>
        </w:rPr>
      </w:pPr>
      <w:r w:rsidRPr="00203191">
        <w:rPr>
          <w:rFonts w:ascii="Calibri" w:hAnsi="Calibri" w:cs="Calibri"/>
        </w:rPr>
        <w:t>Skrzyżowanie - takie miejsce na trasie linii kablowej, w którym jakakolwiek część rzutu poziomego linii kablowej przecina lub pokrywa jakąkolwiek część rzutu poziomego innej linii kablowej lub innego urządzenia podziemnego.</w:t>
      </w:r>
    </w:p>
    <w:p w:rsidR="00656AC1" w:rsidRPr="00203191" w:rsidRDefault="00656AC1" w:rsidP="00364E4D">
      <w:pPr>
        <w:rPr>
          <w:rFonts w:ascii="Calibri" w:hAnsi="Calibri" w:cs="Calibri"/>
        </w:rPr>
      </w:pPr>
      <w:r w:rsidRPr="00203191">
        <w:rPr>
          <w:rFonts w:ascii="Calibri" w:hAnsi="Calibri" w:cs="Calibri"/>
        </w:rPr>
        <w:t>Zbliżenie - takie miejsce na trasie linii kablowej, w którym odległość między linią kablową, urządzeniem podziemnym lub drogą komunikacyjną itp. jest mniejsza niż odległość dopuszczalna dla danych warunków układania bez stosowania przegród  lub osłon zabezpieczających i w których nie występuje skrzyżowanie.</w:t>
      </w:r>
    </w:p>
    <w:p w:rsidR="00656AC1" w:rsidRPr="00203191" w:rsidRDefault="00656AC1" w:rsidP="00364E4D">
      <w:pPr>
        <w:rPr>
          <w:rFonts w:ascii="Calibri" w:hAnsi="Calibri" w:cs="Calibri"/>
        </w:rPr>
      </w:pPr>
      <w:r w:rsidRPr="00203191">
        <w:rPr>
          <w:rFonts w:ascii="Calibri" w:hAnsi="Calibri" w:cs="Calibri"/>
        </w:rPr>
        <w:t>Przepust kablowy - konstrukcja o przekroju okrągłym przeznaczona do ochrony kabla przed uszkodzeniami mechanicznymi, chemicznymi i działaniem łuku elektrycznego.</w:t>
      </w:r>
    </w:p>
    <w:p w:rsidR="00656AC1" w:rsidRPr="00203191" w:rsidRDefault="00656AC1" w:rsidP="00364E4D">
      <w:pPr>
        <w:rPr>
          <w:rFonts w:ascii="Calibri" w:hAnsi="Calibri" w:cs="Calibri"/>
        </w:rPr>
      </w:pPr>
      <w:r w:rsidRPr="00203191">
        <w:rPr>
          <w:rFonts w:ascii="Calibri" w:hAnsi="Calibri" w:cs="Calibri"/>
        </w:rPr>
        <w:t>Dodatkowa ochrona przeciwporażeniowa - ochrona części przewodzących, dostępnych w wypadku pojawienia się na nich napięcia w warunkach zakłóceniowych.</w:t>
      </w:r>
    </w:p>
    <w:p w:rsidR="00656AC1" w:rsidRPr="00203191" w:rsidRDefault="00656AC1" w:rsidP="00364E4D">
      <w:pPr>
        <w:rPr>
          <w:rFonts w:ascii="Calibri" w:hAnsi="Calibri" w:cs="Calibri"/>
        </w:rPr>
      </w:pPr>
      <w:r w:rsidRPr="00203191">
        <w:rPr>
          <w:rFonts w:ascii="Calibri" w:hAnsi="Calibri" w:cs="Calibri"/>
        </w:rPr>
        <w:t xml:space="preserve">Pozostałe określenia podstawowe są zgodne z normą PN-61/E-01002 i definicjami podanymi w </w:t>
      </w:r>
      <w:r w:rsidR="005B48CA">
        <w:rPr>
          <w:rFonts w:ascii="Calibri" w:hAnsi="Calibri" w:cs="Calibri"/>
        </w:rPr>
        <w:t>STWiORB</w:t>
      </w:r>
      <w:r w:rsidRPr="00203191">
        <w:rPr>
          <w:rFonts w:ascii="Calibri" w:hAnsi="Calibri" w:cs="Calibri"/>
        </w:rPr>
        <w:t xml:space="preserve"> D-M-00.00.00 „Wymagania ogólne”.</w:t>
      </w:r>
    </w:p>
    <w:p w:rsidR="00656AC1" w:rsidRPr="00203191" w:rsidRDefault="00656AC1" w:rsidP="00364E4D">
      <w:pPr>
        <w:rPr>
          <w:rFonts w:ascii="Calibri" w:hAnsi="Calibri" w:cs="Calibri"/>
          <w:b/>
          <w:bCs/>
        </w:rPr>
      </w:pPr>
      <w:bookmarkStart w:id="68" w:name="_Toc235080284"/>
      <w:r w:rsidRPr="00203191">
        <w:rPr>
          <w:rFonts w:ascii="Calibri" w:hAnsi="Calibri" w:cs="Calibri"/>
          <w:b/>
          <w:bCs/>
        </w:rPr>
        <w:t>1.5. Ogólne wymagania dotyczące robót</w:t>
      </w:r>
      <w:bookmarkEnd w:id="68"/>
    </w:p>
    <w:p w:rsidR="00656AC1" w:rsidRPr="00203191" w:rsidRDefault="00656AC1" w:rsidP="00364E4D">
      <w:pPr>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69" w:name="_Toc235080285"/>
      <w:r w:rsidRPr="00203191">
        <w:rPr>
          <w:rFonts w:ascii="Calibri" w:hAnsi="Calibri" w:cs="Calibri"/>
          <w:b/>
          <w:bCs/>
        </w:rPr>
        <w:t xml:space="preserve">2. </w:t>
      </w:r>
      <w:bookmarkEnd w:id="69"/>
      <w:r w:rsidR="00A95FEE">
        <w:rPr>
          <w:rFonts w:ascii="Calibri" w:hAnsi="Calibri" w:cs="Calibri"/>
          <w:b/>
          <w:bCs/>
        </w:rPr>
        <w:t>WYROBY BUDOWLANE</w:t>
      </w:r>
    </w:p>
    <w:p w:rsidR="00656AC1" w:rsidRPr="00203191" w:rsidRDefault="00656AC1" w:rsidP="00364E4D">
      <w:pPr>
        <w:rPr>
          <w:rFonts w:ascii="Calibri" w:hAnsi="Calibri" w:cs="Calibri"/>
          <w:b/>
          <w:bCs/>
        </w:rPr>
      </w:pPr>
      <w:bookmarkStart w:id="70" w:name="_Toc235080286"/>
      <w:r w:rsidRPr="00203191">
        <w:rPr>
          <w:rFonts w:ascii="Calibri" w:hAnsi="Calibri" w:cs="Calibri"/>
          <w:b/>
          <w:bCs/>
        </w:rPr>
        <w:t>2.1. Ogólne wymagania</w:t>
      </w:r>
      <w:bookmarkEnd w:id="70"/>
    </w:p>
    <w:p w:rsidR="00656AC1" w:rsidRPr="00203191" w:rsidRDefault="00656AC1" w:rsidP="00364E4D">
      <w:pPr>
        <w:rPr>
          <w:rFonts w:ascii="Calibri" w:hAnsi="Calibri" w:cs="Calibri"/>
        </w:rPr>
      </w:pPr>
      <w:r w:rsidRPr="00203191">
        <w:rPr>
          <w:rFonts w:ascii="Calibri" w:hAnsi="Calibri" w:cs="Calibri"/>
        </w:rPr>
        <w:t xml:space="preserve">Ogólne wymagania dotyczące materiałów podano w </w:t>
      </w:r>
      <w:r w:rsidR="005B48CA">
        <w:rPr>
          <w:rFonts w:ascii="Calibri" w:hAnsi="Calibri" w:cs="Calibri"/>
        </w:rPr>
        <w:t>STWiORB</w:t>
      </w:r>
      <w:r w:rsidRPr="00203191">
        <w:rPr>
          <w:rFonts w:ascii="Calibri" w:hAnsi="Calibri" w:cs="Calibri"/>
        </w:rPr>
        <w:t xml:space="preserve"> D-M-00.00.00 „Wymagania ogólne”.</w:t>
      </w:r>
    </w:p>
    <w:p w:rsidR="00656AC1" w:rsidRPr="00203191" w:rsidRDefault="00656AC1" w:rsidP="00364E4D">
      <w:pPr>
        <w:rPr>
          <w:rFonts w:ascii="Calibri" w:hAnsi="Calibri" w:cs="Calibri"/>
        </w:rPr>
      </w:pPr>
      <w:r w:rsidRPr="00203191">
        <w:rPr>
          <w:rFonts w:ascii="Calibri" w:hAnsi="Calibri" w:cs="Calibri"/>
        </w:rPr>
        <w:t xml:space="preserve">Wszystkie zakupione przez Wykonawcę </w:t>
      </w:r>
      <w:r w:rsidR="00A95FEE">
        <w:rPr>
          <w:rFonts w:ascii="Calibri" w:hAnsi="Calibri" w:cs="Calibri"/>
        </w:rPr>
        <w:t>wyroby budowlane</w:t>
      </w:r>
      <w:r w:rsidRPr="00203191">
        <w:rPr>
          <w:rFonts w:ascii="Calibri" w:hAnsi="Calibri" w:cs="Calibri"/>
        </w:rPr>
        <w:t>, dla których normy PN i BN przewidują posiadanie zaświadczenia o jakości lub atestu, powinny być zaopatrzone przez producenta w taki dokument.</w:t>
      </w:r>
    </w:p>
    <w:p w:rsidR="00656AC1" w:rsidRPr="00203191" w:rsidRDefault="00656AC1" w:rsidP="00364E4D">
      <w:pPr>
        <w:rPr>
          <w:rFonts w:ascii="Calibri" w:hAnsi="Calibri" w:cs="Calibri"/>
        </w:rPr>
      </w:pPr>
      <w:r w:rsidRPr="00203191">
        <w:rPr>
          <w:rFonts w:ascii="Calibri" w:hAnsi="Calibri" w:cs="Calibri"/>
        </w:rPr>
        <w:t xml:space="preserve">Inne </w:t>
      </w:r>
      <w:r w:rsidR="00A95FEE">
        <w:rPr>
          <w:rFonts w:ascii="Calibri" w:hAnsi="Calibri" w:cs="Calibri"/>
        </w:rPr>
        <w:t>wyroby budowlane</w:t>
      </w:r>
      <w:r w:rsidRPr="00203191">
        <w:rPr>
          <w:rFonts w:ascii="Calibri" w:hAnsi="Calibri" w:cs="Calibri"/>
        </w:rPr>
        <w:t xml:space="preserve"> powinny być wyposażone w takie dokumenty na życzenie Inżyniera.</w:t>
      </w:r>
    </w:p>
    <w:p w:rsidR="00656AC1" w:rsidRPr="00203191" w:rsidRDefault="00656AC1" w:rsidP="00364E4D">
      <w:pPr>
        <w:rPr>
          <w:rFonts w:ascii="Calibri" w:hAnsi="Calibri" w:cs="Calibri"/>
          <w:b/>
          <w:bCs/>
        </w:rPr>
      </w:pPr>
      <w:bookmarkStart w:id="71" w:name="_Toc235080287"/>
      <w:r w:rsidRPr="00203191">
        <w:rPr>
          <w:rFonts w:ascii="Calibri" w:hAnsi="Calibri" w:cs="Calibri"/>
          <w:b/>
          <w:bCs/>
        </w:rPr>
        <w:t>2.2. Kable</w:t>
      </w:r>
      <w:bookmarkEnd w:id="71"/>
    </w:p>
    <w:p w:rsidR="00656AC1" w:rsidRPr="00203191" w:rsidRDefault="00656AC1" w:rsidP="00364E4D">
      <w:pPr>
        <w:rPr>
          <w:rFonts w:ascii="Calibri" w:hAnsi="Calibri" w:cs="Calibri"/>
        </w:rPr>
      </w:pPr>
      <w:r w:rsidRPr="00203191">
        <w:rPr>
          <w:rFonts w:ascii="Calibri" w:hAnsi="Calibri" w:cs="Calibri"/>
        </w:rPr>
        <w:t>Przy przebudowie istniejących linii kablowych lub budowie nowych należy stosować kable uzgodnione z zakładem energetycznym oraz zakładem oświetlenia ulicznego i drogowego i  zgodne z dokumentacją projektową.</w:t>
      </w:r>
    </w:p>
    <w:p w:rsidR="00656AC1" w:rsidRPr="00203191" w:rsidRDefault="00656AC1" w:rsidP="00364E4D">
      <w:pPr>
        <w:rPr>
          <w:rFonts w:ascii="Calibri" w:hAnsi="Calibri" w:cs="Calibri"/>
        </w:rPr>
      </w:pPr>
      <w:r w:rsidRPr="00203191">
        <w:rPr>
          <w:rFonts w:ascii="Calibri" w:hAnsi="Calibri" w:cs="Calibri"/>
        </w:rPr>
        <w:t>Bębny z kablami należy przechowywać w pomieszczeniach pokrytych dachem, na utwardzonym podłożu.</w:t>
      </w:r>
    </w:p>
    <w:p w:rsidR="00656AC1" w:rsidRPr="00203191" w:rsidRDefault="00656AC1" w:rsidP="00364E4D">
      <w:pPr>
        <w:rPr>
          <w:rFonts w:ascii="Calibri" w:hAnsi="Calibri" w:cs="Calibri"/>
          <w:b/>
          <w:bCs/>
        </w:rPr>
      </w:pPr>
      <w:bookmarkStart w:id="72" w:name="_Toc235080288"/>
      <w:r w:rsidRPr="00203191">
        <w:rPr>
          <w:rFonts w:ascii="Calibri" w:hAnsi="Calibri" w:cs="Calibri"/>
          <w:b/>
          <w:bCs/>
        </w:rPr>
        <w:lastRenderedPageBreak/>
        <w:t>2.3. Mufy i głowice kablowe</w:t>
      </w:r>
      <w:bookmarkEnd w:id="72"/>
    </w:p>
    <w:p w:rsidR="00656AC1" w:rsidRPr="00203191" w:rsidRDefault="00656AC1" w:rsidP="00364E4D">
      <w:pPr>
        <w:rPr>
          <w:rFonts w:ascii="Calibri" w:hAnsi="Calibri" w:cs="Calibri"/>
        </w:rPr>
      </w:pPr>
      <w:r w:rsidRPr="00203191">
        <w:rPr>
          <w:rFonts w:ascii="Calibri" w:hAnsi="Calibri" w:cs="Calibri"/>
        </w:rPr>
        <w:t>Mufy i głowice powinny być dostosowane do typu kabla, jego napięcia znamionowego, przekroju i liczby żył oraz do mocy zwarcia, występujących w miejscach ich zainstalowania. Mufy przelotowe kabli o powłoce metalowej o napięciu znamionowym wyższym niż 1 kV powinny mieć wkładki metalowe do łączenia z powłokami metalowymi łączonych kabli.</w:t>
      </w:r>
    </w:p>
    <w:p w:rsidR="00656AC1" w:rsidRPr="00203191" w:rsidRDefault="00656AC1" w:rsidP="00364E4D">
      <w:pPr>
        <w:rPr>
          <w:rFonts w:ascii="Calibri" w:hAnsi="Calibri" w:cs="Calibri"/>
        </w:rPr>
      </w:pPr>
      <w:r w:rsidRPr="00203191">
        <w:rPr>
          <w:rFonts w:ascii="Calibri" w:hAnsi="Calibri" w:cs="Calibri"/>
        </w:rPr>
        <w:t>Mufy i głowice kablowe powinny być zgodne z postanowieniami PN-74/E-06401.</w:t>
      </w:r>
    </w:p>
    <w:p w:rsidR="00656AC1" w:rsidRPr="00203191" w:rsidRDefault="00656AC1" w:rsidP="00364E4D">
      <w:pPr>
        <w:rPr>
          <w:rFonts w:ascii="Calibri" w:hAnsi="Calibri" w:cs="Calibri"/>
          <w:b/>
          <w:bCs/>
        </w:rPr>
      </w:pPr>
      <w:bookmarkStart w:id="73" w:name="_Toc235080289"/>
      <w:r w:rsidRPr="00203191">
        <w:rPr>
          <w:rFonts w:ascii="Calibri" w:hAnsi="Calibri" w:cs="Calibri"/>
          <w:b/>
          <w:bCs/>
        </w:rPr>
        <w:t>2.4. Piasek</w:t>
      </w:r>
      <w:bookmarkEnd w:id="73"/>
    </w:p>
    <w:p w:rsidR="00656AC1" w:rsidRPr="00203191" w:rsidRDefault="00656AC1" w:rsidP="00364E4D">
      <w:pPr>
        <w:rPr>
          <w:rFonts w:ascii="Calibri" w:hAnsi="Calibri" w:cs="Calibri"/>
        </w:rPr>
      </w:pPr>
      <w:r w:rsidRPr="00203191">
        <w:rPr>
          <w:rFonts w:ascii="Calibri" w:hAnsi="Calibri" w:cs="Calibri"/>
        </w:rPr>
        <w:t>Piasek do układania kabli w gruncie powinien odpowiadać wymaganiom BN-87/6774-04.</w:t>
      </w:r>
    </w:p>
    <w:p w:rsidR="00656AC1" w:rsidRPr="00203191" w:rsidRDefault="00656AC1" w:rsidP="00364E4D">
      <w:pPr>
        <w:rPr>
          <w:rFonts w:ascii="Calibri" w:hAnsi="Calibri" w:cs="Calibri"/>
          <w:b/>
          <w:bCs/>
        </w:rPr>
      </w:pPr>
      <w:bookmarkStart w:id="74" w:name="_Toc235080290"/>
      <w:r w:rsidRPr="00203191">
        <w:rPr>
          <w:rFonts w:ascii="Calibri" w:hAnsi="Calibri" w:cs="Calibri"/>
          <w:b/>
          <w:bCs/>
        </w:rPr>
        <w:t>2.5. Folia</w:t>
      </w:r>
      <w:bookmarkEnd w:id="74"/>
    </w:p>
    <w:p w:rsidR="00656AC1" w:rsidRPr="00203191" w:rsidRDefault="00656AC1" w:rsidP="00364E4D">
      <w:pPr>
        <w:rPr>
          <w:rFonts w:ascii="Calibri" w:hAnsi="Calibri" w:cs="Calibri"/>
        </w:rPr>
      </w:pPr>
      <w:r w:rsidRPr="00203191">
        <w:rPr>
          <w:rFonts w:ascii="Calibri" w:hAnsi="Calibri" w:cs="Calibri"/>
        </w:rPr>
        <w:t>Folię należy stosować do ochrony kabli przed uszkodzeniami mechanicznymi. Zaleca się stosowanie folii kalendrowanej z uplastycznionego PCW o grubości od 0,4 do 0,6 mm, gat. I. Dla ochrony kabli o napięciu znamionowym do 30 kV, należy stosować folię koloru czerwonego.</w:t>
      </w:r>
    </w:p>
    <w:p w:rsidR="00656AC1" w:rsidRPr="00203191" w:rsidRDefault="00656AC1" w:rsidP="00364E4D">
      <w:pPr>
        <w:rPr>
          <w:rFonts w:ascii="Calibri" w:hAnsi="Calibri" w:cs="Calibri"/>
        </w:rPr>
      </w:pPr>
      <w:r w:rsidRPr="00203191">
        <w:rPr>
          <w:rFonts w:ascii="Calibri" w:hAnsi="Calibri" w:cs="Calibri"/>
        </w:rPr>
        <w:t>Szerokość folii powinna być taka, aby przykrywała ułożone kable, lecz nie węższa niż 20 cm.</w:t>
      </w:r>
    </w:p>
    <w:p w:rsidR="00656AC1" w:rsidRPr="00203191" w:rsidRDefault="00656AC1" w:rsidP="00364E4D">
      <w:pPr>
        <w:rPr>
          <w:rFonts w:ascii="Calibri" w:hAnsi="Calibri" w:cs="Calibri"/>
        </w:rPr>
      </w:pPr>
      <w:r w:rsidRPr="00203191">
        <w:rPr>
          <w:rFonts w:ascii="Calibri" w:hAnsi="Calibri" w:cs="Calibri"/>
        </w:rPr>
        <w:t>Folia powinna spełniać wymagania BN-68/6353-03.</w:t>
      </w:r>
    </w:p>
    <w:p w:rsidR="00656AC1" w:rsidRPr="00203191" w:rsidRDefault="00656AC1" w:rsidP="00364E4D">
      <w:pPr>
        <w:rPr>
          <w:rFonts w:ascii="Calibri" w:hAnsi="Calibri" w:cs="Calibri"/>
          <w:b/>
          <w:bCs/>
        </w:rPr>
      </w:pPr>
      <w:bookmarkStart w:id="75" w:name="_Toc235080291"/>
      <w:r w:rsidRPr="00203191">
        <w:rPr>
          <w:rFonts w:ascii="Calibri" w:hAnsi="Calibri" w:cs="Calibri"/>
          <w:b/>
          <w:bCs/>
        </w:rPr>
        <w:t>2.6. Przepusty kablowe</w:t>
      </w:r>
      <w:bookmarkEnd w:id="75"/>
    </w:p>
    <w:p w:rsidR="00656AC1" w:rsidRPr="00203191" w:rsidRDefault="00656AC1" w:rsidP="00364E4D">
      <w:pPr>
        <w:rPr>
          <w:rFonts w:ascii="Calibri" w:hAnsi="Calibri" w:cs="Calibri"/>
        </w:rPr>
      </w:pPr>
      <w:r w:rsidRPr="00203191">
        <w:rPr>
          <w:rFonts w:ascii="Calibri" w:hAnsi="Calibri" w:cs="Calibri"/>
        </w:rPr>
        <w:t>Przepusty kablowe powinny być wykonane z materiałów niepalnych, z tworzyw sztucznych lub stali, wytrzymałych mechanicznie, chemicznie i odpornych na działanie łuku elektrycznego.</w:t>
      </w:r>
    </w:p>
    <w:p w:rsidR="00656AC1" w:rsidRPr="00203191" w:rsidRDefault="00656AC1" w:rsidP="00364E4D">
      <w:pPr>
        <w:rPr>
          <w:rFonts w:ascii="Calibri" w:hAnsi="Calibri" w:cs="Calibri"/>
        </w:rPr>
      </w:pPr>
      <w:r w:rsidRPr="00203191">
        <w:rPr>
          <w:rFonts w:ascii="Calibri" w:hAnsi="Calibri" w:cs="Calibri"/>
        </w:rPr>
        <w:t>Rury używane na przepusty powinny być dostatecznie wytrzymałe na działanie sił ściskających, z jakimi należy liczyć się w miejscu ich ułożenia. Wnętrza ścianek powinny być gładkie lub powleczone warstwą wygładzającą ich powierzchnię, dla ułatwienia przesuwania się kabli.</w:t>
      </w:r>
    </w:p>
    <w:p w:rsidR="00656AC1" w:rsidRPr="00203191" w:rsidRDefault="00656AC1" w:rsidP="00364E4D">
      <w:pPr>
        <w:rPr>
          <w:rFonts w:ascii="Calibri" w:hAnsi="Calibri" w:cs="Calibri"/>
        </w:rPr>
      </w:pPr>
      <w:r w:rsidRPr="00203191">
        <w:rPr>
          <w:rFonts w:ascii="Calibri" w:hAnsi="Calibri" w:cs="Calibri"/>
        </w:rPr>
        <w:t>Zaleca się stosowanie na przepusty kablowe rur stalowych lub rur z polichlorku winylu (PCW) o średnicy wewnętrznej nie mniejszej niż 150 mm . Przy zmianie trasy kabla należy stosować kolana rurowe R=90</w:t>
      </w:r>
      <w:r w:rsidRPr="00203191">
        <w:rPr>
          <w:rFonts w:ascii="Calibri" w:hAnsi="Calibri" w:cs="Calibri"/>
        </w:rPr>
        <w:sym w:font="Symbol" w:char="F0B0"/>
      </w:r>
      <w:r w:rsidRPr="00203191">
        <w:rPr>
          <w:rFonts w:ascii="Calibri" w:hAnsi="Calibri" w:cs="Calibri"/>
        </w:rPr>
        <w:t>(45</w:t>
      </w:r>
      <w:r w:rsidRPr="00203191">
        <w:rPr>
          <w:rFonts w:ascii="Calibri" w:hAnsi="Calibri" w:cs="Calibri"/>
        </w:rPr>
        <w:sym w:font="Symbol" w:char="F0B0"/>
      </w:r>
      <w:r w:rsidRPr="00203191">
        <w:rPr>
          <w:rFonts w:ascii="Calibri" w:hAnsi="Calibri" w:cs="Calibri"/>
        </w:rPr>
        <w:t>) w celu zachowania drożności osłony.</w:t>
      </w:r>
    </w:p>
    <w:p w:rsidR="00656AC1" w:rsidRPr="00203191" w:rsidRDefault="00656AC1" w:rsidP="00364E4D">
      <w:pPr>
        <w:rPr>
          <w:rFonts w:ascii="Calibri" w:hAnsi="Calibri" w:cs="Calibri"/>
        </w:rPr>
      </w:pPr>
      <w:r w:rsidRPr="00203191">
        <w:rPr>
          <w:rFonts w:ascii="Calibri" w:hAnsi="Calibri" w:cs="Calibri"/>
        </w:rPr>
        <w:t>Rury na przepusty kablowe należy przechowywać na utwardzonym placu, w miejscach zabezpieczonych przed działaniem sił mechanicznych.</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76" w:name="_Toc235080292"/>
      <w:r w:rsidRPr="00203191">
        <w:rPr>
          <w:rFonts w:ascii="Calibri" w:hAnsi="Calibri" w:cs="Calibri"/>
          <w:b/>
          <w:bCs/>
        </w:rPr>
        <w:t>3. S</w:t>
      </w:r>
      <w:bookmarkEnd w:id="76"/>
      <w:r w:rsidRPr="00203191">
        <w:rPr>
          <w:rFonts w:ascii="Calibri" w:hAnsi="Calibri" w:cs="Calibri"/>
          <w:b/>
          <w:bCs/>
        </w:rPr>
        <w:t>PRZĘT</w:t>
      </w:r>
    </w:p>
    <w:p w:rsidR="00656AC1" w:rsidRPr="00203191" w:rsidRDefault="00656AC1" w:rsidP="00364E4D">
      <w:pPr>
        <w:rPr>
          <w:rFonts w:ascii="Calibri" w:hAnsi="Calibri" w:cs="Calibri"/>
          <w:b/>
          <w:bCs/>
        </w:rPr>
      </w:pPr>
      <w:bookmarkStart w:id="77" w:name="_Toc235080293"/>
      <w:r w:rsidRPr="00203191">
        <w:rPr>
          <w:rFonts w:ascii="Calibri" w:hAnsi="Calibri" w:cs="Calibri"/>
          <w:b/>
          <w:bCs/>
        </w:rPr>
        <w:t>3.1. Ogólne wymagania</w:t>
      </w:r>
      <w:bookmarkEnd w:id="77"/>
    </w:p>
    <w:p w:rsidR="00656AC1" w:rsidRPr="00203191" w:rsidRDefault="00656AC1" w:rsidP="00364E4D">
      <w:pPr>
        <w:rPr>
          <w:rFonts w:ascii="Calibri" w:hAnsi="Calibri" w:cs="Calibri"/>
        </w:rPr>
      </w:pPr>
      <w:r w:rsidRPr="00203191">
        <w:rPr>
          <w:rFonts w:ascii="Calibri" w:hAnsi="Calibri" w:cs="Calibri"/>
        </w:rPr>
        <w:t>Wykonawca jest zobowiązany do używania jedynie takiego sprzętu, który nie spowoduje niekorzystnego wpływu na jakość wykonywanych robót, zarówno w miejscu tych robót, jak też przy wykonywaniu czynności pomocniczych oraz w czasie transportu, załadunku i wyładunku materiałów, sprzętu itp.</w:t>
      </w:r>
    </w:p>
    <w:p w:rsidR="00656AC1" w:rsidRPr="00203191" w:rsidRDefault="00656AC1" w:rsidP="00364E4D">
      <w:pPr>
        <w:rPr>
          <w:rFonts w:ascii="Calibri" w:hAnsi="Calibri" w:cs="Calibri"/>
        </w:rPr>
      </w:pPr>
      <w:r w:rsidRPr="00203191">
        <w:rPr>
          <w:rFonts w:ascii="Calibri" w:hAnsi="Calibri" w:cs="Calibri"/>
        </w:rPr>
        <w:t>Sprzęt używany przez Wykonawcę powinien uzyskać akceptację Inżyniera.</w:t>
      </w:r>
    </w:p>
    <w:p w:rsidR="00656AC1" w:rsidRPr="00203191" w:rsidRDefault="00656AC1" w:rsidP="00364E4D">
      <w:pPr>
        <w:rPr>
          <w:rFonts w:ascii="Calibri" w:hAnsi="Calibri" w:cs="Calibri"/>
        </w:rPr>
      </w:pPr>
      <w:r w:rsidRPr="00203191">
        <w:rPr>
          <w:rFonts w:ascii="Calibri" w:hAnsi="Calibri" w:cs="Calibri"/>
        </w:rPr>
        <w:t xml:space="preserve">Liczba i wydajność sprzętu powinna gwarantować wykonanie robót zgodnie z zasadami określonymi w dokumentacji projektowej,  </w:t>
      </w:r>
      <w:r w:rsidR="005B48CA">
        <w:rPr>
          <w:rFonts w:ascii="Calibri" w:hAnsi="Calibri" w:cs="Calibri"/>
        </w:rPr>
        <w:t>STWiORB</w:t>
      </w:r>
      <w:r w:rsidRPr="00203191">
        <w:rPr>
          <w:rFonts w:ascii="Calibri" w:hAnsi="Calibri" w:cs="Calibri"/>
        </w:rPr>
        <w:t xml:space="preserve"> i wskazaniach Inżyniera w terminie przewidzianym kontraktem.</w:t>
      </w:r>
    </w:p>
    <w:p w:rsidR="00656AC1" w:rsidRPr="00203191" w:rsidRDefault="00656AC1" w:rsidP="00364E4D">
      <w:pPr>
        <w:rPr>
          <w:rFonts w:ascii="Calibri" w:hAnsi="Calibri" w:cs="Calibri"/>
          <w:b/>
          <w:bCs/>
        </w:rPr>
      </w:pPr>
      <w:bookmarkStart w:id="78" w:name="_Toc235080294"/>
      <w:r w:rsidRPr="00203191">
        <w:rPr>
          <w:rFonts w:ascii="Calibri" w:hAnsi="Calibri" w:cs="Calibri"/>
          <w:b/>
          <w:bCs/>
        </w:rPr>
        <w:t>3.2. Sprzęt do wykonania linii  kablowej</w:t>
      </w:r>
      <w:bookmarkEnd w:id="78"/>
    </w:p>
    <w:p w:rsidR="00656AC1" w:rsidRPr="00203191" w:rsidRDefault="00656AC1" w:rsidP="00364E4D">
      <w:pPr>
        <w:rPr>
          <w:rFonts w:ascii="Calibri" w:hAnsi="Calibri" w:cs="Calibri"/>
        </w:rPr>
      </w:pPr>
      <w:r w:rsidRPr="00203191">
        <w:rPr>
          <w:rFonts w:ascii="Calibri" w:hAnsi="Calibri" w:cs="Calibri"/>
        </w:rPr>
        <w:t>Wykonawca przystępujący do przebudowy linii kablowej winien wykazać się możliwością korzystania z następujących maszyn i sprzętu, gwarantujących właściwą jakość robót:</w:t>
      </w:r>
    </w:p>
    <w:p w:rsidR="00656AC1" w:rsidRPr="00203191" w:rsidRDefault="00656AC1" w:rsidP="00364E4D">
      <w:pPr>
        <w:rPr>
          <w:rFonts w:ascii="Calibri" w:hAnsi="Calibri" w:cs="Calibri"/>
        </w:rPr>
      </w:pPr>
      <w:r w:rsidRPr="00203191">
        <w:rPr>
          <w:rFonts w:ascii="Calibri" w:hAnsi="Calibri" w:cs="Calibri"/>
        </w:rPr>
        <w:t>spawarki transformatorowej,</w:t>
      </w:r>
    </w:p>
    <w:p w:rsidR="00656AC1" w:rsidRPr="00203191" w:rsidRDefault="00656AC1" w:rsidP="00364E4D">
      <w:pPr>
        <w:rPr>
          <w:rFonts w:ascii="Calibri" w:hAnsi="Calibri" w:cs="Calibri"/>
        </w:rPr>
      </w:pPr>
      <w:r w:rsidRPr="00203191">
        <w:rPr>
          <w:rFonts w:ascii="Calibri" w:hAnsi="Calibri" w:cs="Calibri"/>
        </w:rPr>
        <w:t>zagęszczarki wibracyjnej spalinowej,</w:t>
      </w:r>
    </w:p>
    <w:p w:rsidR="00656AC1" w:rsidRPr="00203191" w:rsidRDefault="00656AC1" w:rsidP="00364E4D">
      <w:pPr>
        <w:rPr>
          <w:rFonts w:ascii="Calibri" w:hAnsi="Calibri" w:cs="Calibri"/>
        </w:rPr>
      </w:pPr>
      <w:r w:rsidRPr="00203191">
        <w:rPr>
          <w:rFonts w:ascii="Calibri" w:hAnsi="Calibri" w:cs="Calibri"/>
        </w:rPr>
        <w:t xml:space="preserve">ręcznego zestawu świdrów do wiercenia poziomego otworów do </w:t>
      </w:r>
      <w:r w:rsidRPr="00203191">
        <w:rPr>
          <w:rFonts w:ascii="Calibri" w:hAnsi="Calibri" w:cs="Calibri"/>
        </w:rPr>
        <w:sym w:font="Symbol" w:char="F0C6"/>
      </w:r>
      <w:r w:rsidRPr="00203191">
        <w:rPr>
          <w:rFonts w:ascii="Calibri" w:hAnsi="Calibri" w:cs="Calibri"/>
        </w:rPr>
        <w:t xml:space="preserve"> 15 cm,</w:t>
      </w:r>
    </w:p>
    <w:p w:rsidR="00656AC1" w:rsidRPr="00203191" w:rsidRDefault="00656AC1" w:rsidP="00364E4D">
      <w:pPr>
        <w:rPr>
          <w:rFonts w:ascii="Calibri" w:hAnsi="Calibri" w:cs="Calibri"/>
        </w:rPr>
      </w:pPr>
      <w:r w:rsidRPr="00203191">
        <w:rPr>
          <w:rFonts w:ascii="Calibri" w:hAnsi="Calibri" w:cs="Calibri"/>
        </w:rPr>
        <w:t>wciągarki mechanicznej z napędem elektrycznym od 5 do 10 t.,</w:t>
      </w:r>
    </w:p>
    <w:p w:rsidR="00656AC1" w:rsidRPr="00203191" w:rsidRDefault="00656AC1" w:rsidP="00364E4D">
      <w:pPr>
        <w:rPr>
          <w:rFonts w:ascii="Calibri" w:hAnsi="Calibri" w:cs="Calibri"/>
        </w:rPr>
      </w:pPr>
      <w:r w:rsidRPr="00203191">
        <w:rPr>
          <w:rFonts w:ascii="Calibri" w:hAnsi="Calibri" w:cs="Calibri"/>
        </w:rPr>
        <w:t>zespołu prądotwórczego trójfazowego, przewoźnego 20 kVA.</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79" w:name="_Toc466861804"/>
      <w:bookmarkStart w:id="80" w:name="_Toc235080295"/>
      <w:r w:rsidRPr="00203191">
        <w:rPr>
          <w:rFonts w:ascii="Calibri" w:hAnsi="Calibri" w:cs="Calibri"/>
          <w:b/>
          <w:bCs/>
        </w:rPr>
        <w:t>4. T</w:t>
      </w:r>
      <w:bookmarkEnd w:id="79"/>
      <w:bookmarkEnd w:id="80"/>
      <w:r w:rsidRPr="00203191">
        <w:rPr>
          <w:rFonts w:ascii="Calibri" w:hAnsi="Calibri" w:cs="Calibri"/>
          <w:b/>
          <w:bCs/>
        </w:rPr>
        <w:t>RANSPORT</w:t>
      </w:r>
    </w:p>
    <w:p w:rsidR="00656AC1" w:rsidRPr="00203191" w:rsidRDefault="00656AC1" w:rsidP="00364E4D">
      <w:pPr>
        <w:rPr>
          <w:rFonts w:ascii="Calibri" w:hAnsi="Calibri" w:cs="Calibri"/>
          <w:b/>
          <w:bCs/>
        </w:rPr>
      </w:pPr>
      <w:bookmarkStart w:id="81" w:name="_Toc235080296"/>
      <w:r w:rsidRPr="00203191">
        <w:rPr>
          <w:rFonts w:ascii="Calibri" w:hAnsi="Calibri" w:cs="Calibri"/>
          <w:b/>
          <w:bCs/>
        </w:rPr>
        <w:t>4.1. Ogólne wymagania</w:t>
      </w:r>
      <w:bookmarkEnd w:id="81"/>
    </w:p>
    <w:p w:rsidR="00656AC1" w:rsidRPr="00203191" w:rsidRDefault="00656AC1" w:rsidP="00364E4D">
      <w:pPr>
        <w:rPr>
          <w:rFonts w:ascii="Calibri" w:hAnsi="Calibri" w:cs="Calibri"/>
        </w:rPr>
      </w:pPr>
      <w:r w:rsidRPr="00203191">
        <w:rPr>
          <w:rFonts w:ascii="Calibri" w:hAnsi="Calibri" w:cs="Calibri"/>
        </w:rPr>
        <w:t>Wykonawca jest zobowiązany do stosowania jedynie takich środków transportu, które nie wpłyną niekorzystnie na jakość wykonywanych robót.</w:t>
      </w:r>
    </w:p>
    <w:p w:rsidR="00656AC1" w:rsidRPr="00203191" w:rsidRDefault="00656AC1" w:rsidP="00364E4D">
      <w:pPr>
        <w:rPr>
          <w:rFonts w:ascii="Calibri" w:hAnsi="Calibri" w:cs="Calibri"/>
        </w:rPr>
      </w:pPr>
      <w:r w:rsidRPr="00203191">
        <w:rPr>
          <w:rFonts w:ascii="Calibri" w:hAnsi="Calibri" w:cs="Calibri"/>
        </w:rPr>
        <w:t>Liczba środków transportu powinna gwarantować prowadzenie robót zgodnie z zasadami określonymi w dokumentacji projektowej i wskazaniach Inżyniera, w terminie przewidzianym kontraktem.</w:t>
      </w:r>
    </w:p>
    <w:p w:rsidR="00656AC1" w:rsidRPr="00203191" w:rsidRDefault="00656AC1" w:rsidP="00364E4D">
      <w:pPr>
        <w:rPr>
          <w:rFonts w:ascii="Calibri" w:hAnsi="Calibri" w:cs="Calibri"/>
          <w:b/>
          <w:bCs/>
        </w:rPr>
      </w:pPr>
      <w:bookmarkStart w:id="82" w:name="_Toc235080297"/>
      <w:r w:rsidRPr="00203191">
        <w:rPr>
          <w:rFonts w:ascii="Calibri" w:hAnsi="Calibri" w:cs="Calibri"/>
          <w:b/>
          <w:bCs/>
        </w:rPr>
        <w:t>4.2. Środki transportu</w:t>
      </w:r>
      <w:bookmarkEnd w:id="82"/>
    </w:p>
    <w:p w:rsidR="00656AC1" w:rsidRPr="00203191" w:rsidRDefault="00656AC1" w:rsidP="00364E4D">
      <w:pPr>
        <w:rPr>
          <w:rFonts w:ascii="Calibri" w:hAnsi="Calibri" w:cs="Calibri"/>
        </w:rPr>
      </w:pPr>
      <w:r w:rsidRPr="00203191">
        <w:rPr>
          <w:rFonts w:ascii="Calibri" w:hAnsi="Calibri" w:cs="Calibri"/>
        </w:rPr>
        <w:t>Wykonawca przystępujący do przebudowy linii kablowej powinien wykazać się możliwością korzystania z następujących  środków transportu:</w:t>
      </w:r>
    </w:p>
    <w:p w:rsidR="00656AC1" w:rsidRPr="00203191" w:rsidRDefault="00656AC1" w:rsidP="00364E4D">
      <w:pPr>
        <w:rPr>
          <w:rFonts w:ascii="Calibri" w:hAnsi="Calibri" w:cs="Calibri"/>
        </w:rPr>
      </w:pPr>
      <w:r w:rsidRPr="00203191">
        <w:rPr>
          <w:rFonts w:ascii="Calibri" w:hAnsi="Calibri" w:cs="Calibri"/>
        </w:rPr>
        <w:t>samochodu skrzyniowego,</w:t>
      </w:r>
    </w:p>
    <w:p w:rsidR="00656AC1" w:rsidRPr="00203191" w:rsidRDefault="00656AC1" w:rsidP="00364E4D">
      <w:pPr>
        <w:rPr>
          <w:rFonts w:ascii="Calibri" w:hAnsi="Calibri" w:cs="Calibri"/>
        </w:rPr>
      </w:pPr>
      <w:r w:rsidRPr="00203191">
        <w:rPr>
          <w:rFonts w:ascii="Calibri" w:hAnsi="Calibri" w:cs="Calibri"/>
        </w:rPr>
        <w:t>samochodu dostawczego,</w:t>
      </w:r>
    </w:p>
    <w:p w:rsidR="00656AC1" w:rsidRPr="00203191" w:rsidRDefault="00656AC1" w:rsidP="00364E4D">
      <w:pPr>
        <w:rPr>
          <w:rFonts w:ascii="Calibri" w:hAnsi="Calibri" w:cs="Calibri"/>
        </w:rPr>
      </w:pPr>
      <w:r w:rsidRPr="00203191">
        <w:rPr>
          <w:rFonts w:ascii="Calibri" w:hAnsi="Calibri" w:cs="Calibri"/>
        </w:rPr>
        <w:lastRenderedPageBreak/>
        <w:t>przyczepy do przewożenia kabli,</w:t>
      </w:r>
    </w:p>
    <w:p w:rsidR="00656AC1" w:rsidRPr="00203191" w:rsidRDefault="00656AC1" w:rsidP="00364E4D">
      <w:pPr>
        <w:rPr>
          <w:rFonts w:ascii="Calibri" w:hAnsi="Calibri" w:cs="Calibri"/>
        </w:rPr>
      </w:pPr>
      <w:r w:rsidRPr="00203191">
        <w:rPr>
          <w:rFonts w:ascii="Calibri" w:hAnsi="Calibri" w:cs="Calibri"/>
        </w:rPr>
        <w:t>samochodu samowyładowczego,</w:t>
      </w:r>
    </w:p>
    <w:p w:rsidR="00656AC1" w:rsidRPr="00203191" w:rsidRDefault="00656AC1" w:rsidP="00364E4D">
      <w:pPr>
        <w:rPr>
          <w:rFonts w:ascii="Calibri" w:hAnsi="Calibri" w:cs="Calibri"/>
        </w:rPr>
      </w:pPr>
      <w:r w:rsidRPr="00203191">
        <w:rPr>
          <w:rFonts w:ascii="Calibri" w:hAnsi="Calibri" w:cs="Calibri"/>
        </w:rPr>
        <w:t>ciągnika kołowego.</w:t>
      </w:r>
    </w:p>
    <w:p w:rsidR="00656AC1" w:rsidRPr="00203191" w:rsidRDefault="00656AC1" w:rsidP="00364E4D">
      <w:pPr>
        <w:rPr>
          <w:rFonts w:ascii="Calibri" w:hAnsi="Calibri" w:cs="Calibri"/>
        </w:rPr>
      </w:pPr>
      <w:r w:rsidRPr="00203191">
        <w:rPr>
          <w:rFonts w:ascii="Calibri" w:hAnsi="Calibri" w:cs="Calibri"/>
        </w:rPr>
        <w:t xml:space="preserve">Na środkach transportu przewożone </w:t>
      </w:r>
      <w:r w:rsidR="00A95FEE">
        <w:rPr>
          <w:rFonts w:ascii="Calibri" w:hAnsi="Calibri" w:cs="Calibri"/>
        </w:rPr>
        <w:t>wyroby budowlane</w:t>
      </w:r>
      <w:r w:rsidRPr="00203191">
        <w:rPr>
          <w:rFonts w:ascii="Calibri" w:hAnsi="Calibri" w:cs="Calibri"/>
        </w:rPr>
        <w:t xml:space="preserve"> powinny być zabezpieczone przed ich przemieszczaniem i układane zgodnie z warunkami transportu wydanymi przez ich wytwórcę.</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83" w:name="_Toc235080298"/>
      <w:r w:rsidRPr="00203191">
        <w:rPr>
          <w:rFonts w:ascii="Calibri" w:hAnsi="Calibri" w:cs="Calibri"/>
          <w:b/>
          <w:bCs/>
        </w:rPr>
        <w:t>5. W</w:t>
      </w:r>
      <w:bookmarkEnd w:id="83"/>
      <w:r w:rsidRPr="00203191">
        <w:rPr>
          <w:rFonts w:ascii="Calibri" w:hAnsi="Calibri" w:cs="Calibri"/>
          <w:b/>
          <w:bCs/>
        </w:rPr>
        <w:t>YKONANIE ROBÓT</w:t>
      </w:r>
    </w:p>
    <w:p w:rsidR="00656AC1" w:rsidRPr="00203191" w:rsidRDefault="00656AC1" w:rsidP="00364E4D">
      <w:pPr>
        <w:rPr>
          <w:rFonts w:ascii="Calibri" w:hAnsi="Calibri" w:cs="Calibri"/>
          <w:b/>
          <w:bCs/>
        </w:rPr>
      </w:pPr>
      <w:bookmarkStart w:id="84" w:name="_Toc235080299"/>
      <w:r w:rsidRPr="00203191">
        <w:rPr>
          <w:rFonts w:ascii="Calibri" w:hAnsi="Calibri" w:cs="Calibri"/>
          <w:b/>
          <w:bCs/>
        </w:rPr>
        <w:t>5.1. Przebudowa linii kablowych</w:t>
      </w:r>
      <w:bookmarkEnd w:id="84"/>
    </w:p>
    <w:p w:rsidR="00656AC1" w:rsidRPr="00203191" w:rsidRDefault="00656AC1" w:rsidP="00364E4D">
      <w:pPr>
        <w:rPr>
          <w:rFonts w:ascii="Calibri" w:hAnsi="Calibri" w:cs="Calibri"/>
        </w:rPr>
      </w:pPr>
      <w:r w:rsidRPr="00203191">
        <w:rPr>
          <w:rFonts w:ascii="Calibri" w:hAnsi="Calibri" w:cs="Calibri"/>
        </w:rPr>
        <w:t>Wykonawca powinien opracować i przedstawić do akceptacji Inżyniera harmonogram robót, zawierający uzgodnione z użytkownikiem okresy wyłączenia napięcia w przebudowywanych liniach kablowych.</w:t>
      </w:r>
    </w:p>
    <w:p w:rsidR="00656AC1" w:rsidRPr="00203191" w:rsidRDefault="00656AC1" w:rsidP="00364E4D">
      <w:pPr>
        <w:rPr>
          <w:rFonts w:ascii="Calibri" w:hAnsi="Calibri" w:cs="Calibri"/>
        </w:rPr>
      </w:pPr>
      <w:r w:rsidRPr="00203191">
        <w:rPr>
          <w:rFonts w:ascii="Calibri" w:hAnsi="Calibri" w:cs="Calibri"/>
        </w:rPr>
        <w:t>Kolidujące linie kablowe należy przebudowywać zachowując następującą kolejność robót:</w:t>
      </w:r>
    </w:p>
    <w:p w:rsidR="00656AC1" w:rsidRPr="00203191" w:rsidRDefault="00656AC1" w:rsidP="00364E4D">
      <w:pPr>
        <w:rPr>
          <w:rFonts w:ascii="Calibri" w:hAnsi="Calibri" w:cs="Calibri"/>
        </w:rPr>
      </w:pPr>
      <w:r w:rsidRPr="00203191">
        <w:rPr>
          <w:rFonts w:ascii="Calibri" w:hAnsi="Calibri" w:cs="Calibri"/>
        </w:rPr>
        <w:t>- wybudowanie nowego niekolidującego z drogą odcinka linii mającego parametry nie gorsze niż przebudowywana linia kablowa,</w:t>
      </w:r>
    </w:p>
    <w:p w:rsidR="00656AC1" w:rsidRPr="00203191" w:rsidRDefault="00656AC1" w:rsidP="00364E4D">
      <w:pPr>
        <w:rPr>
          <w:rFonts w:ascii="Calibri" w:hAnsi="Calibri" w:cs="Calibri"/>
        </w:rPr>
      </w:pPr>
      <w:r w:rsidRPr="00203191">
        <w:rPr>
          <w:rFonts w:ascii="Calibri" w:hAnsi="Calibri" w:cs="Calibri"/>
        </w:rPr>
        <w:t>- wyłączenie napięcia zasilającego tę linię,</w:t>
      </w:r>
    </w:p>
    <w:p w:rsidR="00656AC1" w:rsidRPr="00203191" w:rsidRDefault="00656AC1" w:rsidP="00364E4D">
      <w:pPr>
        <w:rPr>
          <w:rFonts w:ascii="Calibri" w:hAnsi="Calibri" w:cs="Calibri"/>
        </w:rPr>
      </w:pPr>
      <w:r w:rsidRPr="00203191">
        <w:rPr>
          <w:rFonts w:ascii="Calibri" w:hAnsi="Calibri" w:cs="Calibri"/>
        </w:rPr>
        <w:t>- wykonanie podłączenia nowego odcinka linii z istniejącym, poza obszarem kolizji z drogą,</w:t>
      </w:r>
    </w:p>
    <w:p w:rsidR="00656AC1" w:rsidRPr="00203191" w:rsidRDefault="00656AC1" w:rsidP="00364E4D">
      <w:pPr>
        <w:rPr>
          <w:rFonts w:ascii="Calibri" w:hAnsi="Calibri" w:cs="Calibri"/>
        </w:rPr>
      </w:pPr>
      <w:r w:rsidRPr="00203191">
        <w:rPr>
          <w:rFonts w:ascii="Calibri" w:hAnsi="Calibri" w:cs="Calibri"/>
        </w:rPr>
        <w:t>- zdemontowanie kolizyjnego odcinka linii.</w:t>
      </w:r>
    </w:p>
    <w:p w:rsidR="00656AC1" w:rsidRPr="00203191" w:rsidRDefault="00656AC1" w:rsidP="00364E4D">
      <w:pPr>
        <w:rPr>
          <w:rFonts w:ascii="Calibri" w:hAnsi="Calibri" w:cs="Calibri"/>
        </w:rPr>
      </w:pPr>
      <w:r w:rsidRPr="00203191">
        <w:rPr>
          <w:rFonts w:ascii="Calibri" w:hAnsi="Calibri" w:cs="Calibri"/>
        </w:rPr>
        <w:t>Przebudowę linii należy wykonywać zgodnie z normami i przepisami budowy oraz bezpieczeństwa i higieny pracy .</w:t>
      </w:r>
    </w:p>
    <w:p w:rsidR="00656AC1" w:rsidRPr="00203191" w:rsidRDefault="00656AC1" w:rsidP="00364E4D">
      <w:pPr>
        <w:rPr>
          <w:rFonts w:ascii="Calibri" w:hAnsi="Calibri" w:cs="Calibri"/>
          <w:b/>
          <w:bCs/>
        </w:rPr>
      </w:pPr>
      <w:bookmarkStart w:id="85" w:name="_Toc235080300"/>
      <w:r w:rsidRPr="00203191">
        <w:rPr>
          <w:rFonts w:ascii="Calibri" w:hAnsi="Calibri" w:cs="Calibri"/>
          <w:b/>
          <w:bCs/>
        </w:rPr>
        <w:t>5.2. Demontaż linii kablowej</w:t>
      </w:r>
      <w:bookmarkEnd w:id="85"/>
    </w:p>
    <w:p w:rsidR="00656AC1" w:rsidRPr="00203191" w:rsidRDefault="00656AC1" w:rsidP="00364E4D">
      <w:pPr>
        <w:rPr>
          <w:rFonts w:ascii="Calibri" w:hAnsi="Calibri" w:cs="Calibri"/>
        </w:rPr>
      </w:pPr>
      <w:r w:rsidRPr="00203191">
        <w:rPr>
          <w:rFonts w:ascii="Calibri" w:hAnsi="Calibri" w:cs="Calibri"/>
        </w:rPr>
        <w:t>Demontaż kolizyjnego odcinka linii kablowej należy wykonać zgodnie z dokumentacją projektową oraz zaleceniami użytkownika tej linii.</w:t>
      </w:r>
    </w:p>
    <w:p w:rsidR="00656AC1" w:rsidRPr="00203191" w:rsidRDefault="00656AC1" w:rsidP="00364E4D">
      <w:pPr>
        <w:rPr>
          <w:rFonts w:ascii="Calibri" w:hAnsi="Calibri" w:cs="Calibri"/>
        </w:rPr>
      </w:pPr>
      <w:r w:rsidRPr="00203191">
        <w:rPr>
          <w:rFonts w:ascii="Calibri" w:hAnsi="Calibri" w:cs="Calibri"/>
        </w:rPr>
        <w:t>Wykonawca ma obowiązek wykonania demontażu linii kablowej w możliwie taki sposób, aby jej elementy nie zostały uszkodzone lub zniszczone.</w:t>
      </w:r>
    </w:p>
    <w:p w:rsidR="00656AC1" w:rsidRPr="00203191" w:rsidRDefault="00656AC1" w:rsidP="00364E4D">
      <w:pPr>
        <w:rPr>
          <w:rFonts w:ascii="Calibri" w:hAnsi="Calibri" w:cs="Calibri"/>
        </w:rPr>
      </w:pPr>
      <w:r w:rsidRPr="00203191">
        <w:rPr>
          <w:rFonts w:ascii="Calibri" w:hAnsi="Calibri" w:cs="Calibri"/>
        </w:rPr>
        <w:t>W przypadku niemożności zdemontowania elementów linii bez ich uszkodzenia, Wykonawca powinien powiadomić o tym Inżyniera i uzyskać od niego zgodę na jej uszkodzenie lub zniszczenie.</w:t>
      </w:r>
    </w:p>
    <w:p w:rsidR="00656AC1" w:rsidRPr="00203191" w:rsidRDefault="00656AC1" w:rsidP="00364E4D">
      <w:pPr>
        <w:rPr>
          <w:rFonts w:ascii="Calibri" w:hAnsi="Calibri" w:cs="Calibri"/>
        </w:rPr>
      </w:pPr>
      <w:r w:rsidRPr="00203191">
        <w:rPr>
          <w:rFonts w:ascii="Calibri" w:hAnsi="Calibri" w:cs="Calibri"/>
        </w:rPr>
        <w:t>W szczególnych przypadkach Wykonawca może pozostawić element linii bez jego demontażu, o ile uzyska na to zgodę Inżyniera.</w:t>
      </w:r>
    </w:p>
    <w:p w:rsidR="00656AC1" w:rsidRPr="00203191" w:rsidRDefault="00656AC1" w:rsidP="00364E4D">
      <w:pPr>
        <w:rPr>
          <w:rFonts w:ascii="Calibri" w:hAnsi="Calibri" w:cs="Calibri"/>
        </w:rPr>
      </w:pPr>
      <w:r w:rsidRPr="00203191">
        <w:rPr>
          <w:rFonts w:ascii="Calibri" w:hAnsi="Calibri" w:cs="Calibri"/>
        </w:rPr>
        <w:t>Wszelkie wykopy związane z odkopaniem linii kablowej powinny być zasypane gruntem zagęszczanym warstwami co 20 cm i wyrównane do poziomu istniejącego terenu.</w:t>
      </w:r>
    </w:p>
    <w:p w:rsidR="00656AC1" w:rsidRPr="00203191" w:rsidRDefault="00656AC1" w:rsidP="00364E4D">
      <w:pPr>
        <w:rPr>
          <w:rFonts w:ascii="Calibri" w:hAnsi="Calibri" w:cs="Calibri"/>
        </w:rPr>
      </w:pPr>
      <w:r w:rsidRPr="00203191">
        <w:rPr>
          <w:rFonts w:ascii="Calibri" w:hAnsi="Calibri" w:cs="Calibri"/>
        </w:rPr>
        <w:t>Wykonawca zobowiązany jest do nieodpłatnego przekazania Zamawiającemu wszystkich materiałów pochodzących z demontażu i dostarczenie ich do wskazanego miejsca.</w:t>
      </w:r>
    </w:p>
    <w:p w:rsidR="00656AC1" w:rsidRPr="00203191" w:rsidRDefault="00656AC1" w:rsidP="00364E4D">
      <w:pPr>
        <w:rPr>
          <w:rFonts w:ascii="Calibri" w:hAnsi="Calibri" w:cs="Calibri"/>
          <w:b/>
          <w:bCs/>
        </w:rPr>
      </w:pPr>
      <w:bookmarkStart w:id="86" w:name="_Toc235080301"/>
      <w:r w:rsidRPr="00203191">
        <w:rPr>
          <w:rFonts w:ascii="Calibri" w:hAnsi="Calibri" w:cs="Calibri"/>
          <w:b/>
          <w:bCs/>
        </w:rPr>
        <w:t>5.3. Rowy pod kable</w:t>
      </w:r>
      <w:bookmarkEnd w:id="86"/>
    </w:p>
    <w:p w:rsidR="00656AC1" w:rsidRPr="00203191" w:rsidRDefault="00656AC1" w:rsidP="00364E4D">
      <w:pPr>
        <w:rPr>
          <w:rFonts w:ascii="Calibri" w:hAnsi="Calibri" w:cs="Calibri"/>
        </w:rPr>
      </w:pPr>
      <w:r w:rsidRPr="00203191">
        <w:rPr>
          <w:rFonts w:ascii="Calibri" w:hAnsi="Calibri" w:cs="Calibri"/>
        </w:rPr>
        <w:t>Rowy pod kable należy wykonywać za pomocą sprzętu mechanicznego lub ręcznie w zależności od warunków terenowych i podziemnego uzbrojenia terenu, po uprzednim wytyczeniu ich tras przez służby geodezyjne.</w:t>
      </w:r>
    </w:p>
    <w:p w:rsidR="00656AC1" w:rsidRPr="00203191" w:rsidRDefault="00656AC1" w:rsidP="00364E4D">
      <w:pPr>
        <w:rPr>
          <w:rFonts w:ascii="Calibri" w:hAnsi="Calibri" w:cs="Calibri"/>
        </w:rPr>
      </w:pPr>
      <w:r w:rsidRPr="00203191">
        <w:rPr>
          <w:rFonts w:ascii="Calibri" w:hAnsi="Calibri" w:cs="Calibri"/>
        </w:rPr>
        <w:t>Wymiary poprzeczne rowów uzależnione są od rodzaju kabli i ich ilości układanych w jednej warstwie.</w:t>
      </w:r>
    </w:p>
    <w:p w:rsidR="00656AC1" w:rsidRPr="00203191" w:rsidRDefault="00656AC1" w:rsidP="00364E4D">
      <w:pPr>
        <w:rPr>
          <w:rFonts w:ascii="Calibri" w:hAnsi="Calibri" w:cs="Calibri"/>
        </w:rPr>
      </w:pPr>
      <w:r w:rsidRPr="00203191">
        <w:rPr>
          <w:rFonts w:ascii="Calibri" w:hAnsi="Calibri" w:cs="Calibri"/>
        </w:rPr>
        <w:t>Głębokość rowu określona jest głębokością ułożenia kabla wg p. 5.4.4 powiększoną o 10 cm, natomiast szerokość dna rowu obliczamy ze wzoru:</w:t>
      </w:r>
    </w:p>
    <w:p w:rsidR="00656AC1" w:rsidRPr="00203191" w:rsidRDefault="00656AC1" w:rsidP="00364E4D">
      <w:pPr>
        <w:rPr>
          <w:rFonts w:ascii="Calibri" w:hAnsi="Calibri" w:cs="Calibri"/>
        </w:rPr>
      </w:pPr>
      <w:r w:rsidRPr="00203191">
        <w:rPr>
          <w:rFonts w:ascii="Calibri" w:hAnsi="Calibri" w:cs="Calibri"/>
        </w:rPr>
        <w:t>S = nd + (n-1) a + 20  [cm]</w:t>
      </w:r>
    </w:p>
    <w:p w:rsidR="00656AC1" w:rsidRPr="00203191" w:rsidRDefault="00656AC1" w:rsidP="00364E4D">
      <w:pPr>
        <w:rPr>
          <w:rFonts w:ascii="Calibri" w:hAnsi="Calibri" w:cs="Calibri"/>
        </w:rPr>
      </w:pPr>
      <w:r w:rsidRPr="00203191">
        <w:rPr>
          <w:rFonts w:ascii="Calibri" w:hAnsi="Calibri" w:cs="Calibri"/>
        </w:rPr>
        <w:t>gdzie:</w:t>
      </w:r>
      <w:r w:rsidRPr="00203191">
        <w:rPr>
          <w:rFonts w:ascii="Calibri" w:hAnsi="Calibri" w:cs="Calibri"/>
        </w:rPr>
        <w:tab/>
        <w:t>n - ilość kabli w jednej warstwie,</w:t>
      </w:r>
    </w:p>
    <w:p w:rsidR="00656AC1" w:rsidRPr="00203191" w:rsidRDefault="00656AC1" w:rsidP="00364E4D">
      <w:pPr>
        <w:rPr>
          <w:rFonts w:ascii="Calibri" w:hAnsi="Calibri" w:cs="Calibri"/>
        </w:rPr>
      </w:pPr>
      <w:r w:rsidRPr="00203191">
        <w:rPr>
          <w:rFonts w:ascii="Calibri" w:hAnsi="Calibri" w:cs="Calibri"/>
        </w:rPr>
        <w:tab/>
        <w:t>d - suma średnic zewn. Wszystkich kabli w warstwie,</w:t>
      </w:r>
    </w:p>
    <w:p w:rsidR="00656AC1" w:rsidRPr="00203191" w:rsidRDefault="00656AC1" w:rsidP="00364E4D">
      <w:pPr>
        <w:rPr>
          <w:rFonts w:ascii="Calibri" w:hAnsi="Calibri" w:cs="Calibri"/>
        </w:rPr>
      </w:pPr>
      <w:r w:rsidRPr="00203191">
        <w:rPr>
          <w:rFonts w:ascii="Calibri" w:hAnsi="Calibri" w:cs="Calibri"/>
        </w:rPr>
        <w:tab/>
        <w:t>a - suma odległości pomiędzy kablami wg tablicy 1.</w:t>
      </w:r>
    </w:p>
    <w:p w:rsidR="00656AC1" w:rsidRPr="00203191" w:rsidRDefault="00656AC1" w:rsidP="00364E4D">
      <w:pPr>
        <w:rPr>
          <w:rFonts w:ascii="Calibri" w:hAnsi="Calibri" w:cs="Calibri"/>
          <w:b/>
          <w:bCs/>
        </w:rPr>
      </w:pPr>
      <w:bookmarkStart w:id="87" w:name="_Toc235080302"/>
      <w:r w:rsidRPr="00203191">
        <w:rPr>
          <w:rFonts w:ascii="Calibri" w:hAnsi="Calibri" w:cs="Calibri"/>
          <w:b/>
          <w:bCs/>
        </w:rPr>
        <w:t>5.4. Układanie kabli</w:t>
      </w:r>
      <w:bookmarkEnd w:id="87"/>
    </w:p>
    <w:p w:rsidR="00656AC1" w:rsidRPr="00203191" w:rsidRDefault="00656AC1" w:rsidP="00364E4D">
      <w:pPr>
        <w:rPr>
          <w:rFonts w:ascii="Calibri" w:hAnsi="Calibri" w:cs="Calibri"/>
        </w:rPr>
      </w:pPr>
      <w:r w:rsidRPr="00203191">
        <w:rPr>
          <w:rFonts w:ascii="Calibri" w:hAnsi="Calibri" w:cs="Calibri"/>
        </w:rPr>
        <w:t>Ogólne wymagania</w:t>
      </w:r>
    </w:p>
    <w:p w:rsidR="00656AC1" w:rsidRPr="00203191" w:rsidRDefault="00656AC1" w:rsidP="00364E4D">
      <w:pPr>
        <w:rPr>
          <w:rFonts w:ascii="Calibri" w:hAnsi="Calibri" w:cs="Calibri"/>
        </w:rPr>
      </w:pPr>
      <w:r w:rsidRPr="00203191">
        <w:rPr>
          <w:rFonts w:ascii="Calibri" w:hAnsi="Calibri" w:cs="Calibri"/>
        </w:rPr>
        <w:t>Układanie kabli powinno być wykonane w sposób wykluczający ich uszkodzenie przez zginanie, skręcanie, rozciąganie itp. Ponadto przy układaniu powinny być zachowane środki ostrożności zapobiegające uszkodzeniu innych kabli lub urządzeń znajdujących się na trasie budowanej linii.</w:t>
      </w:r>
    </w:p>
    <w:p w:rsidR="00656AC1" w:rsidRPr="00203191" w:rsidRDefault="00656AC1" w:rsidP="00364E4D">
      <w:pPr>
        <w:rPr>
          <w:rFonts w:ascii="Calibri" w:hAnsi="Calibri" w:cs="Calibri"/>
        </w:rPr>
      </w:pPr>
      <w:r w:rsidRPr="00203191">
        <w:rPr>
          <w:rFonts w:ascii="Calibri" w:hAnsi="Calibri" w:cs="Calibri"/>
        </w:rPr>
        <w:t>Podczas przechowywania, układania i montażu, końce kabla należy zabezpieczyć przed wilgocią oraz wpływami chemicznymi i atmosferycznymi przez:</w:t>
      </w:r>
    </w:p>
    <w:p w:rsidR="00656AC1" w:rsidRPr="00203191" w:rsidRDefault="00656AC1" w:rsidP="00364E4D">
      <w:pPr>
        <w:rPr>
          <w:rFonts w:ascii="Calibri" w:hAnsi="Calibri" w:cs="Calibri"/>
        </w:rPr>
      </w:pPr>
      <w:r w:rsidRPr="00203191">
        <w:rPr>
          <w:rFonts w:ascii="Calibri" w:hAnsi="Calibri" w:cs="Calibri"/>
        </w:rPr>
        <w:t>szczelne zalutowanie powłoki,</w:t>
      </w:r>
    </w:p>
    <w:p w:rsidR="00656AC1" w:rsidRPr="00203191" w:rsidRDefault="00656AC1" w:rsidP="00364E4D">
      <w:pPr>
        <w:rPr>
          <w:rFonts w:ascii="Calibri" w:hAnsi="Calibri" w:cs="Calibri"/>
        </w:rPr>
      </w:pPr>
      <w:r w:rsidRPr="00203191">
        <w:rPr>
          <w:rFonts w:ascii="Calibri" w:hAnsi="Calibri" w:cs="Calibri"/>
        </w:rPr>
        <w:t>nałożenie kapturka z tworzywa sztucznego (rodzaju jak izolacja).</w:t>
      </w:r>
    </w:p>
    <w:p w:rsidR="00656AC1" w:rsidRPr="00203191" w:rsidRDefault="00656AC1" w:rsidP="00364E4D">
      <w:pPr>
        <w:rPr>
          <w:rFonts w:ascii="Calibri" w:hAnsi="Calibri" w:cs="Calibri"/>
          <w:b/>
          <w:bCs/>
        </w:rPr>
      </w:pPr>
      <w:r w:rsidRPr="00203191">
        <w:rPr>
          <w:rFonts w:ascii="Calibri" w:hAnsi="Calibri" w:cs="Calibri"/>
        </w:rPr>
        <w:t>Temperatura otoczenia i kabla</w:t>
      </w:r>
    </w:p>
    <w:p w:rsidR="00656AC1" w:rsidRPr="00203191" w:rsidRDefault="00656AC1" w:rsidP="00364E4D">
      <w:pPr>
        <w:rPr>
          <w:rFonts w:ascii="Calibri" w:hAnsi="Calibri" w:cs="Calibri"/>
        </w:rPr>
      </w:pPr>
      <w:r w:rsidRPr="00203191">
        <w:rPr>
          <w:rFonts w:ascii="Calibri" w:hAnsi="Calibri" w:cs="Calibri"/>
        </w:rPr>
        <w:t>Temperatura otoczenia i kabla przy układaniu nie powinna być niższa niż:0</w:t>
      </w:r>
      <w:r w:rsidRPr="00203191">
        <w:rPr>
          <w:rFonts w:ascii="Calibri" w:hAnsi="Calibri" w:cs="Calibri"/>
          <w:vertAlign w:val="superscript"/>
        </w:rPr>
        <w:t>o</w:t>
      </w:r>
      <w:r w:rsidRPr="00203191">
        <w:rPr>
          <w:rFonts w:ascii="Calibri" w:hAnsi="Calibri" w:cs="Calibri"/>
        </w:rPr>
        <w:t>C</w:t>
      </w:r>
    </w:p>
    <w:p w:rsidR="00656AC1" w:rsidRPr="00203191" w:rsidRDefault="00656AC1" w:rsidP="00364E4D">
      <w:pPr>
        <w:rPr>
          <w:rFonts w:ascii="Calibri" w:hAnsi="Calibri" w:cs="Calibri"/>
        </w:rPr>
      </w:pPr>
      <w:r w:rsidRPr="00203191">
        <w:rPr>
          <w:rFonts w:ascii="Calibri" w:hAnsi="Calibri" w:cs="Calibri"/>
        </w:rPr>
        <w:t>Zabrania się podgrzewania kabli ogniem.</w:t>
      </w:r>
    </w:p>
    <w:p w:rsidR="00656AC1" w:rsidRPr="00203191" w:rsidRDefault="00656AC1" w:rsidP="00364E4D">
      <w:pPr>
        <w:rPr>
          <w:rFonts w:ascii="Calibri" w:hAnsi="Calibri" w:cs="Calibri"/>
        </w:rPr>
      </w:pPr>
      <w:r w:rsidRPr="00203191">
        <w:rPr>
          <w:rFonts w:ascii="Calibri" w:hAnsi="Calibri" w:cs="Calibri"/>
        </w:rPr>
        <w:t>Wzrost temperatury otoczenia ułożonego kabla na dowolnie małym odcinku trasy linii kablowej powodowany przez sąsiednie źródła ciepła, np. rurociąg cieplny, nie powinien przekraczać 5</w:t>
      </w:r>
      <w:r w:rsidRPr="00203191">
        <w:rPr>
          <w:rFonts w:ascii="Calibri" w:hAnsi="Calibri" w:cs="Calibri"/>
          <w:vertAlign w:val="superscript"/>
        </w:rPr>
        <w:t>o</w:t>
      </w:r>
      <w:r w:rsidRPr="00203191">
        <w:rPr>
          <w:rFonts w:ascii="Calibri" w:hAnsi="Calibri" w:cs="Calibri"/>
        </w:rPr>
        <w:t>C.</w:t>
      </w:r>
    </w:p>
    <w:p w:rsidR="00656AC1" w:rsidRPr="00203191" w:rsidRDefault="00656AC1" w:rsidP="00364E4D">
      <w:pPr>
        <w:rPr>
          <w:rFonts w:ascii="Calibri" w:hAnsi="Calibri" w:cs="Calibri"/>
        </w:rPr>
      </w:pPr>
      <w:r w:rsidRPr="00203191">
        <w:rPr>
          <w:rFonts w:ascii="Calibri" w:hAnsi="Calibri" w:cs="Calibri"/>
        </w:rPr>
        <w:lastRenderedPageBreak/>
        <w:t>Zginanie kabli</w:t>
      </w:r>
    </w:p>
    <w:p w:rsidR="00656AC1" w:rsidRPr="00203191" w:rsidRDefault="00656AC1" w:rsidP="00364E4D">
      <w:pPr>
        <w:rPr>
          <w:rFonts w:ascii="Calibri" w:hAnsi="Calibri" w:cs="Calibri"/>
        </w:rPr>
      </w:pPr>
      <w:r w:rsidRPr="00203191">
        <w:rPr>
          <w:rFonts w:ascii="Calibri" w:hAnsi="Calibri" w:cs="Calibri"/>
        </w:rPr>
        <w:t>Przy układaniu kabli można zginać kabel tylko w przypadkach koniecznych, przy czym promień gięcia powinien być możliwie duży, nie mniejszy niż:</w:t>
      </w:r>
    </w:p>
    <w:p w:rsidR="00656AC1" w:rsidRPr="00203191" w:rsidRDefault="00656AC1" w:rsidP="00364E4D">
      <w:pPr>
        <w:rPr>
          <w:rFonts w:ascii="Calibri" w:hAnsi="Calibri" w:cs="Calibri"/>
        </w:rPr>
      </w:pPr>
      <w:r w:rsidRPr="00203191">
        <w:rPr>
          <w:rFonts w:ascii="Calibri" w:hAnsi="Calibri" w:cs="Calibri"/>
        </w:rPr>
        <w:t>25-krotna zewnętrzna średnica kabla - w przypadku kabli olejowych,</w:t>
      </w:r>
    </w:p>
    <w:p w:rsidR="00656AC1" w:rsidRPr="00203191" w:rsidRDefault="00656AC1" w:rsidP="00364E4D">
      <w:pPr>
        <w:rPr>
          <w:rFonts w:ascii="Calibri" w:hAnsi="Calibri" w:cs="Calibri"/>
        </w:rPr>
      </w:pPr>
      <w:r w:rsidRPr="00203191">
        <w:rPr>
          <w:rFonts w:ascii="Calibri" w:hAnsi="Calibri" w:cs="Calibri"/>
        </w:rPr>
        <w:t>20-krotna zewnętrzna średnica kabla - w przypadku kabli jednożyłowych o izolacji papierowej i o powłoce ołowianej, kabli o izolacji polietylenowej i o powłoce polwinitowej oraz kabli wielożyłowych o izolacji papierowej i o powłoce aluminiowej o liczbie żył nie przekraczających 4,</w:t>
      </w:r>
    </w:p>
    <w:p w:rsidR="00656AC1" w:rsidRPr="00203191" w:rsidRDefault="00656AC1" w:rsidP="00364E4D">
      <w:pPr>
        <w:rPr>
          <w:rFonts w:ascii="Calibri" w:hAnsi="Calibri" w:cs="Calibri"/>
        </w:rPr>
      </w:pPr>
      <w:r w:rsidRPr="00203191">
        <w:rPr>
          <w:rFonts w:ascii="Calibri" w:hAnsi="Calibri" w:cs="Calibri"/>
        </w:rPr>
        <w:t>15-krotna zewnętrzna średnica kabla - w przypadku kabli wielożyłowych o izolacji papierowej i o powłoce ołowianej oraz w przypadku kabli wielożyłowych skręcanych z kabli jednożyłowych o liczbie żył nie przekraczających 4.</w:t>
      </w:r>
    </w:p>
    <w:p w:rsidR="00656AC1" w:rsidRPr="00203191" w:rsidRDefault="00656AC1" w:rsidP="00364E4D">
      <w:pPr>
        <w:rPr>
          <w:rFonts w:ascii="Calibri" w:hAnsi="Calibri" w:cs="Calibri"/>
        </w:rPr>
      </w:pPr>
      <w:r w:rsidRPr="00203191">
        <w:rPr>
          <w:rFonts w:ascii="Calibri" w:hAnsi="Calibri" w:cs="Calibri"/>
        </w:rPr>
        <w:t>Układanie kabli bezpośrednio w gruncie</w:t>
      </w:r>
    </w:p>
    <w:p w:rsidR="00656AC1" w:rsidRPr="00203191" w:rsidRDefault="00656AC1" w:rsidP="00364E4D">
      <w:pPr>
        <w:rPr>
          <w:rFonts w:ascii="Calibri" w:hAnsi="Calibri" w:cs="Calibri"/>
        </w:rPr>
      </w:pPr>
      <w:r w:rsidRPr="00203191">
        <w:rPr>
          <w:rFonts w:ascii="Calibri" w:hAnsi="Calibri" w:cs="Calibri"/>
        </w:rPr>
        <w:t>Kable należy układać na dnie rowu pod kable, jeżeli grunt jest piaszczysty, w pozostałych przypadkach kable należy układać na warstwie piasku o grubości co najmniej 10 cm. Nie należy układać kabli bezpośrednio na dnie wykopu kamiennego lub w gruncie, który mógłby uszkodzić kabel, ani bezpośrednio zasypywać takim gruntem.</w:t>
      </w:r>
    </w:p>
    <w:p w:rsidR="00656AC1" w:rsidRPr="00203191" w:rsidRDefault="00656AC1" w:rsidP="00364E4D">
      <w:pPr>
        <w:rPr>
          <w:rFonts w:ascii="Calibri" w:hAnsi="Calibri" w:cs="Calibri"/>
        </w:rPr>
      </w:pPr>
      <w:r w:rsidRPr="00203191">
        <w:rPr>
          <w:rFonts w:ascii="Calibri" w:hAnsi="Calibri" w:cs="Calibri"/>
        </w:rPr>
        <w:t>Kable należy zasypywać warstwą piasku o grubości co najmniej 10 cm, następnie warstwą rodzimego gruntu o grubości co najmniej 15 cm, a następnie przykryć folią z tworzywa sztucznego. Odległość folii od kabla powinna wynosić co najmniej 25 cm.</w:t>
      </w:r>
    </w:p>
    <w:p w:rsidR="00656AC1" w:rsidRPr="00203191" w:rsidRDefault="00656AC1" w:rsidP="00364E4D">
      <w:pPr>
        <w:rPr>
          <w:rFonts w:ascii="Calibri" w:hAnsi="Calibri" w:cs="Calibri"/>
        </w:rPr>
      </w:pPr>
      <w:r w:rsidRPr="00203191">
        <w:rPr>
          <w:rFonts w:ascii="Calibri" w:hAnsi="Calibri" w:cs="Calibri"/>
        </w:rPr>
        <w:t>Grunt należy zagęszczać warstwami co najmniej 20 cm. Wskaźnik zagęszczenia gruntu powinien osiągnąć co najmniej 0,85 wg BN-72/8932-01.</w:t>
      </w:r>
    </w:p>
    <w:p w:rsidR="00656AC1" w:rsidRPr="00203191" w:rsidRDefault="00656AC1" w:rsidP="00364E4D">
      <w:pPr>
        <w:rPr>
          <w:rFonts w:ascii="Calibri" w:hAnsi="Calibri" w:cs="Calibri"/>
        </w:rPr>
      </w:pPr>
      <w:r w:rsidRPr="00203191">
        <w:rPr>
          <w:rFonts w:ascii="Calibri" w:hAnsi="Calibri" w:cs="Calibri"/>
        </w:rPr>
        <w:t>Głębokość ułożenia kabli w gruncie mierzona od powierzchni gruntu do zewnętrznej powierzchni kabla powinna wynosić nie mniej niż 80 cm</w:t>
      </w:r>
    </w:p>
    <w:p w:rsidR="00656AC1" w:rsidRPr="00203191" w:rsidRDefault="00656AC1" w:rsidP="00364E4D">
      <w:pPr>
        <w:rPr>
          <w:rFonts w:ascii="Calibri" w:hAnsi="Calibri" w:cs="Calibri"/>
        </w:rPr>
      </w:pPr>
      <w:r w:rsidRPr="00203191">
        <w:rPr>
          <w:rFonts w:ascii="Calibri" w:hAnsi="Calibri" w:cs="Calibri"/>
        </w:rPr>
        <w:t>Kable powinny być ułożone w rowie linią falistą z zapasem (od 1 do 3% długości wykopu) wystarczającym do skompensowania możliwych przesunięć gruntu. Przy mufach zaleca się pozostawić zapas kabli po obu stronach mufy, łącznie nie mniej niż 1 m</w:t>
      </w:r>
    </w:p>
    <w:p w:rsidR="00656AC1" w:rsidRPr="00203191" w:rsidRDefault="00656AC1" w:rsidP="00364E4D">
      <w:pPr>
        <w:rPr>
          <w:rFonts w:ascii="Calibri" w:hAnsi="Calibri" w:cs="Calibri"/>
          <w:b/>
          <w:bCs/>
        </w:rPr>
      </w:pPr>
      <w:bookmarkStart w:id="88" w:name="_Toc235080307"/>
      <w:r w:rsidRPr="00203191">
        <w:rPr>
          <w:rFonts w:ascii="Calibri" w:hAnsi="Calibri" w:cs="Calibri"/>
          <w:b/>
          <w:bCs/>
        </w:rPr>
        <w:t>5.5. Wykonanie połączeń powłok, pancerzy i żył kabli</w:t>
      </w:r>
      <w:bookmarkEnd w:id="88"/>
    </w:p>
    <w:p w:rsidR="00656AC1" w:rsidRPr="00203191" w:rsidRDefault="00656AC1" w:rsidP="00364E4D">
      <w:pPr>
        <w:rPr>
          <w:rFonts w:ascii="Calibri" w:hAnsi="Calibri" w:cs="Calibri"/>
        </w:rPr>
      </w:pPr>
      <w:r w:rsidRPr="00203191">
        <w:rPr>
          <w:rFonts w:ascii="Calibri" w:hAnsi="Calibri" w:cs="Calibri"/>
        </w:rPr>
        <w:t>Własności elektryczne połączeń powinny być zgodne z normą PN-74/E-06401. Przewodność połączenia metalowych powłok kabli lub pancerzy powinna być nie mniejsza niż przewodność łączonych powłok lub pancerzy. W przypadku łączenia aluminiowych powłok kabli dopuszcza się przewodność połączenia nie mniejszą niż 0,7 przewodności powłoki.</w:t>
      </w:r>
    </w:p>
    <w:p w:rsidR="00656AC1" w:rsidRPr="00203191" w:rsidRDefault="00656AC1" w:rsidP="00364E4D">
      <w:pPr>
        <w:rPr>
          <w:rFonts w:ascii="Calibri" w:hAnsi="Calibri" w:cs="Calibri"/>
        </w:rPr>
      </w:pPr>
      <w:r w:rsidRPr="00203191">
        <w:rPr>
          <w:rFonts w:ascii="Calibri" w:hAnsi="Calibri" w:cs="Calibri"/>
        </w:rPr>
        <w:t>Metalowe powłoki kabli oraz pancerze powinny być połączone metalicznie ze sobą oraz z metalowymi kadłubami muf przelotowych i głowic. Połączenia powłok aluminiowych ze sobą i kadłubem mufy należy wykonywać wewnątrz mufy przy użyciu przewodów aluminiowych o przekroju nie mniejszym niż 10 mm</w:t>
      </w:r>
      <w:r w:rsidRPr="00203191">
        <w:rPr>
          <w:rFonts w:ascii="Calibri" w:hAnsi="Calibri" w:cs="Calibri"/>
          <w:vertAlign w:val="superscript"/>
        </w:rPr>
        <w:t>2</w:t>
      </w:r>
      <w:r w:rsidRPr="00203191">
        <w:rPr>
          <w:rFonts w:ascii="Calibri" w:hAnsi="Calibri" w:cs="Calibri"/>
        </w:rPr>
        <w:t>. Połączenia ze  sobą powłok, żył powrotnych i pancerzy kabli z materiałów innych niż aluminium należy wykonać przewodami miedzianymi o przekroju nie mniejszym niż 6 mm</w:t>
      </w:r>
      <w:r w:rsidRPr="00203191">
        <w:rPr>
          <w:rFonts w:ascii="Calibri" w:hAnsi="Calibri" w:cs="Calibri"/>
          <w:vertAlign w:val="superscript"/>
        </w:rPr>
        <w:t>2</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Połączenia powinny być wykonywane przez lutowanie lub spawanie. W przypadku muf  z wkładkami metalowymi przylutowanymi do metalowych powłok obu łączonych odcinków kabli, nie wymaga się dodatkowego łączenia powłok przy użyciu oddzielnych przewodów.</w:t>
      </w:r>
    </w:p>
    <w:p w:rsidR="00656AC1" w:rsidRPr="00203191" w:rsidRDefault="00656AC1" w:rsidP="00364E4D">
      <w:pPr>
        <w:rPr>
          <w:rFonts w:ascii="Calibri" w:hAnsi="Calibri" w:cs="Calibri"/>
          <w:b/>
          <w:bCs/>
        </w:rPr>
      </w:pPr>
      <w:bookmarkStart w:id="89" w:name="_Toc235080308"/>
      <w:r w:rsidRPr="00203191">
        <w:rPr>
          <w:rFonts w:ascii="Calibri" w:hAnsi="Calibri" w:cs="Calibri"/>
          <w:b/>
          <w:bCs/>
        </w:rPr>
        <w:t>5.6. Układanie przepustów kablowych</w:t>
      </w:r>
      <w:bookmarkEnd w:id="89"/>
    </w:p>
    <w:p w:rsidR="00656AC1" w:rsidRPr="00203191" w:rsidRDefault="00656AC1" w:rsidP="00364E4D">
      <w:pPr>
        <w:rPr>
          <w:rFonts w:ascii="Calibri" w:hAnsi="Calibri" w:cs="Calibri"/>
        </w:rPr>
      </w:pPr>
      <w:r w:rsidRPr="00203191">
        <w:rPr>
          <w:rFonts w:ascii="Calibri" w:hAnsi="Calibri" w:cs="Calibri"/>
        </w:rPr>
        <w:t>Przepusty kablowe należy wykonywać z rur stalowych lub z PCW o średnicy wewnętrznej nie mniejszej niż 110 mm .</w:t>
      </w:r>
    </w:p>
    <w:p w:rsidR="00656AC1" w:rsidRPr="00203191" w:rsidRDefault="00656AC1" w:rsidP="00364E4D">
      <w:pPr>
        <w:rPr>
          <w:rFonts w:ascii="Calibri" w:hAnsi="Calibri" w:cs="Calibri"/>
        </w:rPr>
      </w:pPr>
      <w:r w:rsidRPr="00203191">
        <w:rPr>
          <w:rFonts w:ascii="Calibri" w:hAnsi="Calibri" w:cs="Calibri"/>
        </w:rPr>
        <w:t>Przepusty kablowe należy układać w miejscach, gdzie kabel narażony jest na uszkodzenia mechaniczne. W jednym przepuście powinien być ułożony tylko jeden kabel; nie dotyczy to kabli jednożyłowych tworzących układ wielofazowy i kabli sygnalizacyjnych.</w:t>
      </w:r>
    </w:p>
    <w:p w:rsidR="00656AC1" w:rsidRPr="00203191" w:rsidRDefault="00656AC1" w:rsidP="00364E4D">
      <w:pPr>
        <w:rPr>
          <w:rFonts w:ascii="Calibri" w:hAnsi="Calibri" w:cs="Calibri"/>
        </w:rPr>
      </w:pPr>
      <w:r w:rsidRPr="00203191">
        <w:rPr>
          <w:rFonts w:ascii="Calibri" w:hAnsi="Calibri" w:cs="Calibri"/>
        </w:rPr>
        <w:t>Głębokość umieszczenia przepustów kablowych w gruncie, mierzona od powierzchni terenu do górnej powierzchni rury, powinna wynosić co najmniej 70 cm - w terenie bez nawierzchni i 100 cm od nawierzchni drogi (niwelety) przeznaczonej do ruchu kołowego.</w:t>
      </w:r>
    </w:p>
    <w:p w:rsidR="00656AC1" w:rsidRPr="00203191" w:rsidRDefault="00656AC1" w:rsidP="00364E4D">
      <w:pPr>
        <w:rPr>
          <w:rFonts w:ascii="Calibri" w:hAnsi="Calibri" w:cs="Calibri"/>
        </w:rPr>
      </w:pPr>
      <w:r w:rsidRPr="00203191">
        <w:rPr>
          <w:rFonts w:ascii="Calibri" w:hAnsi="Calibri" w:cs="Calibri"/>
        </w:rPr>
        <w:t>Minimalna głębokość umieszczenia przepustu kablowego pod jezdnią drogi może być zwiększona, gdyż powinna wynikać z warunków określonych przez zarząd drogowy dla danego odcinka drogi.</w:t>
      </w:r>
    </w:p>
    <w:p w:rsidR="00656AC1" w:rsidRPr="00203191" w:rsidRDefault="00656AC1" w:rsidP="00364E4D">
      <w:pPr>
        <w:rPr>
          <w:rFonts w:ascii="Calibri" w:hAnsi="Calibri" w:cs="Calibri"/>
        </w:rPr>
      </w:pPr>
      <w:r w:rsidRPr="00203191">
        <w:rPr>
          <w:rFonts w:ascii="Calibri" w:hAnsi="Calibri" w:cs="Calibri"/>
        </w:rPr>
        <w:t>Miejsca wprowadzenia kabli do rur powinny być uszczelnione nasmołowanymi szmatami, sznurami lub pakułami, uniemożliwiającymi przedostawanie się do ich wnętrza wody i przed ich zamuleniem.</w:t>
      </w:r>
    </w:p>
    <w:p w:rsidR="00656AC1" w:rsidRPr="00203191" w:rsidRDefault="00656AC1" w:rsidP="00364E4D">
      <w:pPr>
        <w:rPr>
          <w:rFonts w:ascii="Calibri" w:hAnsi="Calibri" w:cs="Calibri"/>
          <w:b/>
          <w:bCs/>
        </w:rPr>
      </w:pPr>
      <w:bookmarkStart w:id="90" w:name="_Toc235080309"/>
      <w:r w:rsidRPr="00203191">
        <w:rPr>
          <w:rFonts w:ascii="Calibri" w:hAnsi="Calibri" w:cs="Calibri"/>
          <w:b/>
          <w:bCs/>
        </w:rPr>
        <w:t>5.7. Ochrona przeciwporażeniowa</w:t>
      </w:r>
      <w:bookmarkEnd w:id="90"/>
    </w:p>
    <w:p w:rsidR="00656AC1" w:rsidRPr="00203191" w:rsidRDefault="00656AC1" w:rsidP="00364E4D">
      <w:pPr>
        <w:rPr>
          <w:rFonts w:ascii="Calibri" w:hAnsi="Calibri" w:cs="Calibri"/>
        </w:rPr>
      </w:pPr>
      <w:r w:rsidRPr="00203191">
        <w:rPr>
          <w:rFonts w:ascii="Calibri" w:hAnsi="Calibri" w:cs="Calibri"/>
        </w:rPr>
        <w:t>Metalowe głowice kabli powinny być połączone z uziemieniami w sposób widoczny. Powłoki aluminiowe kabli mogą być bezpośrednio połączone w rozdzielni z szyną zerową lub uziemiającą.</w:t>
      </w:r>
    </w:p>
    <w:p w:rsidR="00656AC1" w:rsidRPr="00203191" w:rsidRDefault="00656AC1" w:rsidP="00364E4D">
      <w:pPr>
        <w:rPr>
          <w:rFonts w:ascii="Calibri" w:hAnsi="Calibri" w:cs="Calibri"/>
        </w:rPr>
      </w:pPr>
      <w:r w:rsidRPr="00203191">
        <w:rPr>
          <w:rFonts w:ascii="Calibri" w:hAnsi="Calibri" w:cs="Calibri"/>
        </w:rPr>
        <w:lastRenderedPageBreak/>
        <w:t>Pancerze i powłoki metalowe kabli oraz metalowe kadłuby muf powinny stanowić nieprzerwany ciąg przewodzący linii kablowej.</w:t>
      </w:r>
    </w:p>
    <w:p w:rsidR="00656AC1" w:rsidRPr="00203191" w:rsidRDefault="00656AC1" w:rsidP="00364E4D">
      <w:pPr>
        <w:rPr>
          <w:rFonts w:ascii="Calibri" w:hAnsi="Calibri" w:cs="Calibri"/>
          <w:b/>
          <w:bCs/>
        </w:rPr>
      </w:pPr>
      <w:bookmarkStart w:id="91" w:name="_Toc235080310"/>
      <w:r w:rsidRPr="00203191">
        <w:rPr>
          <w:rFonts w:ascii="Calibri" w:hAnsi="Calibri" w:cs="Calibri"/>
          <w:b/>
          <w:bCs/>
        </w:rPr>
        <w:t>5.8. Oznaczenie linii kablowych</w:t>
      </w:r>
      <w:bookmarkEnd w:id="91"/>
    </w:p>
    <w:p w:rsidR="00656AC1" w:rsidRPr="00203191" w:rsidRDefault="00656AC1" w:rsidP="00364E4D">
      <w:pPr>
        <w:rPr>
          <w:rFonts w:ascii="Calibri" w:hAnsi="Calibri" w:cs="Calibri"/>
        </w:rPr>
      </w:pPr>
      <w:r w:rsidRPr="00203191">
        <w:rPr>
          <w:rFonts w:ascii="Calibri" w:hAnsi="Calibri" w:cs="Calibri"/>
        </w:rPr>
        <w:t>Kable ułożone w gruncie powinny być zaopatrzone na całej długości w trwałe oznaczniki (np. opaski kablowe typu OK.) rozmieszczone w odstępach nie większych niż 10 m oraz przy mufach i miejscach charakterystycznych, np. przy skrzyżowaniach.</w:t>
      </w:r>
    </w:p>
    <w:p w:rsidR="00656AC1" w:rsidRPr="00203191" w:rsidRDefault="00656AC1" w:rsidP="00364E4D">
      <w:pPr>
        <w:rPr>
          <w:rFonts w:ascii="Calibri" w:hAnsi="Calibri" w:cs="Calibri"/>
        </w:rPr>
      </w:pPr>
      <w:r w:rsidRPr="00203191">
        <w:rPr>
          <w:rFonts w:ascii="Calibri" w:hAnsi="Calibri" w:cs="Calibri"/>
        </w:rPr>
        <w:t>Kable ułożone w powietrzu powinny być zaopatrzone w trwałe oznaczniki przy głowicach oraz w takich miejscach i w takich odstępach, aby rozróżnienie kabla nie nastręczało trudności.</w:t>
      </w:r>
    </w:p>
    <w:p w:rsidR="00656AC1" w:rsidRPr="00203191" w:rsidRDefault="00656AC1" w:rsidP="00364E4D">
      <w:pPr>
        <w:rPr>
          <w:rFonts w:ascii="Calibri" w:hAnsi="Calibri" w:cs="Calibri"/>
        </w:rPr>
      </w:pPr>
      <w:r w:rsidRPr="00203191">
        <w:rPr>
          <w:rFonts w:ascii="Calibri" w:hAnsi="Calibri" w:cs="Calibri"/>
        </w:rPr>
        <w:t>Na oznacznikach powinny znajdować się trwałe napisy zawierające:</w:t>
      </w:r>
    </w:p>
    <w:p w:rsidR="00656AC1" w:rsidRPr="00203191" w:rsidRDefault="00656AC1" w:rsidP="00364E4D">
      <w:pPr>
        <w:rPr>
          <w:rFonts w:ascii="Calibri" w:hAnsi="Calibri" w:cs="Calibri"/>
        </w:rPr>
      </w:pPr>
      <w:r w:rsidRPr="00203191">
        <w:rPr>
          <w:rFonts w:ascii="Calibri" w:hAnsi="Calibri" w:cs="Calibri"/>
        </w:rPr>
        <w:t>symbol i numer ewidencyjny linii,</w:t>
      </w:r>
    </w:p>
    <w:p w:rsidR="00656AC1" w:rsidRPr="00203191" w:rsidRDefault="00656AC1" w:rsidP="00364E4D">
      <w:pPr>
        <w:rPr>
          <w:rFonts w:ascii="Calibri" w:hAnsi="Calibri" w:cs="Calibri"/>
        </w:rPr>
      </w:pPr>
      <w:r w:rsidRPr="00203191">
        <w:rPr>
          <w:rFonts w:ascii="Calibri" w:hAnsi="Calibri" w:cs="Calibri"/>
        </w:rPr>
        <w:t>oznaczenie kabla,</w:t>
      </w:r>
    </w:p>
    <w:p w:rsidR="00656AC1" w:rsidRPr="00203191" w:rsidRDefault="00656AC1" w:rsidP="00364E4D">
      <w:pPr>
        <w:rPr>
          <w:rFonts w:ascii="Calibri" w:hAnsi="Calibri" w:cs="Calibri"/>
        </w:rPr>
      </w:pPr>
      <w:r w:rsidRPr="00203191">
        <w:rPr>
          <w:rFonts w:ascii="Calibri" w:hAnsi="Calibri" w:cs="Calibri"/>
        </w:rPr>
        <w:t>znak użytkownika kabla,</w:t>
      </w:r>
    </w:p>
    <w:p w:rsidR="00656AC1" w:rsidRPr="00203191" w:rsidRDefault="00656AC1" w:rsidP="00364E4D">
      <w:pPr>
        <w:rPr>
          <w:rFonts w:ascii="Calibri" w:hAnsi="Calibri" w:cs="Calibri"/>
        </w:rPr>
      </w:pPr>
      <w:r w:rsidRPr="00203191">
        <w:rPr>
          <w:rFonts w:ascii="Calibri" w:hAnsi="Calibri" w:cs="Calibri"/>
        </w:rPr>
        <w:t>znak fazy (przy kablach jednożyłowych),</w:t>
      </w:r>
    </w:p>
    <w:p w:rsidR="00656AC1" w:rsidRPr="00203191" w:rsidRDefault="00656AC1" w:rsidP="00364E4D">
      <w:pPr>
        <w:rPr>
          <w:rFonts w:ascii="Calibri" w:hAnsi="Calibri" w:cs="Calibri"/>
        </w:rPr>
      </w:pPr>
      <w:r w:rsidRPr="00203191">
        <w:rPr>
          <w:rFonts w:ascii="Calibri" w:hAnsi="Calibri" w:cs="Calibri"/>
        </w:rPr>
        <w:t>rok ułożenia kabla.</w:t>
      </w:r>
    </w:p>
    <w:p w:rsidR="00656AC1" w:rsidRPr="00203191" w:rsidRDefault="00656AC1" w:rsidP="00364E4D">
      <w:pPr>
        <w:rPr>
          <w:rFonts w:ascii="Calibri" w:hAnsi="Calibri" w:cs="Calibri"/>
        </w:rPr>
      </w:pPr>
      <w:r w:rsidRPr="00203191">
        <w:rPr>
          <w:rFonts w:ascii="Calibri" w:hAnsi="Calibri" w:cs="Calibri"/>
        </w:rPr>
        <w:t>Trasa kabli ułożonych w gruncie na terenach niezabudowanych z dala od charakterystycznych stałych punktów terenu, powinna być oznaczona trwałymi oznacznikami trasy, np. słupkami betonowymi typu SD [19] wkopanymi w grunt, w sposób nie utrudniający komunikacji. Na oznacznikach trasy należy umieścić trwały napis w postaci ogólnego symbolu kabla „K”. Na prostej trasie kabla oznaczniki powinny być umieszczone w odstępach około 100 m, ponadto należy je umieszczać w miejscach zmiany kierunku kabla i w miejscach skrzyżowań lub zbliżeń.</w:t>
      </w:r>
    </w:p>
    <w:p w:rsidR="00656AC1" w:rsidRPr="00203191" w:rsidRDefault="00656AC1" w:rsidP="00364E4D">
      <w:pPr>
        <w:rPr>
          <w:rFonts w:ascii="Calibri" w:hAnsi="Calibri" w:cs="Calibri"/>
        </w:rPr>
      </w:pPr>
      <w:r w:rsidRPr="00203191">
        <w:rPr>
          <w:rFonts w:ascii="Calibri" w:hAnsi="Calibri" w:cs="Calibri"/>
        </w:rPr>
        <w:t>Oznaczniki trasy kabli układanych w gruncie na użytkach rolnych należy umieszczać tak, aby nie utrudniały prac rolnych i stosować takie oznaczniki, które umożliwią łatwe i jednoznaczne określenie przebiegu trasy kabla.</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92" w:name="_Toc235080311"/>
      <w:r w:rsidRPr="00203191">
        <w:rPr>
          <w:rFonts w:ascii="Calibri" w:hAnsi="Calibri" w:cs="Calibri"/>
          <w:b/>
          <w:bCs/>
        </w:rPr>
        <w:t>6. K</w:t>
      </w:r>
      <w:bookmarkEnd w:id="92"/>
      <w:r w:rsidRPr="00203191">
        <w:rPr>
          <w:rFonts w:ascii="Calibri" w:hAnsi="Calibri" w:cs="Calibri"/>
          <w:b/>
          <w:bCs/>
        </w:rPr>
        <w:t>ONTROLA JAKOŚCI ROBÓT</w:t>
      </w:r>
    </w:p>
    <w:p w:rsidR="00656AC1" w:rsidRPr="00203191" w:rsidRDefault="00656AC1" w:rsidP="00364E4D">
      <w:pPr>
        <w:rPr>
          <w:rFonts w:ascii="Calibri" w:hAnsi="Calibri" w:cs="Calibri"/>
          <w:b/>
          <w:bCs/>
        </w:rPr>
      </w:pPr>
      <w:bookmarkStart w:id="93" w:name="_Toc235080312"/>
      <w:r w:rsidRPr="00203191">
        <w:rPr>
          <w:rFonts w:ascii="Calibri" w:hAnsi="Calibri" w:cs="Calibri"/>
          <w:b/>
          <w:bCs/>
        </w:rPr>
        <w:t>6.1. Ogólne zasady kontroli jakości robót</w:t>
      </w:r>
      <w:bookmarkEnd w:id="93"/>
    </w:p>
    <w:p w:rsidR="00656AC1" w:rsidRPr="00203191" w:rsidRDefault="00656AC1" w:rsidP="00364E4D">
      <w:pPr>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w:t>
      </w:r>
    </w:p>
    <w:p w:rsidR="00656AC1" w:rsidRPr="00203191" w:rsidRDefault="00656AC1" w:rsidP="00364E4D">
      <w:pPr>
        <w:rPr>
          <w:rFonts w:ascii="Calibri" w:hAnsi="Calibri" w:cs="Calibri"/>
        </w:rPr>
      </w:pPr>
      <w:r w:rsidRPr="00203191">
        <w:rPr>
          <w:rFonts w:ascii="Calibri" w:hAnsi="Calibri" w:cs="Calibri"/>
        </w:rPr>
        <w:t>Celem kontroli jest stwierdzenie osiągnięcia założonej jakości wykonywanych robót przy przebudowie linii kablowej..</w:t>
      </w:r>
    </w:p>
    <w:p w:rsidR="00656AC1" w:rsidRPr="00203191" w:rsidRDefault="00656AC1" w:rsidP="00364E4D">
      <w:pPr>
        <w:rPr>
          <w:rFonts w:ascii="Calibri" w:hAnsi="Calibri" w:cs="Calibri"/>
        </w:rPr>
      </w:pPr>
      <w:r w:rsidRPr="00203191">
        <w:rPr>
          <w:rFonts w:ascii="Calibri" w:hAnsi="Calibri" w:cs="Calibri"/>
        </w:rPr>
        <w:t>Wykonawca ma obowiązek wykonania pełnego zakresu badań na budowie w celu wskazania Inżynierowi zgodności dostarczonych materiałów i realizowanych robót z dokumentacją projektową.</w:t>
      </w:r>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posiadające atest producenta stwierdzający ich pełną zgodność z warunkami podanymi w specyfikacjach, mogą być przez Inżyniera dopuszczone do użycia bez badań.</w:t>
      </w:r>
    </w:p>
    <w:p w:rsidR="00656AC1" w:rsidRPr="00203191" w:rsidRDefault="00656AC1" w:rsidP="00364E4D">
      <w:pPr>
        <w:rPr>
          <w:rFonts w:ascii="Calibri" w:hAnsi="Calibri" w:cs="Calibri"/>
        </w:rPr>
      </w:pPr>
      <w:r w:rsidRPr="00203191">
        <w:rPr>
          <w:rFonts w:ascii="Calibri" w:hAnsi="Calibri" w:cs="Calibri"/>
        </w:rPr>
        <w:t>Przed przystąpieniem do badania, Wykonawca powinien powiadomić Inżyniera o rodzaju i terminie badania.</w:t>
      </w:r>
    </w:p>
    <w:p w:rsidR="00656AC1" w:rsidRPr="00203191" w:rsidRDefault="00656AC1" w:rsidP="00364E4D">
      <w:pPr>
        <w:rPr>
          <w:rFonts w:ascii="Calibri" w:hAnsi="Calibri" w:cs="Calibri"/>
        </w:rPr>
      </w:pPr>
      <w:r w:rsidRPr="00203191">
        <w:rPr>
          <w:rFonts w:ascii="Calibri" w:hAnsi="Calibri" w:cs="Calibri"/>
        </w:rPr>
        <w:t>Po wykonaniu badania, Wykonawca przedstawia na piśmie wyniki badań do akceptacji Inżyniera.</w:t>
      </w:r>
    </w:p>
    <w:p w:rsidR="00656AC1" w:rsidRPr="00203191" w:rsidRDefault="00656AC1" w:rsidP="00364E4D">
      <w:pPr>
        <w:rPr>
          <w:rFonts w:ascii="Calibri" w:hAnsi="Calibri" w:cs="Calibri"/>
        </w:rPr>
      </w:pPr>
      <w:r w:rsidRPr="00203191">
        <w:rPr>
          <w:rFonts w:ascii="Calibri" w:hAnsi="Calibri" w:cs="Calibri"/>
        </w:rPr>
        <w:t>Wykonawca powiadamia pisemnie Inżyniera o zakończeniu każdej roboty zanikającej, którą może kontynuować dopiero po stwierdzeniu przez Inżyniera i ewentualnie przedstawiciela, odpowiedniego dla danego terenu Zakładu Energetycznego - założonej jakości.</w:t>
      </w:r>
    </w:p>
    <w:p w:rsidR="00656AC1" w:rsidRPr="00203191" w:rsidRDefault="00656AC1" w:rsidP="00364E4D">
      <w:pPr>
        <w:rPr>
          <w:rFonts w:ascii="Calibri" w:hAnsi="Calibri" w:cs="Calibri"/>
          <w:b/>
          <w:bCs/>
        </w:rPr>
      </w:pPr>
      <w:bookmarkStart w:id="94" w:name="_Toc235080313"/>
      <w:r w:rsidRPr="00203191">
        <w:rPr>
          <w:rFonts w:ascii="Calibri" w:hAnsi="Calibri" w:cs="Calibri"/>
          <w:b/>
          <w:bCs/>
        </w:rPr>
        <w:t>6.2. Badania przed przystąpieniem do robót</w:t>
      </w:r>
      <w:bookmarkEnd w:id="94"/>
    </w:p>
    <w:p w:rsidR="00656AC1" w:rsidRPr="00203191" w:rsidRDefault="00656AC1" w:rsidP="00364E4D">
      <w:pPr>
        <w:rPr>
          <w:rFonts w:ascii="Calibri" w:hAnsi="Calibri" w:cs="Calibri"/>
        </w:rPr>
      </w:pPr>
      <w:r w:rsidRPr="00203191">
        <w:rPr>
          <w:rFonts w:ascii="Calibri" w:hAnsi="Calibri" w:cs="Calibri"/>
        </w:rPr>
        <w:t>Przed przystąpieniem do robót, Wykonawca powinien uzyskać od producentów zaświadczenia o jakości lub atesty stosowanych materiałów.</w:t>
      </w:r>
    </w:p>
    <w:p w:rsidR="00656AC1" w:rsidRPr="00203191" w:rsidRDefault="00656AC1" w:rsidP="00364E4D">
      <w:pPr>
        <w:rPr>
          <w:rFonts w:ascii="Calibri" w:hAnsi="Calibri" w:cs="Calibri"/>
        </w:rPr>
      </w:pPr>
      <w:r w:rsidRPr="00203191">
        <w:rPr>
          <w:rFonts w:ascii="Calibri" w:hAnsi="Calibri" w:cs="Calibri"/>
        </w:rPr>
        <w:t>Na żądanie Inżyniera, należy dokonać testowania sprzętu posiadającego możliwość nastawienia mechanizmów regulacyjnych.</w:t>
      </w:r>
    </w:p>
    <w:p w:rsidR="00656AC1" w:rsidRPr="00203191" w:rsidRDefault="00656AC1" w:rsidP="00364E4D">
      <w:pPr>
        <w:rPr>
          <w:rFonts w:ascii="Calibri" w:hAnsi="Calibri" w:cs="Calibri"/>
        </w:rPr>
      </w:pPr>
      <w:r w:rsidRPr="00203191">
        <w:rPr>
          <w:rFonts w:ascii="Calibri" w:hAnsi="Calibri" w:cs="Calibri"/>
        </w:rPr>
        <w:t>W wyniku badań testujących należy przedstawić Inżynierowi świadectwa cechowania.</w:t>
      </w:r>
    </w:p>
    <w:p w:rsidR="00656AC1" w:rsidRPr="00203191" w:rsidRDefault="00656AC1" w:rsidP="00364E4D">
      <w:pPr>
        <w:rPr>
          <w:rFonts w:ascii="Calibri" w:hAnsi="Calibri" w:cs="Calibri"/>
          <w:b/>
          <w:bCs/>
        </w:rPr>
      </w:pPr>
      <w:bookmarkStart w:id="95" w:name="_Toc235080314"/>
      <w:r w:rsidRPr="00203191">
        <w:rPr>
          <w:rFonts w:ascii="Calibri" w:hAnsi="Calibri" w:cs="Calibri"/>
          <w:b/>
          <w:bCs/>
        </w:rPr>
        <w:t>6.3. Badania w czasie wykonywania robót</w:t>
      </w:r>
      <w:bookmarkEnd w:id="95"/>
    </w:p>
    <w:p w:rsidR="00656AC1" w:rsidRPr="00203191" w:rsidRDefault="00656AC1" w:rsidP="00364E4D">
      <w:pPr>
        <w:rPr>
          <w:rFonts w:ascii="Calibri" w:hAnsi="Calibri" w:cs="Calibri"/>
          <w:u w:val="single"/>
        </w:rPr>
      </w:pPr>
      <w:r w:rsidRPr="00203191">
        <w:rPr>
          <w:rFonts w:ascii="Calibri" w:hAnsi="Calibri" w:cs="Calibri"/>
          <w:u w:val="single"/>
        </w:rPr>
        <w:t>Rowy pod kable</w:t>
      </w:r>
    </w:p>
    <w:p w:rsidR="00656AC1" w:rsidRPr="00203191" w:rsidRDefault="00656AC1" w:rsidP="00364E4D">
      <w:pPr>
        <w:rPr>
          <w:rFonts w:ascii="Calibri" w:hAnsi="Calibri" w:cs="Calibri"/>
        </w:rPr>
      </w:pPr>
      <w:r w:rsidRPr="00203191">
        <w:rPr>
          <w:rFonts w:ascii="Calibri" w:hAnsi="Calibri" w:cs="Calibri"/>
        </w:rPr>
        <w:t>Po wykonaniu rowów pod kable, sprawdzeniu podlegają wymiary poprzeczne rowu i zgodność ich tras z dokumentacją geodezyjną.</w:t>
      </w:r>
    </w:p>
    <w:p w:rsidR="00656AC1" w:rsidRPr="00203191" w:rsidRDefault="00656AC1" w:rsidP="00364E4D">
      <w:pPr>
        <w:rPr>
          <w:rFonts w:ascii="Calibri" w:hAnsi="Calibri" w:cs="Calibri"/>
        </w:rPr>
      </w:pPr>
      <w:r w:rsidRPr="00203191">
        <w:rPr>
          <w:rFonts w:ascii="Calibri" w:hAnsi="Calibri" w:cs="Calibri"/>
        </w:rPr>
        <w:t>Odchyłka trasy rowu od wytyczenia geodezyjnego nie powinna przekraczać 0,5 m.</w:t>
      </w:r>
    </w:p>
    <w:p w:rsidR="00656AC1" w:rsidRPr="00203191" w:rsidRDefault="00656AC1" w:rsidP="00364E4D">
      <w:pPr>
        <w:rPr>
          <w:rFonts w:ascii="Calibri" w:hAnsi="Calibri" w:cs="Calibri"/>
          <w:u w:val="single"/>
        </w:rPr>
      </w:pPr>
      <w:r w:rsidRPr="00203191">
        <w:rPr>
          <w:rFonts w:ascii="Calibri" w:hAnsi="Calibri" w:cs="Calibri"/>
          <w:u w:val="single"/>
        </w:rPr>
        <w:t>Kable i osprzęt kablowy</w:t>
      </w:r>
    </w:p>
    <w:p w:rsidR="00656AC1" w:rsidRPr="00203191" w:rsidRDefault="00656AC1" w:rsidP="00364E4D">
      <w:pPr>
        <w:rPr>
          <w:rFonts w:ascii="Calibri" w:hAnsi="Calibri" w:cs="Calibri"/>
        </w:rPr>
      </w:pPr>
      <w:r w:rsidRPr="00203191">
        <w:rPr>
          <w:rFonts w:ascii="Calibri" w:hAnsi="Calibri" w:cs="Calibri"/>
        </w:rPr>
        <w:t>Sprawdzenie polega na stwierdzeniu ich zgodności z wymaganiami norm przedmiotowych lub dokumentów, według których zostały wykonane, na podstawie atestów, protokółów odbioru albo innych dokumentów.</w:t>
      </w:r>
    </w:p>
    <w:p w:rsidR="00656AC1" w:rsidRPr="00203191" w:rsidRDefault="00656AC1" w:rsidP="00364E4D">
      <w:pPr>
        <w:rPr>
          <w:rFonts w:ascii="Calibri" w:hAnsi="Calibri" w:cs="Calibri"/>
          <w:u w:val="single"/>
        </w:rPr>
      </w:pPr>
      <w:r w:rsidRPr="00203191">
        <w:rPr>
          <w:rFonts w:ascii="Calibri" w:hAnsi="Calibri" w:cs="Calibri"/>
          <w:u w:val="single"/>
        </w:rPr>
        <w:t>Układanie kabli</w:t>
      </w:r>
    </w:p>
    <w:p w:rsidR="00656AC1" w:rsidRPr="00203191" w:rsidRDefault="00656AC1" w:rsidP="00364E4D">
      <w:pPr>
        <w:rPr>
          <w:rFonts w:ascii="Calibri" w:hAnsi="Calibri" w:cs="Calibri"/>
        </w:rPr>
      </w:pPr>
      <w:r w:rsidRPr="00203191">
        <w:rPr>
          <w:rFonts w:ascii="Calibri" w:hAnsi="Calibri" w:cs="Calibri"/>
        </w:rPr>
        <w:t>W czasie wykonywania i po zakończeniu robót kablowych należy przeprowadzić następujące pomiary:</w:t>
      </w:r>
    </w:p>
    <w:p w:rsidR="00656AC1" w:rsidRPr="00203191" w:rsidRDefault="00656AC1" w:rsidP="00364E4D">
      <w:pPr>
        <w:rPr>
          <w:rFonts w:ascii="Calibri" w:hAnsi="Calibri" w:cs="Calibri"/>
        </w:rPr>
      </w:pPr>
      <w:r w:rsidRPr="00203191">
        <w:rPr>
          <w:rFonts w:ascii="Calibri" w:hAnsi="Calibri" w:cs="Calibri"/>
        </w:rPr>
        <w:t>- głębokości zakopania kabla,</w:t>
      </w:r>
    </w:p>
    <w:p w:rsidR="00656AC1" w:rsidRPr="00203191" w:rsidRDefault="00656AC1" w:rsidP="00364E4D">
      <w:pPr>
        <w:rPr>
          <w:rFonts w:ascii="Calibri" w:hAnsi="Calibri" w:cs="Calibri"/>
        </w:rPr>
      </w:pPr>
      <w:r w:rsidRPr="00203191">
        <w:rPr>
          <w:rFonts w:ascii="Calibri" w:hAnsi="Calibri" w:cs="Calibri"/>
        </w:rPr>
        <w:t>- grubości podsypki piaskowej nad i pod kablem,</w:t>
      </w:r>
    </w:p>
    <w:p w:rsidR="00656AC1" w:rsidRPr="00203191" w:rsidRDefault="00656AC1" w:rsidP="00364E4D">
      <w:pPr>
        <w:rPr>
          <w:rFonts w:ascii="Calibri" w:hAnsi="Calibri" w:cs="Calibri"/>
        </w:rPr>
      </w:pPr>
      <w:r w:rsidRPr="00203191">
        <w:rPr>
          <w:rFonts w:ascii="Calibri" w:hAnsi="Calibri" w:cs="Calibri"/>
        </w:rPr>
        <w:lastRenderedPageBreak/>
        <w:t>- odległości folii ochronnej od kabla,</w:t>
      </w:r>
    </w:p>
    <w:p w:rsidR="00656AC1" w:rsidRPr="00203191" w:rsidRDefault="00656AC1" w:rsidP="00364E4D">
      <w:pPr>
        <w:rPr>
          <w:rFonts w:ascii="Calibri" w:hAnsi="Calibri" w:cs="Calibri"/>
        </w:rPr>
      </w:pPr>
      <w:r w:rsidRPr="00203191">
        <w:rPr>
          <w:rFonts w:ascii="Calibri" w:hAnsi="Calibri" w:cs="Calibri"/>
        </w:rPr>
        <w:t>- stopnia zagęszczenia gruntu nad kablem i rozplantowanie nadmiaru gruntu.</w:t>
      </w:r>
    </w:p>
    <w:p w:rsidR="00656AC1" w:rsidRPr="00203191" w:rsidRDefault="00656AC1" w:rsidP="00364E4D">
      <w:pPr>
        <w:rPr>
          <w:rFonts w:ascii="Calibri" w:hAnsi="Calibri" w:cs="Calibri"/>
        </w:rPr>
      </w:pPr>
      <w:r w:rsidRPr="00203191">
        <w:rPr>
          <w:rFonts w:ascii="Calibri" w:hAnsi="Calibri" w:cs="Calibri"/>
        </w:rPr>
        <w:t>Pomiary należy wykonywać co 10 m budowanej linii kablowej, a uzyskane wyniki mogą być uznane za dobre, jeżeli odbiegają od założonych w dokumentacji nie więcej niż o 10%.</w:t>
      </w:r>
    </w:p>
    <w:p w:rsidR="00656AC1" w:rsidRPr="00203191" w:rsidRDefault="00656AC1" w:rsidP="00364E4D">
      <w:pPr>
        <w:rPr>
          <w:rFonts w:ascii="Calibri" w:hAnsi="Calibri" w:cs="Calibri"/>
          <w:u w:val="single"/>
        </w:rPr>
      </w:pPr>
      <w:r w:rsidRPr="00203191">
        <w:rPr>
          <w:rFonts w:ascii="Calibri" w:hAnsi="Calibri" w:cs="Calibri"/>
          <w:u w:val="single"/>
        </w:rPr>
        <w:t>Sprawdzenie ciągłości żył</w:t>
      </w:r>
    </w:p>
    <w:p w:rsidR="00656AC1" w:rsidRPr="00203191" w:rsidRDefault="00656AC1" w:rsidP="00364E4D">
      <w:pPr>
        <w:rPr>
          <w:rFonts w:ascii="Calibri" w:hAnsi="Calibri" w:cs="Calibri"/>
        </w:rPr>
      </w:pPr>
      <w:r w:rsidRPr="00203191">
        <w:rPr>
          <w:rFonts w:ascii="Calibri" w:hAnsi="Calibri" w:cs="Calibri"/>
        </w:rPr>
        <w:t>Sprawdzenie ciągłości żył roboczych i powrotnych oraz zgodności faz należy wykonać przy użyciu przyrządów o napięciu nie przekraczającym 24 V. Wynik sprawdzenia należy uznać za dodatni, jeżeli poszczególne żyły nie mają przerw oraz jeśli poszczególne fazy na obu końcach linii są oznaczone identycznie.</w:t>
      </w:r>
    </w:p>
    <w:p w:rsidR="00656AC1" w:rsidRPr="00203191" w:rsidRDefault="00656AC1" w:rsidP="00364E4D">
      <w:pPr>
        <w:rPr>
          <w:rFonts w:ascii="Calibri" w:hAnsi="Calibri" w:cs="Calibri"/>
          <w:u w:val="single"/>
        </w:rPr>
      </w:pPr>
      <w:r w:rsidRPr="00203191">
        <w:rPr>
          <w:rFonts w:ascii="Calibri" w:hAnsi="Calibri" w:cs="Calibri"/>
          <w:u w:val="single"/>
        </w:rPr>
        <w:t>Pomiar rezystancji izolacji</w:t>
      </w:r>
    </w:p>
    <w:p w:rsidR="00656AC1" w:rsidRPr="00203191" w:rsidRDefault="00656AC1" w:rsidP="00364E4D">
      <w:pPr>
        <w:rPr>
          <w:rFonts w:ascii="Calibri" w:hAnsi="Calibri" w:cs="Calibri"/>
        </w:rPr>
      </w:pPr>
      <w:r w:rsidRPr="00203191">
        <w:rPr>
          <w:rFonts w:ascii="Calibri" w:hAnsi="Calibri" w:cs="Calibri"/>
        </w:rPr>
        <w:t>Pomiar należy wykonać za pomocą megaomomierza o napięciu nie mniejszym niż 2,5 kV, dokonując odczytu po czasie niezbędnym do ustalenia się mierzonej wartości. Wynik należy uznać za dodatni, jeżeli rezystancja izolacji wynosi co najmniej: 50 M</w:t>
      </w:r>
      <w:r w:rsidRPr="00203191">
        <w:rPr>
          <w:rFonts w:ascii="Calibri" w:hAnsi="Calibri" w:cs="Calibri"/>
        </w:rPr>
        <w:sym w:font="Symbol" w:char="F057"/>
      </w:r>
      <w:r w:rsidRPr="00203191">
        <w:rPr>
          <w:rFonts w:ascii="Calibri" w:hAnsi="Calibri" w:cs="Calibri"/>
        </w:rPr>
        <w:t xml:space="preserve">/km </w:t>
      </w:r>
    </w:p>
    <w:p w:rsidR="00656AC1" w:rsidRPr="00203191" w:rsidRDefault="00656AC1" w:rsidP="00364E4D">
      <w:pPr>
        <w:rPr>
          <w:rFonts w:ascii="Calibri" w:hAnsi="Calibri" w:cs="Calibri"/>
          <w:u w:val="single"/>
        </w:rPr>
      </w:pPr>
      <w:r w:rsidRPr="00203191">
        <w:rPr>
          <w:rFonts w:ascii="Calibri" w:hAnsi="Calibri" w:cs="Calibri"/>
          <w:u w:val="single"/>
        </w:rPr>
        <w:t>Próba napięciowa izolacji</w:t>
      </w:r>
    </w:p>
    <w:p w:rsidR="00656AC1" w:rsidRPr="00203191" w:rsidRDefault="00656AC1" w:rsidP="00364E4D">
      <w:pPr>
        <w:rPr>
          <w:rFonts w:ascii="Calibri" w:hAnsi="Calibri" w:cs="Calibri"/>
        </w:rPr>
      </w:pPr>
      <w:r w:rsidRPr="00203191">
        <w:rPr>
          <w:rFonts w:ascii="Calibri" w:hAnsi="Calibri" w:cs="Calibri"/>
        </w:rPr>
        <w:t>Próbie napięciowej izolacji podlegają wszystkie linie kablowe. Próbę napięciową należy wykonać prądem stałym lub wyprostowanym.</w:t>
      </w:r>
    </w:p>
    <w:p w:rsidR="00656AC1" w:rsidRPr="00203191" w:rsidRDefault="00656AC1" w:rsidP="00364E4D">
      <w:pPr>
        <w:rPr>
          <w:rFonts w:ascii="Calibri" w:hAnsi="Calibri" w:cs="Calibri"/>
        </w:rPr>
      </w:pPr>
      <w:r w:rsidRPr="00203191">
        <w:rPr>
          <w:rFonts w:ascii="Calibri" w:hAnsi="Calibri" w:cs="Calibri"/>
        </w:rPr>
        <w:t>Prąd upływu należy mierzyć oddzielnie dla każdej żyły.</w:t>
      </w:r>
    </w:p>
    <w:p w:rsidR="00656AC1" w:rsidRPr="00203191" w:rsidRDefault="00656AC1" w:rsidP="00364E4D">
      <w:pPr>
        <w:rPr>
          <w:rFonts w:ascii="Calibri" w:hAnsi="Calibri" w:cs="Calibri"/>
        </w:rPr>
      </w:pPr>
      <w:r w:rsidRPr="00203191">
        <w:rPr>
          <w:rFonts w:ascii="Calibri" w:hAnsi="Calibri" w:cs="Calibri"/>
        </w:rPr>
        <w:t>Wynik próby napięciowej izolacji należy uznać za dodatni, jeżeli:</w:t>
      </w:r>
    </w:p>
    <w:p w:rsidR="00656AC1" w:rsidRPr="00203191" w:rsidRDefault="00656AC1" w:rsidP="00364E4D">
      <w:pPr>
        <w:rPr>
          <w:rFonts w:ascii="Calibri" w:hAnsi="Calibri" w:cs="Calibri"/>
        </w:rPr>
      </w:pPr>
      <w:r w:rsidRPr="00203191">
        <w:rPr>
          <w:rFonts w:ascii="Calibri" w:hAnsi="Calibri" w:cs="Calibri"/>
        </w:rPr>
        <w:t>izolacja każdej żyły wytrzyma przez 20 min. bez przeskoku, przebicia i bez objawów przebicia częściowego, napięcie probiercze o wartości równej 0,75 napięcia probierczego kabla wg PN-76/E-90250 i PN-76/E-90300,</w:t>
      </w:r>
    </w:p>
    <w:p w:rsidR="00656AC1" w:rsidRPr="00203191" w:rsidRDefault="00656AC1" w:rsidP="00364E4D">
      <w:pPr>
        <w:rPr>
          <w:rFonts w:ascii="Calibri" w:hAnsi="Calibri" w:cs="Calibri"/>
        </w:rPr>
      </w:pPr>
      <w:r w:rsidRPr="00203191">
        <w:rPr>
          <w:rFonts w:ascii="Calibri" w:hAnsi="Calibri" w:cs="Calibri"/>
        </w:rPr>
        <w:t xml:space="preserve">wartość prądu upływu dla poszczególnych żył nie przekroczy 300 </w:t>
      </w:r>
      <w:r w:rsidRPr="00203191">
        <w:rPr>
          <w:rFonts w:ascii="Calibri" w:hAnsi="Calibri" w:cs="Calibri"/>
        </w:rPr>
        <w:sym w:font="Symbol" w:char="F06D"/>
      </w:r>
      <w:r w:rsidRPr="00203191">
        <w:rPr>
          <w:rFonts w:ascii="Calibri" w:hAnsi="Calibri" w:cs="Calibri"/>
        </w:rPr>
        <w:t xml:space="preserve">A/km i nie wzrasta w czasie ostatnich 4 min. badania; w liniach o długości nie przekraczającej 300 m dopuszcza się wartość prądu upływu 100 </w:t>
      </w:r>
      <w:r w:rsidRPr="00203191">
        <w:rPr>
          <w:rFonts w:ascii="Calibri" w:hAnsi="Calibri" w:cs="Calibri"/>
        </w:rPr>
        <w:sym w:font="Symbol" w:char="F06D"/>
      </w:r>
      <w:r w:rsidRPr="00203191">
        <w:rPr>
          <w:rFonts w:ascii="Calibri" w:hAnsi="Calibri" w:cs="Calibri"/>
        </w:rPr>
        <w:t>A.</w:t>
      </w:r>
    </w:p>
    <w:p w:rsidR="00656AC1" w:rsidRPr="00203191" w:rsidRDefault="00656AC1" w:rsidP="00364E4D">
      <w:pPr>
        <w:rPr>
          <w:rFonts w:ascii="Calibri" w:hAnsi="Calibri" w:cs="Calibri"/>
          <w:b/>
          <w:bCs/>
        </w:rPr>
      </w:pPr>
      <w:bookmarkStart w:id="96" w:name="_Toc235080315"/>
      <w:r w:rsidRPr="00203191">
        <w:rPr>
          <w:rFonts w:ascii="Calibri" w:hAnsi="Calibri" w:cs="Calibri"/>
          <w:b/>
          <w:bCs/>
        </w:rPr>
        <w:t>6.4. Badania po wykonaniu robót</w:t>
      </w:r>
      <w:bookmarkEnd w:id="96"/>
    </w:p>
    <w:p w:rsidR="00656AC1" w:rsidRPr="00203191" w:rsidRDefault="00656AC1" w:rsidP="00364E4D">
      <w:pPr>
        <w:rPr>
          <w:rFonts w:ascii="Calibri" w:hAnsi="Calibri" w:cs="Calibri"/>
        </w:rPr>
      </w:pPr>
      <w:r w:rsidRPr="00203191">
        <w:rPr>
          <w:rFonts w:ascii="Calibri" w:hAnsi="Calibri" w:cs="Calibri"/>
        </w:rPr>
        <w:t>W przypadku zadawalających wyników pomiarów i badań wykonanych przed i w czasie wykonywania robót, na wniosek Wykonawcy, Inżynier może wyrazić zgodę na niewykonywanie badań po wykonaniu robót.</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97" w:name="_Toc235080316"/>
      <w:r w:rsidRPr="00203191">
        <w:rPr>
          <w:rFonts w:ascii="Calibri" w:hAnsi="Calibri" w:cs="Calibri"/>
          <w:b/>
          <w:bCs/>
        </w:rPr>
        <w:t xml:space="preserve">7. </w:t>
      </w:r>
      <w:bookmarkEnd w:id="97"/>
      <w:r w:rsidRPr="00203191">
        <w:rPr>
          <w:rFonts w:ascii="Calibri" w:hAnsi="Calibri" w:cs="Calibri"/>
          <w:b/>
          <w:bCs/>
        </w:rPr>
        <w:t>OBMIAR ROBÓT</w:t>
      </w:r>
    </w:p>
    <w:p w:rsidR="00656AC1" w:rsidRPr="00203191" w:rsidRDefault="00656AC1" w:rsidP="00364E4D">
      <w:pPr>
        <w:rPr>
          <w:rFonts w:ascii="Calibri" w:hAnsi="Calibri" w:cs="Calibri"/>
        </w:rPr>
      </w:pPr>
      <w:r w:rsidRPr="00203191">
        <w:rPr>
          <w:rFonts w:ascii="Calibri" w:hAnsi="Calibri" w:cs="Calibri"/>
        </w:rPr>
        <w:t xml:space="preserve">Ogólne wymagania dotyczące obmiaru robót podano w </w:t>
      </w:r>
      <w:r w:rsidR="005B48CA">
        <w:rPr>
          <w:rFonts w:ascii="Calibri" w:hAnsi="Calibri" w:cs="Calibri"/>
        </w:rPr>
        <w:t>STWiORB</w:t>
      </w:r>
      <w:r w:rsidRPr="00203191">
        <w:rPr>
          <w:rFonts w:ascii="Calibri" w:hAnsi="Calibri" w:cs="Calibri"/>
        </w:rPr>
        <w:t xml:space="preserve"> D-M-00.00.00 „Wymagania ogólne”.</w:t>
      </w:r>
      <w:bookmarkStart w:id="98" w:name="_Toc235080317"/>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r w:rsidRPr="00203191">
        <w:rPr>
          <w:rFonts w:ascii="Calibri" w:hAnsi="Calibri" w:cs="Calibri"/>
          <w:b/>
          <w:bCs/>
        </w:rPr>
        <w:t>8. O</w:t>
      </w:r>
      <w:bookmarkEnd w:id="98"/>
      <w:r w:rsidRPr="00203191">
        <w:rPr>
          <w:rFonts w:ascii="Calibri" w:hAnsi="Calibri" w:cs="Calibri"/>
          <w:b/>
          <w:bCs/>
        </w:rPr>
        <w:t>DBIÓR ROBÓT</w:t>
      </w:r>
    </w:p>
    <w:p w:rsidR="00656AC1" w:rsidRPr="00203191" w:rsidRDefault="00656AC1" w:rsidP="00364E4D">
      <w:pPr>
        <w:rPr>
          <w:rFonts w:ascii="Calibri" w:hAnsi="Calibri" w:cs="Calibri"/>
        </w:rPr>
      </w:pPr>
      <w:r w:rsidRPr="00203191">
        <w:rPr>
          <w:rFonts w:ascii="Calibri" w:hAnsi="Calibri" w:cs="Calibri"/>
        </w:rPr>
        <w:t xml:space="preserve">Ogólne wymagania dotyczące odbioru robót podano w </w:t>
      </w:r>
      <w:r w:rsidR="005B48CA">
        <w:rPr>
          <w:rFonts w:ascii="Calibri" w:hAnsi="Calibri" w:cs="Calibri"/>
        </w:rPr>
        <w:t>STWiORB</w:t>
      </w:r>
      <w:r w:rsidRPr="00203191">
        <w:rPr>
          <w:rFonts w:ascii="Calibri" w:hAnsi="Calibri" w:cs="Calibri"/>
        </w:rPr>
        <w:t xml:space="preserve"> D-M-00.00.00 „Wymagania ogólne”.</w:t>
      </w:r>
    </w:p>
    <w:p w:rsidR="00656AC1" w:rsidRPr="00203191" w:rsidRDefault="00656AC1" w:rsidP="00364E4D">
      <w:pPr>
        <w:rPr>
          <w:rFonts w:ascii="Calibri" w:hAnsi="Calibri" w:cs="Calibri"/>
        </w:rPr>
      </w:pPr>
      <w:r w:rsidRPr="00203191">
        <w:rPr>
          <w:rFonts w:ascii="Calibri" w:hAnsi="Calibri" w:cs="Calibri"/>
        </w:rPr>
        <w:t>Przy przekazywaniu linii kablowej do eksploatacji, Wykonawca zobowiązany jest dostarczyć Zamawiającemu następujące dokumenty:</w:t>
      </w:r>
    </w:p>
    <w:p w:rsidR="00656AC1" w:rsidRPr="00203191" w:rsidRDefault="00656AC1" w:rsidP="00364E4D">
      <w:pPr>
        <w:rPr>
          <w:rFonts w:ascii="Calibri" w:hAnsi="Calibri" w:cs="Calibri"/>
        </w:rPr>
      </w:pPr>
      <w:r w:rsidRPr="00203191">
        <w:rPr>
          <w:rFonts w:ascii="Calibri" w:hAnsi="Calibri" w:cs="Calibri"/>
        </w:rPr>
        <w:t>- projektową dokumentację powykonawczą,</w:t>
      </w:r>
    </w:p>
    <w:p w:rsidR="00656AC1" w:rsidRPr="00203191" w:rsidRDefault="00656AC1" w:rsidP="00364E4D">
      <w:pPr>
        <w:rPr>
          <w:rFonts w:ascii="Calibri" w:hAnsi="Calibri" w:cs="Calibri"/>
        </w:rPr>
      </w:pPr>
      <w:r w:rsidRPr="00203191">
        <w:rPr>
          <w:rFonts w:ascii="Calibri" w:hAnsi="Calibri" w:cs="Calibri"/>
        </w:rPr>
        <w:t>- geodezyjną dokumentację powykonawczą,</w:t>
      </w:r>
    </w:p>
    <w:p w:rsidR="00656AC1" w:rsidRPr="00203191" w:rsidRDefault="00656AC1" w:rsidP="00364E4D">
      <w:pPr>
        <w:rPr>
          <w:rFonts w:ascii="Calibri" w:hAnsi="Calibri" w:cs="Calibri"/>
        </w:rPr>
      </w:pPr>
      <w:r w:rsidRPr="00203191">
        <w:rPr>
          <w:rFonts w:ascii="Calibri" w:hAnsi="Calibri" w:cs="Calibri"/>
        </w:rPr>
        <w:t>- protokóły z dokonanych pomiarów,</w:t>
      </w:r>
    </w:p>
    <w:p w:rsidR="00656AC1" w:rsidRPr="00203191" w:rsidRDefault="00656AC1" w:rsidP="00364E4D">
      <w:pPr>
        <w:rPr>
          <w:rFonts w:ascii="Calibri" w:hAnsi="Calibri" w:cs="Calibri"/>
        </w:rPr>
      </w:pPr>
      <w:r w:rsidRPr="00203191">
        <w:rPr>
          <w:rFonts w:ascii="Calibri" w:hAnsi="Calibri" w:cs="Calibri"/>
        </w:rPr>
        <w:t>- protokóły odbioru robót zanikających,</w:t>
      </w:r>
    </w:p>
    <w:p w:rsidR="00656AC1" w:rsidRPr="00203191" w:rsidRDefault="00656AC1" w:rsidP="00364E4D">
      <w:pPr>
        <w:rPr>
          <w:rFonts w:ascii="Calibri" w:hAnsi="Calibri" w:cs="Calibri"/>
        </w:rPr>
      </w:pPr>
      <w:r w:rsidRPr="00203191">
        <w:rPr>
          <w:rFonts w:ascii="Calibri" w:hAnsi="Calibri" w:cs="Calibri"/>
        </w:rPr>
        <w:t>- ewentualną ocenę robót wydaną przez zakład energetyczny.</w:t>
      </w:r>
    </w:p>
    <w:p w:rsidR="00656AC1" w:rsidRPr="00203191" w:rsidRDefault="00656AC1" w:rsidP="00364E4D">
      <w:pPr>
        <w:rPr>
          <w:rFonts w:ascii="Calibri" w:hAnsi="Calibri" w:cs="Calibri"/>
        </w:rPr>
      </w:pPr>
      <w:bookmarkStart w:id="99" w:name="_Toc466861809"/>
      <w:bookmarkStart w:id="100" w:name="_Toc235080318"/>
    </w:p>
    <w:p w:rsidR="00656AC1" w:rsidRPr="00203191" w:rsidRDefault="00656AC1" w:rsidP="00364E4D">
      <w:pPr>
        <w:rPr>
          <w:rFonts w:ascii="Calibri" w:hAnsi="Calibri" w:cs="Calibri"/>
          <w:b/>
          <w:bCs/>
        </w:rPr>
      </w:pPr>
      <w:r w:rsidRPr="00203191">
        <w:rPr>
          <w:rFonts w:ascii="Calibri" w:hAnsi="Calibri" w:cs="Calibri"/>
          <w:b/>
          <w:bCs/>
        </w:rPr>
        <w:t xml:space="preserve">9. </w:t>
      </w:r>
      <w:bookmarkEnd w:id="99"/>
      <w:bookmarkEnd w:id="100"/>
      <w:r w:rsidRPr="00203191">
        <w:rPr>
          <w:rFonts w:ascii="Calibri" w:hAnsi="Calibri" w:cs="Calibri"/>
          <w:b/>
          <w:bCs/>
        </w:rPr>
        <w:t>PODSTAWA PŁATNOŚCI</w:t>
      </w:r>
    </w:p>
    <w:p w:rsidR="00656AC1" w:rsidRPr="00203191" w:rsidRDefault="00656AC1" w:rsidP="00364E4D">
      <w:pPr>
        <w:rPr>
          <w:rFonts w:ascii="Calibri" w:hAnsi="Calibri" w:cs="Calibri"/>
        </w:rPr>
      </w:pPr>
      <w:r w:rsidRPr="00203191">
        <w:rPr>
          <w:rFonts w:ascii="Calibri" w:hAnsi="Calibri" w:cs="Calibri"/>
        </w:rPr>
        <w:t xml:space="preserve">Ogólne wymagania dotyczące podstawy płatności podano w </w:t>
      </w:r>
      <w:r w:rsidR="005B48CA">
        <w:rPr>
          <w:rFonts w:ascii="Calibri" w:hAnsi="Calibri" w:cs="Calibri"/>
        </w:rPr>
        <w:t>STWiORB</w:t>
      </w:r>
      <w:r w:rsidRPr="00203191">
        <w:rPr>
          <w:rFonts w:ascii="Calibri" w:hAnsi="Calibri" w:cs="Calibri"/>
        </w:rPr>
        <w:t xml:space="preserve"> D-M-00.00.00 „Wymagania ogólne”.</w:t>
      </w:r>
    </w:p>
    <w:p w:rsidR="00656AC1" w:rsidRPr="00203191" w:rsidRDefault="00656AC1" w:rsidP="00364E4D">
      <w:pPr>
        <w:rPr>
          <w:rFonts w:ascii="Calibri" w:hAnsi="Calibri" w:cs="Calibri"/>
        </w:rPr>
      </w:pPr>
      <w:r w:rsidRPr="00203191">
        <w:rPr>
          <w:rFonts w:ascii="Calibri" w:hAnsi="Calibri" w:cs="Calibri"/>
        </w:rPr>
        <w:t>Płatność za metr należy przyjmować zgodnie z oceną jakości użytych materiałów i wykonanych robót na podstawie wyników pomiarów i badań kontrolnych.</w:t>
      </w:r>
    </w:p>
    <w:p w:rsidR="00656AC1" w:rsidRPr="00203191" w:rsidRDefault="00656AC1" w:rsidP="00364E4D">
      <w:pPr>
        <w:rPr>
          <w:rFonts w:ascii="Calibri" w:hAnsi="Calibri" w:cs="Calibri"/>
        </w:rPr>
      </w:pPr>
      <w:r w:rsidRPr="00203191">
        <w:rPr>
          <w:rFonts w:ascii="Calibri" w:hAnsi="Calibri" w:cs="Calibri"/>
        </w:rPr>
        <w:t>Cena jednostkowa wykonanych robót obejmuje:</w:t>
      </w:r>
    </w:p>
    <w:p w:rsidR="00656AC1" w:rsidRPr="00203191" w:rsidRDefault="00656AC1" w:rsidP="00364E4D">
      <w:pPr>
        <w:rPr>
          <w:rFonts w:ascii="Calibri" w:hAnsi="Calibri" w:cs="Calibri"/>
        </w:rPr>
      </w:pPr>
      <w:r w:rsidRPr="00203191">
        <w:rPr>
          <w:rFonts w:ascii="Calibri" w:hAnsi="Calibri" w:cs="Calibri"/>
        </w:rPr>
        <w:t>- roboty przygotowawcze,</w:t>
      </w:r>
    </w:p>
    <w:p w:rsidR="00656AC1" w:rsidRPr="00203191" w:rsidRDefault="00656AC1" w:rsidP="00364E4D">
      <w:pPr>
        <w:rPr>
          <w:rFonts w:ascii="Calibri" w:hAnsi="Calibri" w:cs="Calibri"/>
        </w:rPr>
      </w:pPr>
      <w:r w:rsidRPr="00203191">
        <w:rPr>
          <w:rFonts w:ascii="Calibri" w:hAnsi="Calibri" w:cs="Calibri"/>
        </w:rPr>
        <w:t>- oznakowanie robót,</w:t>
      </w:r>
    </w:p>
    <w:p w:rsidR="00656AC1" w:rsidRPr="00203191" w:rsidRDefault="00656AC1" w:rsidP="00364E4D">
      <w:pPr>
        <w:rPr>
          <w:rFonts w:ascii="Calibri" w:hAnsi="Calibri" w:cs="Calibri"/>
        </w:rPr>
      </w:pPr>
      <w:r w:rsidRPr="00203191">
        <w:rPr>
          <w:rFonts w:ascii="Calibri" w:hAnsi="Calibri" w:cs="Calibri"/>
        </w:rPr>
        <w:t>- przygotowanie, dostarczenie i wbudowanie materiałów,</w:t>
      </w:r>
    </w:p>
    <w:p w:rsidR="00656AC1" w:rsidRPr="00203191" w:rsidRDefault="00656AC1" w:rsidP="00364E4D">
      <w:pPr>
        <w:rPr>
          <w:rFonts w:ascii="Calibri" w:hAnsi="Calibri" w:cs="Calibri"/>
        </w:rPr>
      </w:pPr>
      <w:r w:rsidRPr="00203191">
        <w:rPr>
          <w:rFonts w:ascii="Calibri" w:hAnsi="Calibri" w:cs="Calibri"/>
        </w:rPr>
        <w:t>- odłączenie i demontaż kolidującego odcinka linii kablowej,</w:t>
      </w:r>
    </w:p>
    <w:p w:rsidR="00656AC1" w:rsidRPr="00203191" w:rsidRDefault="00656AC1" w:rsidP="00364E4D">
      <w:pPr>
        <w:rPr>
          <w:rFonts w:ascii="Calibri" w:hAnsi="Calibri" w:cs="Calibri"/>
        </w:rPr>
      </w:pPr>
      <w:r w:rsidRPr="00203191">
        <w:rPr>
          <w:rFonts w:ascii="Calibri" w:hAnsi="Calibri" w:cs="Calibri"/>
        </w:rPr>
        <w:t>- podłączenie linii do sieci, zgodnie z dokumentacją projektową,</w:t>
      </w:r>
    </w:p>
    <w:p w:rsidR="00656AC1" w:rsidRPr="00203191" w:rsidRDefault="00656AC1" w:rsidP="00364E4D">
      <w:pPr>
        <w:rPr>
          <w:rFonts w:ascii="Calibri" w:hAnsi="Calibri" w:cs="Calibri"/>
        </w:rPr>
      </w:pPr>
      <w:r w:rsidRPr="00203191">
        <w:rPr>
          <w:rFonts w:ascii="Calibri" w:hAnsi="Calibri" w:cs="Calibri"/>
        </w:rPr>
        <w:t>- wykonanie inwentaryzacji przebiegu kabli pod gruntem.</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b/>
          <w:bCs/>
        </w:rPr>
      </w:pPr>
      <w:bookmarkStart w:id="101" w:name="_Toc466861810"/>
      <w:bookmarkStart w:id="102" w:name="_Toc235080319"/>
      <w:r w:rsidRPr="00203191">
        <w:rPr>
          <w:rFonts w:ascii="Calibri" w:hAnsi="Calibri" w:cs="Calibri"/>
          <w:b/>
          <w:bCs/>
        </w:rPr>
        <w:t xml:space="preserve">10. </w:t>
      </w:r>
      <w:bookmarkEnd w:id="101"/>
      <w:bookmarkEnd w:id="102"/>
      <w:r w:rsidRPr="00203191">
        <w:rPr>
          <w:rFonts w:ascii="Calibri" w:hAnsi="Calibri" w:cs="Calibri"/>
          <w:b/>
          <w:bCs/>
        </w:rPr>
        <w:t>PRZEPISY ZWIĄZANE</w:t>
      </w:r>
    </w:p>
    <w:p w:rsidR="00656AC1" w:rsidRPr="00203191" w:rsidRDefault="00656AC1" w:rsidP="00364E4D">
      <w:pPr>
        <w:rPr>
          <w:rFonts w:ascii="Calibri" w:hAnsi="Calibri" w:cs="Calibri"/>
          <w:b/>
          <w:bCs/>
        </w:rPr>
      </w:pPr>
      <w:bookmarkStart w:id="103" w:name="_Toc235080320"/>
      <w:r w:rsidRPr="00203191">
        <w:rPr>
          <w:rFonts w:ascii="Calibri" w:hAnsi="Calibri" w:cs="Calibri"/>
          <w:b/>
          <w:bCs/>
        </w:rPr>
        <w:t>10.1. Normy</w:t>
      </w:r>
      <w:bookmarkEnd w:id="103"/>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PN- 89/E- 05029 - Barwy wskaźników świetlnych i przycisków</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PN-IEC- 60050-826: 2000 - Międzynarodowy słownik terminologiczny elektryki. Instalacje elektryczne w obiektach budowlanych.</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PN-IEC- 60364-1 : 2000 - Instalacje elektryczne w obiektach budowlanych. Zakres, przedmiot i wymagania podstawowe</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lastRenderedPageBreak/>
        <w:t>PN-IEC- 60364-3 : 2000 - Instalacje elektryczne w obiektach budowlanych. Ustalanie ogólnych charakterystyk.</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PN-EN - 40-1: 2002 - Słupy oświetleniowe. Terminy i definicje</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PN-EN - 12665: 2003 - Światło i oświetlenie. Podstawowe terminy i oraz kryteria określania wymagań dotyczących oświetlenia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PN-EN - 13201-1: 2004 - Oświetlenie dróg - Część 1: Wybór klas oświetlenia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N-SEP-E-001: 2003 - Sieci elektroenergetyczne niskiego napięcia. Ochrona przeciwporażeniowa.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N-SEP-E-004: 2004 - Elektroenergetyczne i sygnalizacyjne linie kablowe. Projektowanie i budowa.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PN-IEC- 60364-4-41 : 2000 - Instalacje elektryczne w obiektach budowlanych. Ochrona dla zapewnienia bezpieczeństwa. Ochrona przeciwporażeniowa.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PN-IEC- 60364-4-42 : 1999 - Instalacje elektryczne w obiektach budowlanych. Ochrona dla zapewnienia bezpieczeństwa. Ochrona przed skutkami oddziaływania cieplnego.</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PN-IEC- 60364-4-43 : 1999 - Instalacje elektryczne w obiektach budowlanych. Ochrona dla zapewnienia bezpieczeństwa. Ochrona przed prądem przetężeniowym.</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PN-IEC- 60364-4-443 : 1999 - Instalacje elektryczne w obiektach budowlanych. Ochrona dla zapewnienia bezpieczeństwa. Ochrona przed przepięciami. Ochrona przed przepięciami atmosferycznymi lub łączeniowymi.</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PN-IEC- 60364-4-46 : 1999 - Instalacje elektryczne w obiektach budowlanych. Ochrona dla zapewnienia bezpieczeństwa. Odłączanie izolacyjne i łączenie.</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PN-IEC- 60364-4-47 : 2001 - Instalacje elektryczne w obiektach budowlanych. Ochrona dla zapewnienia bezpieczeństwa. Zastosowanie środków ochrony zapewniających bezpieczeństwo. Postanowienia ogólne. Środki ochrony przed porażeniem prądem elektrycznym</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PN-IEC- 60364-4-473 : 1999 - Instalacje elektryczne w obiektach budowlanych. Ochrona dla zapewnienia bezpieczeństwa. Stosowanie środków ochrony zapewniających bezpieczeństwo. Środki ochrony przed prądem przetężeniowym.</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PN-IEC- 60364-5-523 : 2001 - Instalacje elektryczne w obiektach budowlanych. Dobór i montaż wyposażenia elektrycznego. Obciążalność prądowa długotrwała przewodów.</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PN-IEC- 60364-5-53 : 2000 - Instalacje elektryczne w obiektach budowlanych. Dobór i montaż wyposażenia elektrycznego. Aparatura rozdzielcza i sterownicza.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PN-IEC- 60364-5-534 : 2003 - Instalacje elektryczne w obiektach budowlanych. Dobór i montaż wyposażenia elektrycznego. Urządzenia do ochrony przed przepięciami</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PN-IEC- 60364-5-537 : 1999 - Instalacje elektryczne w obiektach budowlanych. Dobór i montaż wyposażenia elektrycznego. Aparatura rozdzielcza i sterownicza. Urządzenia do odłączania izolacyjnego i łączenia</w:t>
      </w:r>
    </w:p>
    <w:p w:rsidR="00656AC1" w:rsidRPr="00203191" w:rsidRDefault="00656AC1" w:rsidP="00364E4D">
      <w:pPr>
        <w:rPr>
          <w:rStyle w:val="Teksttreci9pt"/>
          <w:rFonts w:ascii="Calibri" w:hAnsi="Calibri" w:cs="Calibri"/>
          <w:spacing w:val="-1"/>
        </w:rPr>
      </w:pPr>
      <w:r w:rsidRPr="00203191">
        <w:rPr>
          <w:rStyle w:val="Teksttreci9pt"/>
          <w:rFonts w:ascii="Calibri" w:hAnsi="Calibri" w:cs="Calibri"/>
          <w:spacing w:val="-1"/>
        </w:rPr>
        <w:t>PN-IEC- 60364-5-54 : 1999 - Instalacje elektryczne w obiektach budowlanych. Dobór i montaż wyposażenia elektrycznego. Uziemienia i przewody ochronne.</w:t>
      </w:r>
    </w:p>
    <w:p w:rsidR="00656AC1" w:rsidRPr="00203191" w:rsidRDefault="00656AC1" w:rsidP="00364E4D">
      <w:pPr>
        <w:rPr>
          <w:rFonts w:ascii="Calibri" w:hAnsi="Calibri" w:cs="Calibri"/>
          <w:b/>
          <w:bCs/>
        </w:rPr>
      </w:pPr>
      <w:r w:rsidRPr="00203191">
        <w:rPr>
          <w:rStyle w:val="Teksttreci9pt"/>
          <w:rFonts w:ascii="Calibri" w:hAnsi="Calibri" w:cs="Calibri"/>
          <w:spacing w:val="-1"/>
        </w:rPr>
        <w:t>PN-IEC- 60364-6-61 : 2000 - Instalacje elektryczne w obiektach budowlanych. Sprawdzanie odbiorcze.</w:t>
      </w:r>
    </w:p>
    <w:p w:rsidR="00656AC1" w:rsidRPr="00203191" w:rsidRDefault="00656AC1" w:rsidP="00364E4D">
      <w:pPr>
        <w:rPr>
          <w:rFonts w:ascii="Calibri" w:hAnsi="Calibri" w:cs="Calibri"/>
          <w:b/>
          <w:bCs/>
        </w:rPr>
      </w:pPr>
      <w:bookmarkStart w:id="104" w:name="_Toc235080321"/>
      <w:r w:rsidRPr="00203191">
        <w:rPr>
          <w:rFonts w:ascii="Calibri" w:hAnsi="Calibri" w:cs="Calibri"/>
          <w:b/>
          <w:bCs/>
        </w:rPr>
        <w:t>10.2. Inne dokumenty</w:t>
      </w:r>
      <w:bookmarkEnd w:id="104"/>
    </w:p>
    <w:p w:rsidR="00656AC1" w:rsidRPr="00203191" w:rsidRDefault="00656AC1" w:rsidP="00364E4D">
      <w:pPr>
        <w:rPr>
          <w:rFonts w:ascii="Calibri" w:hAnsi="Calibri" w:cs="Calibri"/>
        </w:rPr>
      </w:pPr>
      <w:r w:rsidRPr="00203191">
        <w:rPr>
          <w:rFonts w:ascii="Calibri" w:hAnsi="Calibri" w:cs="Calibri"/>
        </w:rPr>
        <w:t>Przepisy budowy urządzeń elektrycznych. PBUE wyd. 1980 r.</w:t>
      </w:r>
    </w:p>
    <w:p w:rsidR="00656AC1" w:rsidRPr="00203191" w:rsidRDefault="00656AC1" w:rsidP="00364E4D">
      <w:pPr>
        <w:rPr>
          <w:rFonts w:ascii="Calibri" w:hAnsi="Calibri" w:cs="Calibri"/>
        </w:rPr>
      </w:pPr>
      <w:r w:rsidRPr="00203191">
        <w:rPr>
          <w:rFonts w:ascii="Calibri" w:hAnsi="Calibri" w:cs="Calibri"/>
        </w:rPr>
        <w:t>Rozporządzenie Ministra Budownictwa i Przemysłu Materiałów Budowlanych w sprawie bezpieczeństwa i higieny pracy przy wykonywaniu robót budowlano-montażowych i rozbiórkowych. Dz. U. Nr 13 z dnia 10.04.1972 r.</w:t>
      </w:r>
    </w:p>
    <w:p w:rsidR="00656AC1" w:rsidRPr="00203191" w:rsidRDefault="00656AC1" w:rsidP="00364E4D">
      <w:pPr>
        <w:rPr>
          <w:rFonts w:ascii="Calibri" w:hAnsi="Calibri" w:cs="Calibri"/>
        </w:rPr>
      </w:pPr>
      <w:r w:rsidRPr="00203191">
        <w:rPr>
          <w:rFonts w:ascii="Calibri" w:hAnsi="Calibri" w:cs="Calibri"/>
        </w:rPr>
        <w:t>Rozporządzenie Ministra Przemysłu z dnia 26.11.1990 r. w sprawie warunków technicznych, jakim powinny odpowiadać urządzenia elektroenergetyczne w zakresie ochrony przeciwporażeniowej. Dz. U. Nr 81 z dnia 26.11.1990 r.</w:t>
      </w:r>
    </w:p>
    <w:p w:rsidR="00656AC1" w:rsidRPr="00203191" w:rsidRDefault="00656AC1" w:rsidP="00364E4D">
      <w:pPr>
        <w:rPr>
          <w:rFonts w:ascii="Calibri" w:hAnsi="Calibri" w:cs="Calibri"/>
        </w:rPr>
      </w:pPr>
      <w:r w:rsidRPr="00203191">
        <w:rPr>
          <w:rFonts w:ascii="Calibri" w:hAnsi="Calibri" w:cs="Calibri"/>
        </w:rPr>
        <w:t>Zarządzenie nr 29 Ministra Górnictwa i Energetyki z dnia 17 lipca 1974 r. w sprawie doboru przewodów i kabli elektroenergetycznych do obciążeń prądem elektrycznym.</w:t>
      </w:r>
    </w:p>
    <w:p w:rsidR="00656AC1" w:rsidRPr="00203191" w:rsidRDefault="00656AC1" w:rsidP="00364E4D">
      <w:pPr>
        <w:rPr>
          <w:rFonts w:ascii="Calibri" w:hAnsi="Calibri" w:cs="Calibri"/>
        </w:rPr>
      </w:pPr>
      <w:r w:rsidRPr="00203191">
        <w:rPr>
          <w:rFonts w:ascii="Calibri" w:hAnsi="Calibri" w:cs="Calibri"/>
        </w:rPr>
        <w:t>Ustawa o drogach publicznych z dnia 21.03.1985 r. Dz. U. Nr 14 z dnia 15.04.1985 r.</w:t>
      </w:r>
    </w:p>
    <w:p w:rsidR="00656AC1" w:rsidRPr="00203191" w:rsidRDefault="00656AC1" w:rsidP="00364E4D">
      <w:pPr>
        <w:tabs>
          <w:tab w:val="left" w:pos="1695"/>
        </w:tabs>
        <w:rPr>
          <w:rFonts w:ascii="Calibri" w:hAnsi="Calibri" w:cs="Calibri"/>
        </w:rPr>
      </w:pPr>
    </w:p>
    <w:p w:rsidR="00AA64C3" w:rsidRPr="0079565D" w:rsidRDefault="00AA64C3" w:rsidP="00AA64C3">
      <w:pPr>
        <w:pStyle w:val="Nagwek2"/>
      </w:pPr>
      <w:r w:rsidRPr="0079565D">
        <w:lastRenderedPageBreak/>
        <w:t>SPECYFIKACJE TECHNICZNE WYKONANIA I ODBIORU ROBÓT BUDOWLANYCH</w:t>
      </w:r>
    </w:p>
    <w:p w:rsidR="00AA64C3" w:rsidRPr="00203191" w:rsidRDefault="00AA64C3" w:rsidP="00AA64C3">
      <w:pPr>
        <w:pStyle w:val="Nagwek1"/>
      </w:pPr>
      <w:bookmarkStart w:id="105" w:name="_Toc459929665"/>
      <w:r w:rsidRPr="00203191">
        <w:t>D-0</w:t>
      </w:r>
      <w:r>
        <w:t>1</w:t>
      </w:r>
      <w:r w:rsidRPr="00203191">
        <w:t>.0</w:t>
      </w:r>
      <w:r>
        <w:t>3</w:t>
      </w:r>
      <w:r w:rsidRPr="00203191">
        <w:t>.0</w:t>
      </w:r>
      <w:r w:rsidR="003C5BD9">
        <w:t>4</w:t>
      </w:r>
      <w:r w:rsidRPr="00203191">
        <w:t xml:space="preserve"> </w:t>
      </w:r>
      <w:r>
        <w:t>PRZEBUDOWA TELEKOMUNIKACYJNYCH LINII KABLOWYCH</w:t>
      </w:r>
      <w:bookmarkEnd w:id="105"/>
    </w:p>
    <w:p w:rsidR="00AA64C3" w:rsidRPr="00203191" w:rsidRDefault="00AA64C3" w:rsidP="00AA64C3">
      <w:pPr>
        <w:pStyle w:val="Nagwek3"/>
        <w:rPr>
          <w:rFonts w:ascii="Calibri" w:hAnsi="Calibri" w:cs="Calibri"/>
        </w:rPr>
      </w:pPr>
      <w:r w:rsidRPr="00203191">
        <w:rPr>
          <w:rFonts w:ascii="Calibri" w:hAnsi="Calibri" w:cs="Calibri"/>
        </w:rPr>
        <w:t>1. WSTĘP</w:t>
      </w:r>
    </w:p>
    <w:p w:rsidR="00AA64C3" w:rsidRPr="00203191" w:rsidRDefault="00AA64C3" w:rsidP="00AA64C3">
      <w:pPr>
        <w:pStyle w:val="Nagwek4"/>
        <w:rPr>
          <w:rFonts w:ascii="Calibri" w:hAnsi="Calibri" w:cs="Calibri"/>
        </w:rPr>
      </w:pPr>
      <w:r w:rsidRPr="00203191">
        <w:rPr>
          <w:rFonts w:ascii="Calibri" w:hAnsi="Calibri" w:cs="Calibri"/>
        </w:rPr>
        <w:t xml:space="preserve">1.1. Przedmiot </w:t>
      </w:r>
      <w:r>
        <w:rPr>
          <w:rFonts w:ascii="Calibri" w:hAnsi="Calibri" w:cs="Calibri"/>
        </w:rPr>
        <w:t>STWiORB</w:t>
      </w:r>
    </w:p>
    <w:p w:rsidR="00AA64C3" w:rsidRPr="00203191" w:rsidRDefault="00AA64C3" w:rsidP="00AA64C3">
      <w:pPr>
        <w:pStyle w:val="tekstost"/>
        <w:rPr>
          <w:rFonts w:ascii="Calibri" w:hAnsi="Calibri" w:cs="Calibri"/>
        </w:rPr>
      </w:pPr>
      <w:r w:rsidRPr="00203191">
        <w:rPr>
          <w:rFonts w:ascii="Calibri" w:hAnsi="Calibri" w:cs="Calibri"/>
        </w:rPr>
        <w:t xml:space="preserve">Przedmiotem </w:t>
      </w:r>
      <w:r>
        <w:rPr>
          <w:rFonts w:ascii="Calibri" w:hAnsi="Calibri" w:cs="Calibri"/>
        </w:rPr>
        <w:t xml:space="preserve">niniejszej specyfikacji </w:t>
      </w:r>
      <w:r w:rsidRPr="00203191">
        <w:rPr>
          <w:rFonts w:ascii="Calibri" w:hAnsi="Calibri" w:cs="Calibri"/>
        </w:rPr>
        <w:t xml:space="preserve">są wymagania dotyczące wykonania i odbioru robót </w:t>
      </w:r>
      <w:r>
        <w:rPr>
          <w:rFonts w:ascii="Calibri" w:hAnsi="Calibri" w:cs="Calibri"/>
        </w:rPr>
        <w:t>związanych z przebudową kablowych linii telekomunikacyjnych</w:t>
      </w:r>
      <w:r w:rsidRPr="00203191">
        <w:rPr>
          <w:rFonts w:ascii="Calibri" w:hAnsi="Calibri" w:cs="Calibri"/>
        </w:rPr>
        <w:t>.</w:t>
      </w:r>
    </w:p>
    <w:p w:rsidR="00AA64C3" w:rsidRPr="00203191" w:rsidRDefault="00AA64C3" w:rsidP="00AA64C3">
      <w:pPr>
        <w:pStyle w:val="Nagwek4"/>
        <w:rPr>
          <w:rFonts w:ascii="Calibri" w:hAnsi="Calibri" w:cs="Calibri"/>
        </w:rPr>
      </w:pPr>
      <w:r w:rsidRPr="00203191">
        <w:rPr>
          <w:rFonts w:ascii="Calibri" w:hAnsi="Calibri" w:cs="Calibri"/>
        </w:rPr>
        <w:t xml:space="preserve">1.2. Zakres stosowania </w:t>
      </w:r>
      <w:r>
        <w:rPr>
          <w:rFonts w:ascii="Calibri" w:hAnsi="Calibri" w:cs="Calibri"/>
        </w:rPr>
        <w:t>STWiORB</w:t>
      </w:r>
    </w:p>
    <w:p w:rsidR="00AA64C3" w:rsidRDefault="00AA64C3" w:rsidP="00AA64C3">
      <w:pPr>
        <w:rPr>
          <w:rFonts w:ascii="Calibri" w:hAnsi="Calibri" w:cs="Calibri"/>
        </w:rPr>
      </w:pPr>
      <w:r>
        <w:rPr>
          <w:rFonts w:ascii="Calibri" w:hAnsi="Calibri" w:cs="Calibri"/>
        </w:rPr>
        <w:t xml:space="preserve">Specyfikacja techniczna stanowi </w:t>
      </w:r>
      <w:r w:rsidRPr="00203191">
        <w:rPr>
          <w:rFonts w:ascii="Calibri" w:hAnsi="Calibri" w:cs="Calibri"/>
        </w:rPr>
        <w:t xml:space="preserve">dokument przetargowy i kontraktowy przy realizacji  </w:t>
      </w:r>
      <w:r w:rsidRPr="00F57D49">
        <w:rPr>
          <w:rFonts w:ascii="Calibri" w:hAnsi="Calibri" w:cs="Calibri"/>
        </w:rPr>
        <w:t xml:space="preserve">zadania </w:t>
      </w:r>
      <w:r w:rsidRPr="00F57D49">
        <w:rPr>
          <w:rFonts w:asciiTheme="minorHAnsi" w:hAnsiTheme="minorHAnsi"/>
        </w:rPr>
        <w:t>„Budowa parkingu wraz z drogą manewrową przy ul. Armii Krajowej w Wałbrzychu zlokalizowanego na dz. nr ew. 113, 116/1, obr. 20 Stary Zdrój (przy budynkach mieszkalnych nr 46 i 54)"</w:t>
      </w:r>
    </w:p>
    <w:p w:rsidR="00AA64C3" w:rsidRPr="00203191" w:rsidRDefault="00AA64C3" w:rsidP="00AA64C3">
      <w:pPr>
        <w:pStyle w:val="Nagwek4"/>
        <w:rPr>
          <w:rFonts w:ascii="Calibri" w:hAnsi="Calibri" w:cs="Calibri"/>
        </w:rPr>
      </w:pPr>
      <w:r w:rsidRPr="00203191">
        <w:rPr>
          <w:rFonts w:ascii="Calibri" w:hAnsi="Calibri" w:cs="Calibri"/>
        </w:rPr>
        <w:t xml:space="preserve">1.3. Zakres robót objętych </w:t>
      </w:r>
      <w:r>
        <w:rPr>
          <w:rFonts w:ascii="Calibri" w:hAnsi="Calibri" w:cs="Calibri"/>
        </w:rPr>
        <w:t>STWiORB</w:t>
      </w:r>
    </w:p>
    <w:p w:rsidR="00AA64C3" w:rsidRDefault="00AA64C3" w:rsidP="00AA64C3">
      <w:pPr>
        <w:rPr>
          <w:rFonts w:ascii="Calibri" w:hAnsi="Calibri" w:cs="Calibri"/>
        </w:rPr>
      </w:pPr>
      <w:r w:rsidRPr="00203191">
        <w:rPr>
          <w:rFonts w:ascii="Calibri" w:hAnsi="Calibri" w:cs="Calibri"/>
        </w:rPr>
        <w:t xml:space="preserve">Ustalenia zawarte w </w:t>
      </w:r>
      <w:r>
        <w:rPr>
          <w:rFonts w:ascii="Calibri" w:hAnsi="Calibri" w:cs="Calibri"/>
        </w:rPr>
        <w:t xml:space="preserve">niniejszej specyfikacji </w:t>
      </w:r>
      <w:r w:rsidRPr="00203191">
        <w:rPr>
          <w:rFonts w:ascii="Calibri" w:hAnsi="Calibri" w:cs="Calibri"/>
        </w:rPr>
        <w:t>obejmują wymagania</w:t>
      </w:r>
      <w:r>
        <w:rPr>
          <w:rFonts w:ascii="Calibri" w:hAnsi="Calibri" w:cs="Calibri"/>
        </w:rPr>
        <w:t xml:space="preserve"> </w:t>
      </w:r>
      <w:r w:rsidRPr="00203191">
        <w:rPr>
          <w:rFonts w:ascii="Calibri" w:hAnsi="Calibri" w:cs="Calibri"/>
        </w:rPr>
        <w:t xml:space="preserve">dotyczące wykonania i odbioru robót </w:t>
      </w:r>
      <w:r>
        <w:rPr>
          <w:rFonts w:ascii="Calibri" w:hAnsi="Calibri" w:cs="Calibri"/>
        </w:rPr>
        <w:t>związanych z przebudową kablowych linii telekomunikacyjnych</w:t>
      </w:r>
      <w:r w:rsidRPr="00203191">
        <w:rPr>
          <w:rFonts w:ascii="Calibri" w:hAnsi="Calibri" w:cs="Calibri"/>
        </w:rPr>
        <w:t>.</w:t>
      </w:r>
    </w:p>
    <w:p w:rsidR="003C5BD9" w:rsidRDefault="00AA64C3" w:rsidP="003C5BD9">
      <w:pPr>
        <w:pStyle w:val="Nagwek4"/>
      </w:pPr>
      <w:r w:rsidRPr="00203191">
        <w:rPr>
          <w:rFonts w:ascii="Calibri" w:hAnsi="Calibri" w:cs="Calibri"/>
        </w:rPr>
        <w:t xml:space="preserve"> </w:t>
      </w:r>
      <w:r w:rsidR="003C5BD9">
        <w:t>1.4. Określenia podstawowe</w:t>
      </w:r>
    </w:p>
    <w:p w:rsidR="003C5BD9" w:rsidRPr="000902B5" w:rsidRDefault="003C5BD9" w:rsidP="00790883">
      <w:pPr>
        <w:numPr>
          <w:ilvl w:val="0"/>
          <w:numId w:val="68"/>
        </w:numPr>
        <w:tabs>
          <w:tab w:val="left" w:pos="0"/>
        </w:tabs>
        <w:ind w:left="0" w:firstLine="0"/>
        <w:rPr>
          <w:rFonts w:asciiTheme="minorHAnsi" w:hAnsiTheme="minorHAnsi"/>
        </w:rPr>
      </w:pPr>
      <w:r w:rsidRPr="000902B5">
        <w:rPr>
          <w:rFonts w:asciiTheme="minorHAnsi" w:hAnsiTheme="minorHAnsi"/>
        </w:rPr>
        <w:t>Kanalizacja kablowa - zespół ciągów podziemnych z wbudowanymi studniami przeznaczony do prowadzenia kabli telekomunikacyjnych.</w:t>
      </w:r>
    </w:p>
    <w:p w:rsidR="003C5BD9" w:rsidRPr="000902B5" w:rsidRDefault="003C5BD9" w:rsidP="00790883">
      <w:pPr>
        <w:numPr>
          <w:ilvl w:val="0"/>
          <w:numId w:val="68"/>
        </w:numPr>
        <w:spacing w:before="120" w:after="120"/>
        <w:ind w:left="0" w:firstLine="0"/>
        <w:rPr>
          <w:rFonts w:asciiTheme="minorHAnsi" w:hAnsiTheme="minorHAnsi"/>
        </w:rPr>
      </w:pPr>
      <w:r w:rsidRPr="000902B5">
        <w:rPr>
          <w:rFonts w:asciiTheme="minorHAnsi" w:hAnsiTheme="minorHAnsi"/>
        </w:rPr>
        <w:t xml:space="preserve">Kanalizacja magistralna - kanalizacja kablowa wielootworowa przeznaczona do kabli linii magistralnych, międzycentralowych, międzymiastowych okręgowych i pośrednich. </w:t>
      </w:r>
    </w:p>
    <w:p w:rsidR="003C5BD9" w:rsidRPr="000902B5" w:rsidRDefault="003C5BD9" w:rsidP="00790883">
      <w:pPr>
        <w:numPr>
          <w:ilvl w:val="0"/>
          <w:numId w:val="68"/>
        </w:numPr>
        <w:spacing w:after="120"/>
        <w:ind w:left="0" w:firstLine="0"/>
        <w:rPr>
          <w:rFonts w:asciiTheme="minorHAnsi" w:hAnsiTheme="minorHAnsi"/>
        </w:rPr>
      </w:pPr>
      <w:r w:rsidRPr="000902B5">
        <w:rPr>
          <w:rFonts w:asciiTheme="minorHAnsi" w:hAnsiTheme="minorHAnsi"/>
        </w:rPr>
        <w:t>Kanalizacja rozdzielcza - kanalizacja kablowa jedno- lub dwutorowa przeznaczona do kabli linii rozdzielczych.</w:t>
      </w:r>
    </w:p>
    <w:p w:rsidR="003C5BD9" w:rsidRPr="000902B5" w:rsidRDefault="003C5BD9" w:rsidP="00790883">
      <w:pPr>
        <w:numPr>
          <w:ilvl w:val="0"/>
          <w:numId w:val="68"/>
        </w:numPr>
        <w:spacing w:after="120"/>
        <w:ind w:left="0" w:firstLine="0"/>
        <w:rPr>
          <w:rFonts w:asciiTheme="minorHAnsi" w:hAnsiTheme="minorHAnsi"/>
        </w:rPr>
      </w:pPr>
      <w:r w:rsidRPr="000902B5">
        <w:rPr>
          <w:rFonts w:asciiTheme="minorHAnsi" w:hAnsiTheme="minorHAnsi"/>
        </w:rPr>
        <w:t>Blok kanalizacji kablowej - blok betonowy z jednym lub wieloma otworami stosowany do zestawienia ciągów kanalizacji kablowej.</w:t>
      </w:r>
    </w:p>
    <w:p w:rsidR="003C5BD9" w:rsidRPr="000902B5" w:rsidRDefault="003C5BD9" w:rsidP="00790883">
      <w:pPr>
        <w:numPr>
          <w:ilvl w:val="0"/>
          <w:numId w:val="68"/>
        </w:numPr>
        <w:spacing w:after="120"/>
        <w:ind w:left="0" w:firstLine="0"/>
        <w:rPr>
          <w:rFonts w:asciiTheme="minorHAnsi" w:hAnsiTheme="minorHAnsi"/>
        </w:rPr>
      </w:pPr>
      <w:r w:rsidRPr="000902B5">
        <w:rPr>
          <w:rFonts w:asciiTheme="minorHAnsi" w:hAnsiTheme="minorHAnsi"/>
        </w:rPr>
        <w:t>Ciąg kanalizacji - bloki kanalizacji kablowej lub rury ułożone w wykopie jeden za drugim i połączone pojedynczo lub w zestawach pozwalających uzyskać potrzebną liczbę otworów kanalizacji.</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Studnia kablowa - pomieszczenia podziemne wbudowane między ciągi kanalizacji kablowej w celu umożliwienia wciągania, montażu i konserwacji kabli.</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Studnia kablowa magistralna - studnia kablowa wbudowana między ciągi kanalizacji magistralnej.</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Studnia kablowa rozdzielcza - studnia kablowa wbudowana między ciągi kanalizacji rozdzielczej.</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Studnia kablowa szafkowa - studnia kablowa przed szafką lub rozdzielnicą kablową.</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Szafka kablowa - metalowe lub z mas termoplastycznych pudło wraz z konstrukcją wsporczą do montażu głowic kablowych.</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Kablowa sieć miejscowa - sieć łączy telefonicznych z urządzeniami liniowymi, łącząca centrale telefoniczne między sobą oraz centrale telefoniczne ze stacjami abonenckimi.</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Sieć międzycentralowa - część linii miejscowej obejmująca linie łączące centrale telefoniczne w jednym mieście.</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Sieć abonencka - część sieci miejscowej od centrali miejscowej do aparatów telefonicznych.</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Sieć magistralna - część linii abonenckiej obejmująca linie od szafek kablowych do głowic, puszek i skrzynek kablowych.</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lastRenderedPageBreak/>
        <w:t>Sieć rozdzielcza - część linii abonenckiej obejmująca linie od szafek kablowych do głowic, puszek i skrzynek kablowych.</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Łącze - zestaw przewodów i urządzeń między centralami, centralą a aparatem abonenckim.</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Tor abonencki - para żył kablowych lub napowietrznych między centralą a aparatem telefonicznym.</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Tor międzycentralowy - dwie lub trzy żyły w linii pomiędzy centralami w jednym mieście.</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Telekomunikacyjna linia kablowa dalekosiężna - linia wybudowana z kabli typu dalekosiężnego.</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Telekomunikacyjna linia kablowa międzymiastowa - linia łącząca co najmniej dwie centrale międzymiastowe.</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Telekomunikacyjna linia kablowa wewnątrzstrefowa - linia łącząca centralę okręgową z centralą międzymiastową.</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Odcinek wzmacniakowy - odcinek linii kablowej między dwoma sąsiednimi stacjami wzmacniakowymi.</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Długość trasowa linii kablowej lub jej odcinka - długość przebiegu trasy linii bez uwzględnienia falowania i zapasów kabla.</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Długość elektryczna - rzeczywista długość zmontowanego kabla z uwzględnieniem falowania i zapasów kabla.</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Falowanie kabla - sposób układania kabla, przy którym długość kabla układanego jest większa od długości trasy, na której układa się kabel.</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Zespół pupinizacyjny - cewka lub odpowiednio połączony zespół cewek pupinizacyjnych w obudowie.</w:t>
      </w:r>
    </w:p>
    <w:p w:rsidR="003C5BD9" w:rsidRPr="000902B5" w:rsidRDefault="003C5BD9" w:rsidP="00790883">
      <w:pPr>
        <w:numPr>
          <w:ilvl w:val="0"/>
          <w:numId w:val="68"/>
        </w:numPr>
        <w:tabs>
          <w:tab w:val="left" w:pos="0"/>
        </w:tabs>
        <w:spacing w:after="120"/>
        <w:ind w:left="0" w:firstLine="0"/>
        <w:rPr>
          <w:rFonts w:asciiTheme="minorHAnsi" w:hAnsiTheme="minorHAnsi"/>
        </w:rPr>
      </w:pPr>
      <w:r w:rsidRPr="000902B5">
        <w:rPr>
          <w:rFonts w:asciiTheme="minorHAnsi" w:hAnsiTheme="minorHAnsi"/>
        </w:rPr>
        <w:t>Pupinizacja - wmontowanie w kabel dalekosiężny cewek, których zadaniem jest zrównanie reaktancji pojemnościowej z reaktancją indukcyjną kabla.</w:t>
      </w:r>
    </w:p>
    <w:p w:rsidR="003C5BD9" w:rsidRPr="000902B5" w:rsidRDefault="003C5BD9" w:rsidP="00790883">
      <w:pPr>
        <w:numPr>
          <w:ilvl w:val="0"/>
          <w:numId w:val="68"/>
        </w:numPr>
        <w:ind w:left="0" w:firstLine="0"/>
        <w:rPr>
          <w:rFonts w:asciiTheme="minorHAnsi" w:hAnsiTheme="minorHAnsi"/>
        </w:rPr>
      </w:pPr>
      <w:r w:rsidRPr="000902B5">
        <w:rPr>
          <w:rFonts w:asciiTheme="minorHAnsi" w:hAnsiTheme="minorHAnsi"/>
        </w:rPr>
        <w:t>Pozostałe określenia podstawowe są zgodne z obowiązującymi polskimi normami i definicjami podanymi w OST D-M-00.00.00 „Wymagania ogólne”.</w:t>
      </w:r>
    </w:p>
    <w:p w:rsidR="003C5BD9" w:rsidRDefault="003C5BD9" w:rsidP="003C5BD9">
      <w:pPr>
        <w:pStyle w:val="Nagwek4"/>
      </w:pPr>
      <w:r>
        <w:t>1.5. Ogólne wymagania dotyczące robót</w:t>
      </w:r>
    </w:p>
    <w:p w:rsidR="003C5BD9" w:rsidRPr="000902B5" w:rsidRDefault="003C5BD9" w:rsidP="003C5BD9">
      <w:pPr>
        <w:rPr>
          <w:rFonts w:asciiTheme="minorHAnsi" w:hAnsiTheme="minorHAnsi"/>
        </w:rPr>
      </w:pPr>
      <w:r w:rsidRPr="000902B5">
        <w:rPr>
          <w:rFonts w:asciiTheme="minorHAnsi" w:hAnsiTheme="minorHAnsi"/>
        </w:rPr>
        <w:t>Ogólne wymagania dotyczące robót podano w ST</w:t>
      </w:r>
      <w:r w:rsidR="000902B5">
        <w:rPr>
          <w:rFonts w:asciiTheme="minorHAnsi" w:hAnsiTheme="minorHAnsi"/>
        </w:rPr>
        <w:t>WiORB</w:t>
      </w:r>
      <w:r w:rsidRPr="000902B5">
        <w:rPr>
          <w:rFonts w:asciiTheme="minorHAnsi" w:hAnsiTheme="minorHAnsi"/>
        </w:rPr>
        <w:t xml:space="preserve"> D-M-00.00.00 „Wymagania ogólne”.</w:t>
      </w:r>
    </w:p>
    <w:p w:rsidR="003C5BD9" w:rsidRDefault="003C5BD9" w:rsidP="003C5BD9">
      <w:pPr>
        <w:pStyle w:val="Nagwek3"/>
      </w:pPr>
      <w:bookmarkStart w:id="106" w:name="_Toc466435440"/>
      <w:bookmarkStart w:id="107" w:name="_Toc466861802"/>
      <w:bookmarkStart w:id="108" w:name="_Toc468518131"/>
      <w:r>
        <w:t>2. materiały</w:t>
      </w:r>
      <w:bookmarkEnd w:id="106"/>
      <w:bookmarkEnd w:id="107"/>
      <w:bookmarkEnd w:id="108"/>
    </w:p>
    <w:p w:rsidR="003C5BD9" w:rsidRDefault="003C5BD9" w:rsidP="003C5BD9">
      <w:pPr>
        <w:pStyle w:val="Nagwek4"/>
      </w:pPr>
      <w:r>
        <w:t>2.1. Ogólne wymagania</w:t>
      </w:r>
    </w:p>
    <w:p w:rsidR="003C5BD9" w:rsidRPr="000902B5" w:rsidRDefault="003C5BD9" w:rsidP="000902B5">
      <w:pPr>
        <w:rPr>
          <w:rFonts w:asciiTheme="minorHAnsi" w:hAnsiTheme="minorHAnsi"/>
        </w:rPr>
      </w:pPr>
      <w:r w:rsidRPr="000902B5">
        <w:rPr>
          <w:rFonts w:asciiTheme="minorHAnsi" w:hAnsiTheme="minorHAnsi"/>
        </w:rPr>
        <w:t>Ogólne wymagania</w:t>
      </w:r>
      <w:r w:rsidR="000902B5">
        <w:rPr>
          <w:rFonts w:asciiTheme="minorHAnsi" w:hAnsiTheme="minorHAnsi"/>
        </w:rPr>
        <w:t xml:space="preserve"> dotyczące materiałów podano w </w:t>
      </w:r>
      <w:r w:rsidRPr="000902B5">
        <w:rPr>
          <w:rFonts w:asciiTheme="minorHAnsi" w:hAnsiTheme="minorHAnsi"/>
        </w:rPr>
        <w:t>ST</w:t>
      </w:r>
      <w:r w:rsidR="000902B5">
        <w:rPr>
          <w:rFonts w:asciiTheme="minorHAnsi" w:hAnsiTheme="minorHAnsi"/>
        </w:rPr>
        <w:t>WiORB</w:t>
      </w:r>
      <w:r w:rsidRPr="000902B5">
        <w:rPr>
          <w:rFonts w:asciiTheme="minorHAnsi" w:hAnsiTheme="minorHAnsi"/>
        </w:rPr>
        <w:t xml:space="preserve"> D-M-00.00.00 „Wymagania ogólne”.</w:t>
      </w:r>
    </w:p>
    <w:p w:rsidR="003C5BD9" w:rsidRPr="000902B5" w:rsidRDefault="003C5BD9" w:rsidP="000902B5">
      <w:pPr>
        <w:rPr>
          <w:rFonts w:asciiTheme="minorHAnsi" w:hAnsiTheme="minorHAnsi"/>
        </w:rPr>
      </w:pPr>
      <w:r w:rsidRPr="000902B5">
        <w:rPr>
          <w:rFonts w:asciiTheme="minorHAnsi" w:hAnsiTheme="minorHAnsi"/>
        </w:rPr>
        <w:t>Materiały do budowy kablowych linii telekomunikacyjnych nabywane są przez Wykonawcę u wytwórców. Każdy materiał musi mieć atest wytwórcy stwierdzający zgodność jego wykonania z odpowiednimi normami.</w:t>
      </w:r>
    </w:p>
    <w:p w:rsidR="003C5BD9" w:rsidRDefault="003C5BD9" w:rsidP="003C5BD9">
      <w:pPr>
        <w:pStyle w:val="Nagwek4"/>
      </w:pPr>
      <w:r>
        <w:t>2.2. Materiały budowlane</w:t>
      </w:r>
    </w:p>
    <w:p w:rsidR="003C5BD9" w:rsidRPr="000902B5" w:rsidRDefault="003C5BD9" w:rsidP="00790883">
      <w:pPr>
        <w:numPr>
          <w:ilvl w:val="0"/>
          <w:numId w:val="69"/>
        </w:numPr>
        <w:spacing w:after="120"/>
        <w:ind w:left="284" w:hanging="284"/>
        <w:rPr>
          <w:rFonts w:asciiTheme="minorHAnsi" w:hAnsiTheme="minorHAnsi"/>
        </w:rPr>
      </w:pPr>
      <w:r w:rsidRPr="000902B5">
        <w:rPr>
          <w:rFonts w:asciiTheme="minorHAnsi" w:hAnsiTheme="minorHAnsi"/>
        </w:rPr>
        <w:t>Cement</w:t>
      </w:r>
    </w:p>
    <w:p w:rsidR="003C5BD9" w:rsidRPr="000902B5" w:rsidRDefault="003C5BD9" w:rsidP="003C5BD9">
      <w:pPr>
        <w:rPr>
          <w:rFonts w:asciiTheme="minorHAnsi" w:hAnsiTheme="minorHAnsi"/>
        </w:rPr>
      </w:pPr>
      <w:r w:rsidRPr="000902B5">
        <w:rPr>
          <w:rFonts w:asciiTheme="minorHAnsi" w:hAnsiTheme="minorHAnsi"/>
        </w:rPr>
        <w:t>Do wykonania studni kablowych zaleca się stosowanie cementu portlandzkiego, spełniającego wymagania normy PN-88/B-30000.</w:t>
      </w:r>
    </w:p>
    <w:p w:rsidR="003C5BD9" w:rsidRPr="000902B5" w:rsidRDefault="003C5BD9" w:rsidP="003C5BD9">
      <w:pPr>
        <w:rPr>
          <w:rFonts w:asciiTheme="minorHAnsi" w:hAnsiTheme="minorHAnsi"/>
        </w:rPr>
      </w:pPr>
      <w:r w:rsidRPr="000902B5">
        <w:rPr>
          <w:rFonts w:asciiTheme="minorHAnsi" w:hAnsiTheme="minorHAnsi"/>
        </w:rPr>
        <w:t>Cement powinien być dostarczony w opakowaniach spełniających wymagania BN-88/6731-08 i składowany w suchych i zadaszonych pomieszczeniach.</w:t>
      </w:r>
    </w:p>
    <w:p w:rsidR="003C5BD9" w:rsidRPr="000902B5" w:rsidRDefault="003C5BD9" w:rsidP="00790883">
      <w:pPr>
        <w:numPr>
          <w:ilvl w:val="0"/>
          <w:numId w:val="70"/>
        </w:numPr>
        <w:spacing w:before="120" w:after="120"/>
        <w:ind w:left="284" w:hanging="284"/>
        <w:rPr>
          <w:rFonts w:asciiTheme="minorHAnsi" w:hAnsiTheme="minorHAnsi"/>
          <w:b/>
        </w:rPr>
      </w:pPr>
      <w:r w:rsidRPr="000902B5">
        <w:rPr>
          <w:rFonts w:asciiTheme="minorHAnsi" w:hAnsiTheme="minorHAnsi"/>
        </w:rPr>
        <w:t>Piasek</w:t>
      </w:r>
    </w:p>
    <w:p w:rsidR="003C5BD9" w:rsidRPr="000902B5" w:rsidRDefault="003C5BD9" w:rsidP="003C5BD9">
      <w:pPr>
        <w:rPr>
          <w:rFonts w:asciiTheme="minorHAnsi" w:hAnsiTheme="minorHAnsi"/>
        </w:rPr>
      </w:pPr>
      <w:r w:rsidRPr="000902B5">
        <w:rPr>
          <w:rFonts w:asciiTheme="minorHAnsi" w:hAnsiTheme="minorHAnsi"/>
        </w:rPr>
        <w:t>Piasek do budowy studni kablowych i do układania kabli w ziemi powinien odpowiadać wymaganiom BN-87/6774-04.</w:t>
      </w:r>
    </w:p>
    <w:p w:rsidR="003C5BD9" w:rsidRPr="000902B5" w:rsidRDefault="003C5BD9" w:rsidP="00790883">
      <w:pPr>
        <w:numPr>
          <w:ilvl w:val="0"/>
          <w:numId w:val="71"/>
        </w:numPr>
        <w:spacing w:before="120" w:after="120"/>
        <w:ind w:left="284" w:hanging="284"/>
        <w:rPr>
          <w:rFonts w:asciiTheme="minorHAnsi" w:hAnsiTheme="minorHAnsi"/>
        </w:rPr>
      </w:pPr>
      <w:r w:rsidRPr="000902B5">
        <w:rPr>
          <w:rFonts w:asciiTheme="minorHAnsi" w:hAnsiTheme="minorHAnsi"/>
        </w:rPr>
        <w:t>Woda</w:t>
      </w:r>
    </w:p>
    <w:p w:rsidR="003C5BD9" w:rsidRPr="000902B5" w:rsidRDefault="003C5BD9" w:rsidP="003C5BD9">
      <w:pPr>
        <w:rPr>
          <w:rFonts w:asciiTheme="minorHAnsi" w:hAnsiTheme="minorHAnsi"/>
          <w:b/>
        </w:rPr>
      </w:pPr>
      <w:r w:rsidRPr="000902B5">
        <w:rPr>
          <w:rFonts w:asciiTheme="minorHAnsi" w:hAnsiTheme="minorHAnsi"/>
        </w:rPr>
        <w:lastRenderedPageBreak/>
        <w:t>Woda do betonu powinna być „odmiany 1”, zgodnie z wymaganiami PN-88/B-32250. Barwa wody powinna odpowiadać barwie wody wodociągowej. Woda nie powinna wydzielać zapachu gnilnego oraz nie powinna zawierać zawiesiny, np. grudek.</w:t>
      </w:r>
    </w:p>
    <w:p w:rsidR="003C5BD9" w:rsidRDefault="003C5BD9" w:rsidP="003C5BD9">
      <w:pPr>
        <w:pStyle w:val="Nagwek4"/>
      </w:pPr>
      <w:r>
        <w:t>2.3. Elementy prefabrykowane</w:t>
      </w:r>
    </w:p>
    <w:p w:rsidR="003C5BD9" w:rsidRPr="000902B5" w:rsidRDefault="003C5BD9" w:rsidP="00790883">
      <w:pPr>
        <w:numPr>
          <w:ilvl w:val="0"/>
          <w:numId w:val="72"/>
        </w:numPr>
        <w:spacing w:after="120"/>
        <w:ind w:left="284" w:hanging="284"/>
        <w:rPr>
          <w:rFonts w:asciiTheme="minorHAnsi" w:hAnsiTheme="minorHAnsi"/>
        </w:rPr>
      </w:pPr>
      <w:r w:rsidRPr="000902B5">
        <w:rPr>
          <w:rFonts w:asciiTheme="minorHAnsi" w:hAnsiTheme="minorHAnsi"/>
        </w:rPr>
        <w:t>Prefabrykowane studnie kablowe</w:t>
      </w:r>
    </w:p>
    <w:p w:rsidR="003C5BD9" w:rsidRPr="000902B5" w:rsidRDefault="003C5BD9" w:rsidP="003C5BD9">
      <w:pPr>
        <w:rPr>
          <w:rFonts w:asciiTheme="minorHAnsi" w:hAnsiTheme="minorHAnsi"/>
        </w:rPr>
      </w:pPr>
      <w:r w:rsidRPr="000902B5">
        <w:rPr>
          <w:rFonts w:asciiTheme="minorHAnsi" w:hAnsiTheme="minorHAnsi"/>
        </w:rPr>
        <w:t>Prefabrykowane studnie kablowe powinny być wykonane z betonu klasy B 20 zgodnie z normą PN-88/B-06250.</w:t>
      </w:r>
    </w:p>
    <w:p w:rsidR="003C5BD9" w:rsidRPr="000902B5" w:rsidRDefault="003C5BD9" w:rsidP="003C5BD9">
      <w:pPr>
        <w:rPr>
          <w:rFonts w:asciiTheme="minorHAnsi" w:hAnsiTheme="minorHAnsi"/>
        </w:rPr>
      </w:pPr>
      <w:r w:rsidRPr="000902B5">
        <w:rPr>
          <w:rFonts w:asciiTheme="minorHAnsi" w:hAnsiTheme="minorHAnsi"/>
        </w:rPr>
        <w:t>Studnie kablowe i jej prefabrykowane elementy mogą być składowane na polu składowym nie zabezpieczonym przed wpływami atmosferycznymi. Elementy studni powinny być ustawione warstwami na wyrównanym podłożu, przy czym poszczególne odmiany należy układać w oddzielnych stosach.</w:t>
      </w:r>
    </w:p>
    <w:p w:rsidR="003C5BD9" w:rsidRPr="000902B5" w:rsidRDefault="003C5BD9" w:rsidP="00790883">
      <w:pPr>
        <w:numPr>
          <w:ilvl w:val="0"/>
          <w:numId w:val="73"/>
        </w:numPr>
        <w:spacing w:after="120"/>
        <w:ind w:left="284" w:hanging="284"/>
        <w:rPr>
          <w:rFonts w:asciiTheme="minorHAnsi" w:hAnsiTheme="minorHAnsi"/>
        </w:rPr>
      </w:pPr>
      <w:r w:rsidRPr="000902B5">
        <w:rPr>
          <w:rFonts w:asciiTheme="minorHAnsi" w:hAnsiTheme="minorHAnsi"/>
        </w:rPr>
        <w:t>Bloki betonowe płaskie</w:t>
      </w:r>
    </w:p>
    <w:p w:rsidR="003C5BD9" w:rsidRPr="000902B5" w:rsidRDefault="003C5BD9" w:rsidP="003C5BD9">
      <w:pPr>
        <w:rPr>
          <w:rFonts w:asciiTheme="minorHAnsi" w:hAnsiTheme="minorHAnsi"/>
        </w:rPr>
      </w:pPr>
      <w:r w:rsidRPr="000902B5">
        <w:rPr>
          <w:rFonts w:asciiTheme="minorHAnsi" w:hAnsiTheme="minorHAnsi"/>
        </w:rPr>
        <w:t>Bloki betonowe płaskie powinny być zgodne z BN-74/3233-15.</w:t>
      </w:r>
    </w:p>
    <w:p w:rsidR="003C5BD9" w:rsidRPr="000902B5" w:rsidRDefault="003C5BD9" w:rsidP="003C5BD9">
      <w:pPr>
        <w:rPr>
          <w:rFonts w:asciiTheme="minorHAnsi" w:hAnsiTheme="minorHAnsi"/>
        </w:rPr>
      </w:pPr>
      <w:r w:rsidRPr="000902B5">
        <w:rPr>
          <w:rFonts w:asciiTheme="minorHAnsi" w:hAnsiTheme="minorHAnsi"/>
        </w:rPr>
        <w:t>Składowanie powinno być identyczne jak elementów studni kablowych.</w:t>
      </w:r>
    </w:p>
    <w:p w:rsidR="003C5BD9" w:rsidRDefault="003C5BD9" w:rsidP="003C5BD9">
      <w:pPr>
        <w:pStyle w:val="Nagwek4"/>
      </w:pPr>
      <w:r>
        <w:t>2.4. Materiały gotowe</w:t>
      </w:r>
    </w:p>
    <w:p w:rsidR="003C5BD9" w:rsidRPr="000902B5" w:rsidRDefault="003C5BD9" w:rsidP="00790883">
      <w:pPr>
        <w:numPr>
          <w:ilvl w:val="0"/>
          <w:numId w:val="74"/>
        </w:numPr>
        <w:spacing w:after="120"/>
        <w:ind w:left="284" w:hanging="284"/>
        <w:rPr>
          <w:rFonts w:asciiTheme="minorHAnsi" w:hAnsiTheme="minorHAnsi"/>
        </w:rPr>
      </w:pPr>
      <w:r w:rsidRPr="000902B5">
        <w:rPr>
          <w:rFonts w:asciiTheme="minorHAnsi" w:hAnsiTheme="minorHAnsi"/>
        </w:rPr>
        <w:t>Rury z polichlorku winylu (PCW)</w:t>
      </w:r>
    </w:p>
    <w:p w:rsidR="003C5BD9" w:rsidRPr="000902B5" w:rsidRDefault="003C5BD9" w:rsidP="003C5BD9">
      <w:pPr>
        <w:rPr>
          <w:rFonts w:asciiTheme="minorHAnsi" w:hAnsiTheme="minorHAnsi"/>
        </w:rPr>
      </w:pPr>
      <w:r w:rsidRPr="000902B5">
        <w:rPr>
          <w:rFonts w:asciiTheme="minorHAnsi" w:hAnsiTheme="minorHAnsi"/>
        </w:rPr>
        <w:t xml:space="preserve">Stosowane do budowy ciągów kanalizacyjnych rury z polichlorku winylu powinny odpowiadać normie </w:t>
      </w:r>
      <w:r w:rsidR="000902B5">
        <w:rPr>
          <w:rFonts w:asciiTheme="minorHAnsi" w:hAnsiTheme="minorHAnsi"/>
        </w:rPr>
        <w:t>PN-80/C-89203</w:t>
      </w:r>
      <w:r w:rsidRPr="000902B5">
        <w:rPr>
          <w:rFonts w:asciiTheme="minorHAnsi" w:hAnsiTheme="minorHAnsi"/>
        </w:rPr>
        <w:t>.</w:t>
      </w:r>
    </w:p>
    <w:p w:rsidR="003C5BD9" w:rsidRPr="000902B5" w:rsidRDefault="003C5BD9" w:rsidP="003C5BD9">
      <w:pPr>
        <w:rPr>
          <w:rFonts w:asciiTheme="minorHAnsi" w:hAnsiTheme="minorHAnsi"/>
        </w:rPr>
      </w:pPr>
      <w:r w:rsidRPr="000902B5">
        <w:rPr>
          <w:rFonts w:asciiTheme="minorHAnsi" w:hAnsiTheme="minorHAnsi"/>
        </w:rPr>
        <w:t>Rury należy przechowywać na utwardzonym placu, w nienasłonecznionych  miejscach zabezpieczonych przed działaniem sił mechanicznych.</w:t>
      </w:r>
    </w:p>
    <w:p w:rsidR="003C5BD9" w:rsidRPr="000902B5" w:rsidRDefault="003C5BD9" w:rsidP="00790883">
      <w:pPr>
        <w:numPr>
          <w:ilvl w:val="0"/>
          <w:numId w:val="75"/>
        </w:numPr>
        <w:spacing w:before="120" w:after="120"/>
        <w:ind w:left="284" w:hanging="284"/>
        <w:rPr>
          <w:rFonts w:asciiTheme="minorHAnsi" w:hAnsiTheme="minorHAnsi"/>
        </w:rPr>
      </w:pPr>
      <w:r w:rsidRPr="000902B5">
        <w:rPr>
          <w:rFonts w:asciiTheme="minorHAnsi" w:hAnsiTheme="minorHAnsi"/>
        </w:rPr>
        <w:t>Elementy studni kablowych</w:t>
      </w:r>
    </w:p>
    <w:p w:rsidR="003C5BD9" w:rsidRPr="000902B5" w:rsidRDefault="003C5BD9" w:rsidP="003C5BD9">
      <w:pPr>
        <w:rPr>
          <w:rFonts w:asciiTheme="minorHAnsi" w:hAnsiTheme="minorHAnsi"/>
        </w:rPr>
      </w:pPr>
      <w:r w:rsidRPr="000902B5">
        <w:rPr>
          <w:rFonts w:asciiTheme="minorHAnsi" w:hAnsiTheme="minorHAnsi"/>
        </w:rPr>
        <w:t>Do budowy studni kablowych należy stosować następujące ich części:</w:t>
      </w:r>
    </w:p>
    <w:p w:rsidR="003C5BD9" w:rsidRPr="000902B5" w:rsidRDefault="003C5BD9" w:rsidP="00790883">
      <w:pPr>
        <w:numPr>
          <w:ilvl w:val="0"/>
          <w:numId w:val="76"/>
        </w:numPr>
        <w:rPr>
          <w:rFonts w:asciiTheme="minorHAnsi" w:hAnsiTheme="minorHAnsi"/>
        </w:rPr>
      </w:pPr>
      <w:r w:rsidRPr="000902B5">
        <w:rPr>
          <w:rFonts w:asciiTheme="minorHAnsi" w:hAnsiTheme="minorHAnsi"/>
        </w:rPr>
        <w:t>wietrznik do pokryw odpowiadający BN-73/3233-02,</w:t>
      </w:r>
    </w:p>
    <w:p w:rsidR="003C5BD9" w:rsidRPr="000902B5" w:rsidRDefault="003C5BD9" w:rsidP="00790883">
      <w:pPr>
        <w:numPr>
          <w:ilvl w:val="0"/>
          <w:numId w:val="76"/>
        </w:numPr>
        <w:rPr>
          <w:rFonts w:asciiTheme="minorHAnsi" w:hAnsiTheme="minorHAnsi"/>
        </w:rPr>
      </w:pPr>
      <w:r w:rsidRPr="000902B5">
        <w:rPr>
          <w:rFonts w:asciiTheme="minorHAnsi" w:hAnsiTheme="minorHAnsi"/>
        </w:rPr>
        <w:t>ramy i pokrywy odpowiadające BN-73/3233-03,</w:t>
      </w:r>
    </w:p>
    <w:p w:rsidR="003C5BD9" w:rsidRPr="000902B5" w:rsidRDefault="003C5BD9" w:rsidP="00790883">
      <w:pPr>
        <w:numPr>
          <w:ilvl w:val="0"/>
          <w:numId w:val="76"/>
        </w:numPr>
        <w:rPr>
          <w:rFonts w:asciiTheme="minorHAnsi" w:hAnsiTheme="minorHAnsi"/>
        </w:rPr>
      </w:pPr>
      <w:r w:rsidRPr="000902B5">
        <w:rPr>
          <w:rFonts w:asciiTheme="minorHAnsi" w:hAnsiTheme="minorHAnsi"/>
        </w:rPr>
        <w:t>wsporniki kablowe odpowiadające BN-69/9378-30.</w:t>
      </w:r>
    </w:p>
    <w:p w:rsidR="003C5BD9" w:rsidRPr="000902B5" w:rsidRDefault="003C5BD9" w:rsidP="003C5BD9">
      <w:pPr>
        <w:rPr>
          <w:rFonts w:asciiTheme="minorHAnsi" w:hAnsiTheme="minorHAnsi"/>
        </w:rPr>
      </w:pPr>
      <w:r w:rsidRPr="000902B5">
        <w:rPr>
          <w:rFonts w:asciiTheme="minorHAnsi" w:hAnsiTheme="minorHAnsi"/>
        </w:rPr>
        <w:t>Powyższe elementy powinny być składowane w pomieszczeniach suchych i zadaszonych.</w:t>
      </w:r>
    </w:p>
    <w:p w:rsidR="003C5BD9" w:rsidRDefault="003C5BD9" w:rsidP="003C5BD9">
      <w:pPr>
        <w:pStyle w:val="Nagwek3"/>
      </w:pPr>
      <w:bookmarkStart w:id="109" w:name="_Toc466435441"/>
      <w:bookmarkStart w:id="110" w:name="_Toc466861803"/>
      <w:bookmarkStart w:id="111" w:name="_Toc467298651"/>
      <w:bookmarkStart w:id="112" w:name="_Toc468518132"/>
      <w:r>
        <w:t>3. sprzęt</w:t>
      </w:r>
      <w:bookmarkEnd w:id="109"/>
      <w:bookmarkEnd w:id="110"/>
      <w:bookmarkEnd w:id="111"/>
      <w:bookmarkEnd w:id="112"/>
    </w:p>
    <w:p w:rsidR="003C5BD9" w:rsidRDefault="003C5BD9" w:rsidP="003C5BD9">
      <w:pPr>
        <w:pStyle w:val="Nagwek4"/>
      </w:pPr>
      <w:r>
        <w:t>3.1. Ogólne wymagania</w:t>
      </w:r>
    </w:p>
    <w:p w:rsidR="003C5BD9" w:rsidRPr="00D225AF" w:rsidRDefault="003C5BD9" w:rsidP="003C5BD9">
      <w:pPr>
        <w:rPr>
          <w:rFonts w:asciiTheme="minorHAnsi" w:hAnsiTheme="minorHAnsi"/>
        </w:rPr>
      </w:pPr>
      <w:r w:rsidRPr="00D225AF">
        <w:rPr>
          <w:rFonts w:asciiTheme="minorHAnsi" w:hAnsiTheme="minorHAnsi"/>
        </w:rPr>
        <w:t>Wykonawca jest zobowiązany do używania jedynie takiego sprzętu, który nie spowoduje niekorzystnego wpływu na jakość wykonywanych robót, zarówno w miejscu tych robót, jak też przy wykonywaniu czynności pomocniczych oraz w czasie transportu, załadunku i wyładunku materiałów, sprzętu itp.</w:t>
      </w:r>
    </w:p>
    <w:p w:rsidR="003C5BD9" w:rsidRPr="00D225AF" w:rsidRDefault="003C5BD9" w:rsidP="003C5BD9">
      <w:pPr>
        <w:rPr>
          <w:rFonts w:asciiTheme="minorHAnsi" w:hAnsiTheme="minorHAnsi"/>
        </w:rPr>
      </w:pPr>
      <w:r w:rsidRPr="00D225AF">
        <w:rPr>
          <w:rFonts w:asciiTheme="minorHAnsi" w:hAnsiTheme="minorHAnsi"/>
        </w:rPr>
        <w:t>Sprzęt używany przez Wykonawcę powinien uzyskać akceptację Inżyniera.</w:t>
      </w:r>
    </w:p>
    <w:p w:rsidR="003C5BD9" w:rsidRPr="00D225AF" w:rsidRDefault="003C5BD9" w:rsidP="003C5BD9">
      <w:pPr>
        <w:rPr>
          <w:rFonts w:asciiTheme="minorHAnsi" w:hAnsiTheme="minorHAnsi"/>
        </w:rPr>
      </w:pPr>
      <w:r w:rsidRPr="00D225AF">
        <w:rPr>
          <w:rFonts w:asciiTheme="minorHAnsi" w:hAnsiTheme="minorHAnsi"/>
        </w:rPr>
        <w:t>Liczba i wydajność sprzętu powinna gwarantować wykonanie robót zgodnie z zasadami określonymi w dokumentacji projektowej, ST</w:t>
      </w:r>
      <w:r w:rsidR="00D225AF">
        <w:rPr>
          <w:rFonts w:asciiTheme="minorHAnsi" w:hAnsiTheme="minorHAnsi"/>
        </w:rPr>
        <w:t>WiORB</w:t>
      </w:r>
      <w:r w:rsidRPr="00D225AF">
        <w:rPr>
          <w:rFonts w:asciiTheme="minorHAnsi" w:hAnsiTheme="minorHAnsi"/>
        </w:rPr>
        <w:t xml:space="preserve"> i wskazaniach Inżyniera w terminie przewidzianym kontraktem.</w:t>
      </w:r>
    </w:p>
    <w:p w:rsidR="003C5BD9" w:rsidRDefault="003C5BD9" w:rsidP="003C5BD9">
      <w:pPr>
        <w:pStyle w:val="Nagwek4"/>
      </w:pPr>
      <w:r>
        <w:t>3.2. Sprzęt do budowy kablowych linii telekomunikacyjnych</w:t>
      </w:r>
    </w:p>
    <w:p w:rsidR="003C5BD9" w:rsidRPr="00D225AF" w:rsidRDefault="003C5BD9" w:rsidP="003C5BD9">
      <w:pPr>
        <w:tabs>
          <w:tab w:val="left" w:pos="567"/>
        </w:tabs>
        <w:rPr>
          <w:rFonts w:ascii="Calibri" w:hAnsi="Calibri"/>
        </w:rPr>
      </w:pPr>
      <w:r w:rsidRPr="00D225AF">
        <w:rPr>
          <w:rFonts w:ascii="Calibri" w:hAnsi="Calibri"/>
        </w:rPr>
        <w:tab/>
        <w:t>Wykonawca przystępujący do wykonania przebudowy kablowych linii  telekomunikacyjnych powinien  wykazać się możliwością korzystania z następujących maszyn i sprzętu, w zależności od zakresu robót gwarantujących właściwą jakość robót:</w:t>
      </w:r>
    </w:p>
    <w:p w:rsidR="003C5BD9" w:rsidRPr="00D225AF" w:rsidRDefault="003C5BD9" w:rsidP="00790883">
      <w:pPr>
        <w:numPr>
          <w:ilvl w:val="0"/>
          <w:numId w:val="76"/>
        </w:numPr>
        <w:tabs>
          <w:tab w:val="left" w:pos="567"/>
        </w:tabs>
        <w:rPr>
          <w:rFonts w:ascii="Calibri" w:hAnsi="Calibri"/>
        </w:rPr>
      </w:pPr>
      <w:r w:rsidRPr="00D225AF">
        <w:rPr>
          <w:rFonts w:ascii="Calibri" w:hAnsi="Calibri"/>
        </w:rPr>
        <w:t>ubijak spalinowy,</w:t>
      </w:r>
    </w:p>
    <w:p w:rsidR="003C5BD9" w:rsidRPr="00D225AF" w:rsidRDefault="003C5BD9" w:rsidP="00790883">
      <w:pPr>
        <w:numPr>
          <w:ilvl w:val="0"/>
          <w:numId w:val="76"/>
        </w:numPr>
        <w:tabs>
          <w:tab w:val="left" w:pos="567"/>
        </w:tabs>
        <w:rPr>
          <w:rFonts w:ascii="Calibri" w:hAnsi="Calibri"/>
        </w:rPr>
      </w:pPr>
      <w:r w:rsidRPr="00D225AF">
        <w:rPr>
          <w:rFonts w:ascii="Calibri" w:hAnsi="Calibri"/>
        </w:rPr>
        <w:t>żurawik hydrauliczny,</w:t>
      </w:r>
    </w:p>
    <w:p w:rsidR="003C5BD9" w:rsidRPr="00D225AF" w:rsidRDefault="003C5BD9" w:rsidP="00790883">
      <w:pPr>
        <w:numPr>
          <w:ilvl w:val="0"/>
          <w:numId w:val="76"/>
        </w:numPr>
        <w:tabs>
          <w:tab w:val="left" w:pos="567"/>
        </w:tabs>
        <w:rPr>
          <w:rFonts w:ascii="Calibri" w:hAnsi="Calibri"/>
        </w:rPr>
      </w:pPr>
      <w:r w:rsidRPr="00D225AF">
        <w:rPr>
          <w:rFonts w:ascii="Calibri" w:hAnsi="Calibri"/>
        </w:rPr>
        <w:t>sprężarka powietrzna spalinowa, przewoźna,</w:t>
      </w:r>
    </w:p>
    <w:p w:rsidR="003C5BD9" w:rsidRPr="00D225AF" w:rsidRDefault="003C5BD9" w:rsidP="00790883">
      <w:pPr>
        <w:numPr>
          <w:ilvl w:val="0"/>
          <w:numId w:val="76"/>
        </w:numPr>
        <w:tabs>
          <w:tab w:val="left" w:pos="567"/>
        </w:tabs>
        <w:rPr>
          <w:rFonts w:ascii="Calibri" w:hAnsi="Calibri"/>
        </w:rPr>
      </w:pPr>
      <w:r w:rsidRPr="00D225AF">
        <w:rPr>
          <w:rFonts w:ascii="Calibri" w:hAnsi="Calibri"/>
        </w:rPr>
        <w:t>wciągarka ręczna kabli,</w:t>
      </w:r>
    </w:p>
    <w:p w:rsidR="003C5BD9" w:rsidRPr="00D225AF" w:rsidRDefault="003C5BD9" w:rsidP="00790883">
      <w:pPr>
        <w:numPr>
          <w:ilvl w:val="0"/>
          <w:numId w:val="76"/>
        </w:numPr>
        <w:tabs>
          <w:tab w:val="left" w:pos="567"/>
        </w:tabs>
        <w:rPr>
          <w:rFonts w:ascii="Calibri" w:hAnsi="Calibri"/>
        </w:rPr>
      </w:pPr>
      <w:r w:rsidRPr="00D225AF">
        <w:rPr>
          <w:rFonts w:ascii="Calibri" w:hAnsi="Calibri"/>
        </w:rPr>
        <w:t>sprężarka powietrzna, spalinowa, przewoźna,</w:t>
      </w:r>
    </w:p>
    <w:p w:rsidR="003C5BD9" w:rsidRPr="00D225AF" w:rsidRDefault="003C5BD9" w:rsidP="00790883">
      <w:pPr>
        <w:numPr>
          <w:ilvl w:val="0"/>
          <w:numId w:val="76"/>
        </w:numPr>
        <w:tabs>
          <w:tab w:val="left" w:pos="567"/>
        </w:tabs>
        <w:rPr>
          <w:rFonts w:ascii="Calibri" w:hAnsi="Calibri"/>
        </w:rPr>
      </w:pPr>
      <w:r w:rsidRPr="00D225AF">
        <w:rPr>
          <w:rFonts w:ascii="Calibri" w:hAnsi="Calibri"/>
        </w:rPr>
        <w:t>koparka jednonaczyniowa kołowa,</w:t>
      </w:r>
    </w:p>
    <w:p w:rsidR="003C5BD9" w:rsidRDefault="003C5BD9" w:rsidP="003C5BD9">
      <w:pPr>
        <w:pStyle w:val="Nagwek3"/>
      </w:pPr>
      <w:bookmarkStart w:id="113" w:name="_Toc468518133"/>
      <w:r>
        <w:lastRenderedPageBreak/>
        <w:t>4. transport</w:t>
      </w:r>
      <w:bookmarkEnd w:id="113"/>
    </w:p>
    <w:p w:rsidR="003C5BD9" w:rsidRDefault="003C5BD9" w:rsidP="003C5BD9">
      <w:pPr>
        <w:pStyle w:val="Nagwek4"/>
      </w:pPr>
      <w:r>
        <w:t>4.1. Wymagania ogólne</w:t>
      </w:r>
    </w:p>
    <w:p w:rsidR="003C5BD9" w:rsidRPr="00D225AF" w:rsidRDefault="003C5BD9" w:rsidP="003C5BD9">
      <w:pPr>
        <w:rPr>
          <w:rFonts w:ascii="Calibri" w:hAnsi="Calibri"/>
        </w:rPr>
      </w:pPr>
      <w:r w:rsidRPr="00D225AF">
        <w:rPr>
          <w:rFonts w:ascii="Calibri" w:hAnsi="Calibri"/>
        </w:rPr>
        <w:t>Wykonawca jest obowiązany do stosowania jedynie takich środków transportu, które nie wpłyną niekorzystnie na jakość wykonywanych robót.</w:t>
      </w:r>
    </w:p>
    <w:p w:rsidR="003C5BD9" w:rsidRPr="00D225AF" w:rsidRDefault="003C5BD9" w:rsidP="003C5BD9">
      <w:pPr>
        <w:rPr>
          <w:rFonts w:ascii="Calibri" w:hAnsi="Calibri"/>
        </w:rPr>
      </w:pPr>
      <w:r w:rsidRPr="00D225AF">
        <w:rPr>
          <w:rFonts w:ascii="Calibri" w:hAnsi="Calibri"/>
        </w:rPr>
        <w:t>Liczba środków transportu powinna gwarantować prowadzenie robót zgodnie z zasadami określonymi w dokumentacji projektowej, ST</w:t>
      </w:r>
      <w:r w:rsidR="00D225AF">
        <w:rPr>
          <w:rFonts w:ascii="Calibri" w:hAnsi="Calibri"/>
        </w:rPr>
        <w:t>WiORB</w:t>
      </w:r>
      <w:r w:rsidRPr="00D225AF">
        <w:rPr>
          <w:rFonts w:ascii="Calibri" w:hAnsi="Calibri"/>
        </w:rPr>
        <w:t xml:space="preserve"> i wskazaniach Inżyniera, w terminie przewidzianym kontraktem.</w:t>
      </w:r>
    </w:p>
    <w:p w:rsidR="003C5BD9" w:rsidRDefault="003C5BD9" w:rsidP="003C5BD9">
      <w:pPr>
        <w:pStyle w:val="Nagwek4"/>
      </w:pPr>
      <w:r>
        <w:t>4.2. Transport materiałów i elementów</w:t>
      </w:r>
    </w:p>
    <w:p w:rsidR="003C5BD9" w:rsidRPr="00D225AF" w:rsidRDefault="003C5BD9" w:rsidP="003C5BD9">
      <w:pPr>
        <w:rPr>
          <w:rFonts w:asciiTheme="minorHAnsi" w:hAnsiTheme="minorHAnsi"/>
        </w:rPr>
      </w:pPr>
      <w:r w:rsidRPr="00D225AF">
        <w:rPr>
          <w:rFonts w:asciiTheme="minorHAnsi" w:hAnsiTheme="minorHAnsi"/>
        </w:rPr>
        <w:t>Wykonawca przystępujący do przebudowy kablowych linii telekomunikacyjnych powinien wykazać się możliwością korzystania z następujących środków transportu, w zależności od zakresu robót:</w:t>
      </w:r>
    </w:p>
    <w:p w:rsidR="003C5BD9" w:rsidRPr="00D225AF" w:rsidRDefault="003C5BD9" w:rsidP="00790883">
      <w:pPr>
        <w:numPr>
          <w:ilvl w:val="0"/>
          <w:numId w:val="76"/>
        </w:numPr>
        <w:rPr>
          <w:rFonts w:asciiTheme="minorHAnsi" w:hAnsiTheme="minorHAnsi"/>
        </w:rPr>
      </w:pPr>
      <w:r w:rsidRPr="00D225AF">
        <w:rPr>
          <w:rFonts w:asciiTheme="minorHAnsi" w:hAnsiTheme="minorHAnsi"/>
        </w:rPr>
        <w:t>samochód skrzyniowy,</w:t>
      </w:r>
    </w:p>
    <w:p w:rsidR="003C5BD9" w:rsidRPr="00D225AF" w:rsidRDefault="003C5BD9" w:rsidP="00790883">
      <w:pPr>
        <w:numPr>
          <w:ilvl w:val="0"/>
          <w:numId w:val="76"/>
        </w:numPr>
        <w:rPr>
          <w:rFonts w:asciiTheme="minorHAnsi" w:hAnsiTheme="minorHAnsi"/>
        </w:rPr>
      </w:pPr>
      <w:r w:rsidRPr="00D225AF">
        <w:rPr>
          <w:rFonts w:asciiTheme="minorHAnsi" w:hAnsiTheme="minorHAnsi"/>
        </w:rPr>
        <w:t>samochód samowyładowczy,</w:t>
      </w:r>
    </w:p>
    <w:p w:rsidR="003C5BD9" w:rsidRPr="00D225AF" w:rsidRDefault="003C5BD9" w:rsidP="00790883">
      <w:pPr>
        <w:numPr>
          <w:ilvl w:val="0"/>
          <w:numId w:val="76"/>
        </w:numPr>
        <w:rPr>
          <w:rFonts w:asciiTheme="minorHAnsi" w:hAnsiTheme="minorHAnsi"/>
        </w:rPr>
      </w:pPr>
      <w:r w:rsidRPr="00D225AF">
        <w:rPr>
          <w:rFonts w:asciiTheme="minorHAnsi" w:hAnsiTheme="minorHAnsi"/>
        </w:rPr>
        <w:t>samochód dostawczy,</w:t>
      </w:r>
    </w:p>
    <w:p w:rsidR="003C5BD9" w:rsidRPr="00D225AF" w:rsidRDefault="003C5BD9" w:rsidP="003C5BD9">
      <w:pPr>
        <w:rPr>
          <w:rFonts w:asciiTheme="minorHAnsi" w:hAnsiTheme="minorHAnsi"/>
        </w:rPr>
      </w:pPr>
      <w:r w:rsidRPr="00D225AF">
        <w:rPr>
          <w:rFonts w:asciiTheme="minorHAnsi" w:hAnsiTheme="minorHAnsi"/>
        </w:rPr>
        <w:t>Na środkach transportu przewożone materiały i elementy powinny być zabezpieczone przed ich przemieszczaniem, układane zgodnie z warunkami transportu wydanymi przez wytwórcę dla poszczególnych elementów.</w:t>
      </w:r>
    </w:p>
    <w:p w:rsidR="003C5BD9" w:rsidRDefault="003C5BD9" w:rsidP="003C5BD9">
      <w:pPr>
        <w:pStyle w:val="Nagwek3"/>
      </w:pPr>
      <w:bookmarkStart w:id="114" w:name="_Toc466435443"/>
      <w:bookmarkStart w:id="115" w:name="_Toc466861805"/>
      <w:bookmarkStart w:id="116" w:name="_Toc468518134"/>
      <w:r>
        <w:t xml:space="preserve">5. </w:t>
      </w:r>
      <w:bookmarkEnd w:id="114"/>
      <w:bookmarkEnd w:id="115"/>
      <w:r>
        <w:t>WYKONANIE ROBÓT</w:t>
      </w:r>
      <w:bookmarkEnd w:id="116"/>
    </w:p>
    <w:p w:rsidR="003C5BD9" w:rsidRDefault="003C5BD9" w:rsidP="003C5BD9">
      <w:pPr>
        <w:pStyle w:val="Nagwek4"/>
      </w:pPr>
      <w:r>
        <w:t xml:space="preserve">5.1. </w:t>
      </w:r>
      <w:r w:rsidR="001E2689">
        <w:t>W</w:t>
      </w:r>
      <w:r>
        <w:t>ykonani</w:t>
      </w:r>
      <w:r w:rsidR="001E2689">
        <w:t>e</w:t>
      </w:r>
      <w:r>
        <w:t xml:space="preserve"> robót</w:t>
      </w:r>
    </w:p>
    <w:p w:rsidR="003C5BD9" w:rsidRDefault="003C5BD9" w:rsidP="003C5BD9">
      <w:r>
        <w:tab/>
      </w:r>
    </w:p>
    <w:p w:rsidR="003C5BD9" w:rsidRPr="00D225AF" w:rsidRDefault="003C5BD9" w:rsidP="00D225AF">
      <w:pPr>
        <w:rPr>
          <w:rFonts w:asciiTheme="minorHAnsi" w:hAnsiTheme="minorHAnsi"/>
        </w:rPr>
      </w:pPr>
      <w:r w:rsidRPr="00D225AF">
        <w:rPr>
          <w:rFonts w:asciiTheme="minorHAnsi" w:hAnsiTheme="minorHAnsi"/>
        </w:rPr>
        <w:t xml:space="preserve">Technologia przebudowy </w:t>
      </w:r>
      <w:r w:rsidR="00D225AF" w:rsidRPr="00D225AF">
        <w:rPr>
          <w:rFonts w:asciiTheme="minorHAnsi" w:hAnsiTheme="minorHAnsi"/>
        </w:rPr>
        <w:t>winna odpowiadać</w:t>
      </w:r>
      <w:r w:rsidRPr="00D225AF">
        <w:rPr>
          <w:rFonts w:asciiTheme="minorHAnsi" w:hAnsiTheme="minorHAnsi"/>
        </w:rPr>
        <w:t xml:space="preserve"> warunk</w:t>
      </w:r>
      <w:r w:rsidR="00D225AF" w:rsidRPr="00D225AF">
        <w:rPr>
          <w:rFonts w:asciiTheme="minorHAnsi" w:hAnsiTheme="minorHAnsi"/>
        </w:rPr>
        <w:t>om</w:t>
      </w:r>
      <w:r w:rsidRPr="00D225AF">
        <w:rPr>
          <w:rFonts w:asciiTheme="minorHAnsi" w:hAnsiTheme="minorHAnsi"/>
        </w:rPr>
        <w:t xml:space="preserve"> techniczny</w:t>
      </w:r>
      <w:r w:rsidR="00D225AF" w:rsidRPr="00D225AF">
        <w:rPr>
          <w:rFonts w:asciiTheme="minorHAnsi" w:hAnsiTheme="minorHAnsi"/>
        </w:rPr>
        <w:t>m</w:t>
      </w:r>
      <w:r w:rsidRPr="00D225AF">
        <w:rPr>
          <w:rFonts w:asciiTheme="minorHAnsi" w:hAnsiTheme="minorHAnsi"/>
        </w:rPr>
        <w:t xml:space="preserve"> wydanych przez użytkownika linii, który w sposób ogólny określa sposób przebudowy.</w:t>
      </w:r>
    </w:p>
    <w:p w:rsidR="003C5BD9" w:rsidRPr="00D225AF" w:rsidRDefault="003C5BD9" w:rsidP="003C5BD9">
      <w:pPr>
        <w:rPr>
          <w:rFonts w:asciiTheme="minorHAnsi" w:hAnsiTheme="minorHAnsi"/>
        </w:rPr>
      </w:pPr>
      <w:r w:rsidRPr="00D225AF">
        <w:rPr>
          <w:rFonts w:asciiTheme="minorHAnsi" w:hAnsiTheme="minorHAnsi"/>
        </w:rPr>
        <w:t>Roboty należy wykonać zgodnie z normami i przepisami budowy,</w:t>
      </w:r>
      <w:r w:rsidR="001E2689">
        <w:rPr>
          <w:rFonts w:asciiTheme="minorHAnsi" w:hAnsiTheme="minorHAnsi"/>
        </w:rPr>
        <w:t xml:space="preserve"> bezpieczeństwa i higieny pracy</w:t>
      </w:r>
      <w:r w:rsidRPr="00D225AF">
        <w:rPr>
          <w:rFonts w:asciiTheme="minorHAnsi" w:hAnsiTheme="minorHAnsi"/>
        </w:rPr>
        <w:t>.</w:t>
      </w:r>
    </w:p>
    <w:p w:rsidR="003C5BD9" w:rsidRPr="00D225AF" w:rsidRDefault="003C5BD9" w:rsidP="003C5BD9">
      <w:pPr>
        <w:rPr>
          <w:rFonts w:asciiTheme="minorHAnsi" w:hAnsiTheme="minorHAnsi"/>
        </w:rPr>
      </w:pPr>
      <w:r w:rsidRPr="00D225AF">
        <w:rPr>
          <w:rFonts w:asciiTheme="minorHAnsi" w:hAnsiTheme="minorHAnsi"/>
        </w:rPr>
        <w:t xml:space="preserve">Wykonawca ma obowiązek wykonania demontażu </w:t>
      </w:r>
      <w:r w:rsidR="001E2689">
        <w:rPr>
          <w:rFonts w:asciiTheme="minorHAnsi" w:hAnsiTheme="minorHAnsi"/>
        </w:rPr>
        <w:t>studni i kabli</w:t>
      </w:r>
      <w:r w:rsidRPr="00D225AF">
        <w:rPr>
          <w:rFonts w:asciiTheme="minorHAnsi" w:hAnsiTheme="minorHAnsi"/>
        </w:rPr>
        <w:t xml:space="preserve"> w taki sposób, aby demontowane elementy nie zostały zniszczone i znajdowały się w stanie poprzedzającym demontaż.</w:t>
      </w:r>
    </w:p>
    <w:p w:rsidR="003C5BD9" w:rsidRPr="00D225AF" w:rsidRDefault="003C5BD9" w:rsidP="003C5BD9">
      <w:pPr>
        <w:rPr>
          <w:rFonts w:asciiTheme="minorHAnsi" w:hAnsiTheme="minorHAnsi"/>
        </w:rPr>
      </w:pPr>
      <w:r w:rsidRPr="00D225AF">
        <w:rPr>
          <w:rFonts w:asciiTheme="minorHAnsi" w:hAnsiTheme="minorHAnsi"/>
        </w:rPr>
        <w:t>W przypadku niemożności zdemontowania elementów bez ich uszkodzenia, Wykonawca powinien powiadomić o tym Inżyniera i uzyskać od niego zgodę na ich uszkodzenie lub zniszczenie.</w:t>
      </w:r>
    </w:p>
    <w:p w:rsidR="003C5BD9" w:rsidRPr="00D225AF" w:rsidRDefault="003C5BD9" w:rsidP="003C5BD9">
      <w:pPr>
        <w:rPr>
          <w:rFonts w:asciiTheme="minorHAnsi" w:hAnsiTheme="minorHAnsi"/>
        </w:rPr>
      </w:pPr>
      <w:r w:rsidRPr="00D225AF">
        <w:rPr>
          <w:rFonts w:asciiTheme="minorHAnsi" w:hAnsiTheme="minorHAnsi"/>
        </w:rPr>
        <w:t xml:space="preserve">Wykopy powstałe po demontażu elementów linii powinny być zasypane zagęszczonym  gruntem i wyrównane do poziomu terenu. Wskaźnik zagęszczenia </w:t>
      </w:r>
      <w:r w:rsidR="00D225AF">
        <w:rPr>
          <w:rFonts w:asciiTheme="minorHAnsi" w:hAnsiTheme="minorHAnsi"/>
        </w:rPr>
        <w:t xml:space="preserve">Is </w:t>
      </w:r>
      <w:r w:rsidRPr="00D225AF">
        <w:rPr>
          <w:rFonts w:asciiTheme="minorHAnsi" w:hAnsiTheme="minorHAnsi"/>
        </w:rPr>
        <w:t xml:space="preserve">powinien być równy </w:t>
      </w:r>
      <w:r w:rsidR="00D225AF">
        <w:rPr>
          <w:rFonts w:asciiTheme="minorHAnsi" w:hAnsiTheme="minorHAnsi"/>
        </w:rPr>
        <w:t>minimum 1,00</w:t>
      </w:r>
      <w:r w:rsidRPr="00D225AF">
        <w:rPr>
          <w:rFonts w:asciiTheme="minorHAnsi" w:hAnsiTheme="minorHAnsi"/>
        </w:rPr>
        <w:t>.</w:t>
      </w:r>
    </w:p>
    <w:p w:rsidR="003C5BD9" w:rsidRPr="00D225AF" w:rsidRDefault="003C5BD9" w:rsidP="003C5BD9">
      <w:pPr>
        <w:rPr>
          <w:rFonts w:asciiTheme="minorHAnsi" w:hAnsiTheme="minorHAnsi"/>
        </w:rPr>
      </w:pPr>
      <w:r w:rsidRPr="00D225AF">
        <w:rPr>
          <w:rFonts w:asciiTheme="minorHAnsi" w:hAnsiTheme="minorHAnsi"/>
        </w:rPr>
        <w:t>Wykonawca przekaże nieodpłatnie użytkownikowi zdemontowane materiały.</w:t>
      </w:r>
    </w:p>
    <w:p w:rsidR="003C5BD9" w:rsidRDefault="003C5BD9" w:rsidP="003C5BD9">
      <w:pPr>
        <w:pStyle w:val="Nagwek3"/>
      </w:pPr>
      <w:bookmarkStart w:id="117" w:name="_Toc466435444"/>
      <w:bookmarkStart w:id="118" w:name="_Toc466861806"/>
      <w:bookmarkStart w:id="119" w:name="_Toc468518135"/>
      <w:r>
        <w:t>6. kontrola jakości robót</w:t>
      </w:r>
      <w:bookmarkEnd w:id="117"/>
      <w:bookmarkEnd w:id="118"/>
      <w:bookmarkEnd w:id="119"/>
    </w:p>
    <w:p w:rsidR="003C5BD9" w:rsidRDefault="003C5BD9" w:rsidP="003C5BD9">
      <w:pPr>
        <w:pStyle w:val="Nagwek4"/>
      </w:pPr>
      <w:r>
        <w:t>6.1. Ogólne zasady kontroli jakości robót</w:t>
      </w:r>
    </w:p>
    <w:p w:rsidR="003C5BD9" w:rsidRPr="001E2689" w:rsidRDefault="003C5BD9" w:rsidP="003C5BD9">
      <w:pPr>
        <w:rPr>
          <w:rFonts w:asciiTheme="minorHAnsi" w:hAnsiTheme="minorHAnsi"/>
        </w:rPr>
      </w:pPr>
      <w:r w:rsidRPr="001E2689">
        <w:rPr>
          <w:rFonts w:asciiTheme="minorHAnsi" w:hAnsiTheme="minorHAnsi"/>
        </w:rPr>
        <w:t>Ogólne zasady kontroli jakości robót podano w ST</w:t>
      </w:r>
      <w:r w:rsidR="001E2689">
        <w:rPr>
          <w:rFonts w:asciiTheme="minorHAnsi" w:hAnsiTheme="minorHAnsi"/>
        </w:rPr>
        <w:t>WiORB</w:t>
      </w:r>
      <w:r w:rsidRPr="001E2689">
        <w:rPr>
          <w:rFonts w:asciiTheme="minorHAnsi" w:hAnsiTheme="minorHAnsi"/>
        </w:rPr>
        <w:t xml:space="preserve"> D-M-00.00.00 „Wymagania ogólne”.</w:t>
      </w:r>
    </w:p>
    <w:p w:rsidR="003C5BD9" w:rsidRPr="001E2689" w:rsidRDefault="003C5BD9" w:rsidP="003C5BD9">
      <w:pPr>
        <w:rPr>
          <w:rFonts w:asciiTheme="minorHAnsi" w:hAnsiTheme="minorHAnsi"/>
        </w:rPr>
      </w:pPr>
      <w:r w:rsidRPr="001E2689">
        <w:rPr>
          <w:rFonts w:asciiTheme="minorHAnsi" w:hAnsiTheme="minorHAnsi"/>
        </w:rPr>
        <w:t>Celem kontroli jest stwierdzenie osiągnięcia założonej jakości wykonywanych robót przy przebudowie linii kablowej.</w:t>
      </w:r>
    </w:p>
    <w:p w:rsidR="003C5BD9" w:rsidRPr="001E2689" w:rsidRDefault="00887983" w:rsidP="003C5BD9">
      <w:pPr>
        <w:rPr>
          <w:rFonts w:asciiTheme="minorHAnsi" w:hAnsiTheme="minorHAnsi"/>
        </w:rPr>
      </w:pPr>
      <w:r>
        <w:rPr>
          <w:rFonts w:asciiTheme="minorHAnsi" w:hAnsiTheme="minorHAnsi"/>
        </w:rPr>
        <w:t>Kontrola polega na stwierdzeniu kompletności demontaży oraz uzyskania wymaganego wskaźnika zagęszczenia gruntu</w:t>
      </w:r>
    </w:p>
    <w:p w:rsidR="003C5BD9" w:rsidRDefault="003C5BD9" w:rsidP="003C5BD9">
      <w:pPr>
        <w:pStyle w:val="Nagwek3"/>
      </w:pPr>
      <w:bookmarkStart w:id="120" w:name="_Toc466435445"/>
      <w:bookmarkStart w:id="121" w:name="_Toc466861807"/>
      <w:bookmarkStart w:id="122" w:name="_Toc467298654"/>
      <w:bookmarkStart w:id="123" w:name="_Toc468518136"/>
      <w:r>
        <w:t>7. obmiar robót</w:t>
      </w:r>
      <w:bookmarkEnd w:id="120"/>
      <w:bookmarkEnd w:id="121"/>
      <w:bookmarkEnd w:id="122"/>
      <w:bookmarkEnd w:id="123"/>
    </w:p>
    <w:p w:rsidR="003C5BD9" w:rsidRPr="00887983" w:rsidRDefault="003C5BD9" w:rsidP="003C5BD9">
      <w:pPr>
        <w:rPr>
          <w:rFonts w:asciiTheme="minorHAnsi" w:hAnsiTheme="minorHAnsi"/>
        </w:rPr>
      </w:pPr>
      <w:r w:rsidRPr="00887983">
        <w:rPr>
          <w:rFonts w:asciiTheme="minorHAnsi" w:hAnsiTheme="minorHAnsi"/>
        </w:rPr>
        <w:t>Ogólne wymagania dotyczące obmiaru robót podano w ST</w:t>
      </w:r>
      <w:r w:rsidR="00887983">
        <w:rPr>
          <w:rFonts w:asciiTheme="minorHAnsi" w:hAnsiTheme="minorHAnsi"/>
        </w:rPr>
        <w:t>WiORB</w:t>
      </w:r>
      <w:r w:rsidRPr="00887983">
        <w:rPr>
          <w:rFonts w:asciiTheme="minorHAnsi" w:hAnsiTheme="minorHAnsi"/>
        </w:rPr>
        <w:t xml:space="preserve"> D-M-00.00.00 „Wymagania ogólne”.</w:t>
      </w:r>
    </w:p>
    <w:p w:rsidR="003C5BD9" w:rsidRPr="00887983" w:rsidRDefault="003C5BD9" w:rsidP="003C5BD9">
      <w:pPr>
        <w:rPr>
          <w:rFonts w:asciiTheme="minorHAnsi" w:hAnsiTheme="minorHAnsi"/>
        </w:rPr>
      </w:pPr>
      <w:r w:rsidRPr="00887983">
        <w:rPr>
          <w:rFonts w:asciiTheme="minorHAnsi" w:hAnsiTheme="minorHAnsi"/>
        </w:rPr>
        <w:t>Obmiaru robót dokonać należy w oparciu o dokumentację projektową i ewentualnie dodatkowe ustalenia, wynikłe w czasie budowy, akceptowane przez Inżyniera.</w:t>
      </w:r>
    </w:p>
    <w:p w:rsidR="003C5BD9" w:rsidRPr="00887983" w:rsidRDefault="003C5BD9" w:rsidP="003C5BD9">
      <w:pPr>
        <w:rPr>
          <w:rFonts w:asciiTheme="minorHAnsi" w:hAnsiTheme="minorHAnsi"/>
        </w:rPr>
      </w:pPr>
      <w:r w:rsidRPr="00887983">
        <w:rPr>
          <w:rFonts w:asciiTheme="minorHAnsi" w:hAnsiTheme="minorHAnsi"/>
        </w:rPr>
        <w:t>Jednostką obmiarową jest k</w:t>
      </w:r>
      <w:r w:rsidR="00887983">
        <w:rPr>
          <w:rFonts w:asciiTheme="minorHAnsi" w:hAnsiTheme="minorHAnsi"/>
        </w:rPr>
        <w:t>omplet demontażu elementów sieci telekomunikacyjnych</w:t>
      </w:r>
      <w:r w:rsidRPr="00887983">
        <w:rPr>
          <w:rFonts w:asciiTheme="minorHAnsi" w:hAnsiTheme="minorHAnsi"/>
        </w:rPr>
        <w:t>.</w:t>
      </w:r>
    </w:p>
    <w:p w:rsidR="003C5BD9" w:rsidRDefault="003C5BD9" w:rsidP="003C5BD9">
      <w:pPr>
        <w:pStyle w:val="Nagwek3"/>
      </w:pPr>
      <w:bookmarkStart w:id="124" w:name="_Toc466435446"/>
      <w:bookmarkStart w:id="125" w:name="_Toc466861808"/>
      <w:bookmarkStart w:id="126" w:name="_Toc467298655"/>
      <w:bookmarkStart w:id="127" w:name="_Toc468518137"/>
      <w:r>
        <w:t>8. odbiór robót</w:t>
      </w:r>
      <w:bookmarkEnd w:id="124"/>
      <w:bookmarkEnd w:id="125"/>
      <w:bookmarkEnd w:id="126"/>
      <w:bookmarkEnd w:id="127"/>
    </w:p>
    <w:p w:rsidR="003C5BD9" w:rsidRPr="00887983" w:rsidRDefault="003C5BD9" w:rsidP="003C5BD9">
      <w:pPr>
        <w:rPr>
          <w:rFonts w:asciiTheme="minorHAnsi" w:hAnsiTheme="minorHAnsi"/>
        </w:rPr>
      </w:pPr>
      <w:r w:rsidRPr="00887983">
        <w:rPr>
          <w:rFonts w:asciiTheme="minorHAnsi" w:hAnsiTheme="minorHAnsi"/>
        </w:rPr>
        <w:t>Ogólne wymagania dotyczące odbioru robót podano w ST</w:t>
      </w:r>
      <w:r w:rsidR="00887983">
        <w:rPr>
          <w:rFonts w:asciiTheme="minorHAnsi" w:hAnsiTheme="minorHAnsi"/>
        </w:rPr>
        <w:t>WiORB</w:t>
      </w:r>
      <w:r w:rsidRPr="00887983">
        <w:rPr>
          <w:rFonts w:asciiTheme="minorHAnsi" w:hAnsiTheme="minorHAnsi"/>
        </w:rPr>
        <w:t xml:space="preserve"> D-M-00.00.00 „Wymagania ogólne”.</w:t>
      </w:r>
    </w:p>
    <w:p w:rsidR="003C5BD9" w:rsidRPr="00887983" w:rsidRDefault="003C5BD9" w:rsidP="003C5BD9">
      <w:pPr>
        <w:rPr>
          <w:rFonts w:asciiTheme="minorHAnsi" w:hAnsiTheme="minorHAnsi"/>
        </w:rPr>
      </w:pPr>
      <w:r w:rsidRPr="00887983">
        <w:rPr>
          <w:rFonts w:asciiTheme="minorHAnsi" w:hAnsiTheme="minorHAnsi"/>
        </w:rPr>
        <w:t xml:space="preserve">Po wykonaniu </w:t>
      </w:r>
      <w:r w:rsidR="00887983">
        <w:rPr>
          <w:rFonts w:asciiTheme="minorHAnsi" w:hAnsiTheme="minorHAnsi"/>
        </w:rPr>
        <w:t>demontażu nieczynnych</w:t>
      </w:r>
      <w:r w:rsidRPr="00887983">
        <w:rPr>
          <w:rFonts w:asciiTheme="minorHAnsi" w:hAnsiTheme="minorHAnsi"/>
        </w:rPr>
        <w:t xml:space="preserve"> kanalizacji teletechnicznej i kabli telekomunikacyjnych, Wykonawca zobowiązany jest dostarczyć Zamawiającemu następujące dokumenty:</w:t>
      </w:r>
    </w:p>
    <w:p w:rsidR="003C5BD9" w:rsidRPr="00887983" w:rsidRDefault="003C5BD9" w:rsidP="00790883">
      <w:pPr>
        <w:numPr>
          <w:ilvl w:val="0"/>
          <w:numId w:val="76"/>
        </w:numPr>
        <w:rPr>
          <w:rFonts w:asciiTheme="minorHAnsi" w:hAnsiTheme="minorHAnsi"/>
        </w:rPr>
      </w:pPr>
      <w:r w:rsidRPr="00887983">
        <w:rPr>
          <w:rFonts w:asciiTheme="minorHAnsi" w:hAnsiTheme="minorHAnsi"/>
        </w:rPr>
        <w:lastRenderedPageBreak/>
        <w:t>geodezyjną dokumentację powykonawczą,</w:t>
      </w:r>
    </w:p>
    <w:p w:rsidR="003C5BD9" w:rsidRPr="00887983" w:rsidRDefault="003C5BD9" w:rsidP="00790883">
      <w:pPr>
        <w:numPr>
          <w:ilvl w:val="0"/>
          <w:numId w:val="76"/>
        </w:numPr>
        <w:rPr>
          <w:rFonts w:asciiTheme="minorHAnsi" w:hAnsiTheme="minorHAnsi"/>
        </w:rPr>
      </w:pPr>
      <w:r w:rsidRPr="00887983">
        <w:rPr>
          <w:rFonts w:asciiTheme="minorHAnsi" w:hAnsiTheme="minorHAnsi"/>
        </w:rPr>
        <w:t>protokóły z dokonanych pomiarów,</w:t>
      </w:r>
    </w:p>
    <w:p w:rsidR="003C5BD9" w:rsidRPr="00887983" w:rsidRDefault="003C5BD9" w:rsidP="00790883">
      <w:pPr>
        <w:numPr>
          <w:ilvl w:val="0"/>
          <w:numId w:val="76"/>
        </w:numPr>
        <w:rPr>
          <w:rFonts w:asciiTheme="minorHAnsi" w:hAnsiTheme="minorHAnsi"/>
        </w:rPr>
      </w:pPr>
      <w:r w:rsidRPr="00887983">
        <w:rPr>
          <w:rFonts w:asciiTheme="minorHAnsi" w:hAnsiTheme="minorHAnsi"/>
        </w:rPr>
        <w:t>protokóły odbioru robót zanikających,</w:t>
      </w:r>
    </w:p>
    <w:p w:rsidR="003C5BD9" w:rsidRDefault="003C5BD9" w:rsidP="003C5BD9">
      <w:pPr>
        <w:pStyle w:val="Nagwek3"/>
      </w:pPr>
      <w:bookmarkStart w:id="128" w:name="_Toc467298656"/>
      <w:bookmarkStart w:id="129" w:name="_Toc468518138"/>
      <w:r>
        <w:t>9. podstawa płatności</w:t>
      </w:r>
      <w:bookmarkEnd w:id="128"/>
      <w:bookmarkEnd w:id="129"/>
    </w:p>
    <w:p w:rsidR="003C5BD9" w:rsidRPr="00887983" w:rsidRDefault="003C5BD9" w:rsidP="003C5BD9">
      <w:pPr>
        <w:rPr>
          <w:rFonts w:ascii="Calibri" w:hAnsi="Calibri"/>
        </w:rPr>
      </w:pPr>
      <w:r w:rsidRPr="00887983">
        <w:rPr>
          <w:rFonts w:ascii="Calibri" w:hAnsi="Calibri"/>
        </w:rPr>
        <w:t>Płatność za jednostkę obmiarową należy przyjmować zgodnie z obmiarem i oceną jakości wykonanych robót na podstawie atestów producenta urządzeń, oględzin i pomiarów sprawdzających.</w:t>
      </w:r>
    </w:p>
    <w:p w:rsidR="003C5BD9" w:rsidRPr="00887983" w:rsidRDefault="003C5BD9" w:rsidP="003C5BD9">
      <w:pPr>
        <w:rPr>
          <w:rFonts w:ascii="Calibri" w:hAnsi="Calibri"/>
        </w:rPr>
      </w:pPr>
      <w:r w:rsidRPr="00887983">
        <w:rPr>
          <w:rFonts w:ascii="Calibri" w:hAnsi="Calibri"/>
        </w:rPr>
        <w:t>Cena wykonania robót obejmuje:</w:t>
      </w:r>
    </w:p>
    <w:p w:rsidR="003C5BD9" w:rsidRPr="00887983" w:rsidRDefault="003C5BD9" w:rsidP="00790883">
      <w:pPr>
        <w:numPr>
          <w:ilvl w:val="0"/>
          <w:numId w:val="76"/>
        </w:numPr>
        <w:rPr>
          <w:rFonts w:ascii="Calibri" w:hAnsi="Calibri"/>
        </w:rPr>
      </w:pPr>
      <w:r w:rsidRPr="00887983">
        <w:rPr>
          <w:rFonts w:ascii="Calibri" w:hAnsi="Calibri"/>
        </w:rPr>
        <w:t>roboty przygotowawcze,</w:t>
      </w:r>
    </w:p>
    <w:p w:rsidR="003C5BD9" w:rsidRPr="00887983" w:rsidRDefault="003C5BD9" w:rsidP="00790883">
      <w:pPr>
        <w:numPr>
          <w:ilvl w:val="0"/>
          <w:numId w:val="76"/>
        </w:numPr>
        <w:rPr>
          <w:rFonts w:ascii="Calibri" w:hAnsi="Calibri"/>
        </w:rPr>
      </w:pPr>
      <w:r w:rsidRPr="00887983">
        <w:rPr>
          <w:rFonts w:ascii="Calibri" w:hAnsi="Calibri"/>
        </w:rPr>
        <w:t>zdemontowanie kolizyjnych odcinków linii,</w:t>
      </w:r>
    </w:p>
    <w:p w:rsidR="003C5BD9" w:rsidRPr="00887983" w:rsidRDefault="003C5BD9" w:rsidP="00790883">
      <w:pPr>
        <w:numPr>
          <w:ilvl w:val="0"/>
          <w:numId w:val="76"/>
        </w:numPr>
        <w:rPr>
          <w:rFonts w:ascii="Calibri" w:hAnsi="Calibri"/>
        </w:rPr>
      </w:pPr>
      <w:r w:rsidRPr="00887983">
        <w:rPr>
          <w:rFonts w:ascii="Calibri" w:hAnsi="Calibri"/>
        </w:rPr>
        <w:t>transport zdemontowanych materiałów,</w:t>
      </w:r>
    </w:p>
    <w:p w:rsidR="003C5BD9" w:rsidRPr="00887983" w:rsidRDefault="003C5BD9" w:rsidP="00790883">
      <w:pPr>
        <w:numPr>
          <w:ilvl w:val="0"/>
          <w:numId w:val="76"/>
        </w:numPr>
        <w:rPr>
          <w:rFonts w:ascii="Calibri" w:hAnsi="Calibri"/>
        </w:rPr>
      </w:pPr>
      <w:r w:rsidRPr="00887983">
        <w:rPr>
          <w:rFonts w:ascii="Calibri" w:hAnsi="Calibri"/>
        </w:rPr>
        <w:t xml:space="preserve">wykonanie inwentaryzacji </w:t>
      </w:r>
      <w:r w:rsidR="00887983">
        <w:rPr>
          <w:rFonts w:ascii="Calibri" w:hAnsi="Calibri"/>
        </w:rPr>
        <w:t>powykonawczej</w:t>
      </w:r>
      <w:r w:rsidRPr="00887983">
        <w:rPr>
          <w:rFonts w:ascii="Calibri" w:hAnsi="Calibri"/>
        </w:rPr>
        <w:t>.</w:t>
      </w:r>
    </w:p>
    <w:p w:rsidR="003C5BD9" w:rsidRDefault="003C5BD9" w:rsidP="003C5BD9">
      <w:pPr>
        <w:pStyle w:val="Nagwek3"/>
      </w:pPr>
      <w:bookmarkStart w:id="130" w:name="_Toc468518139"/>
      <w:r>
        <w:t>10. przepisy związane</w:t>
      </w:r>
      <w:bookmarkEnd w:id="130"/>
    </w:p>
    <w:p w:rsidR="003C5BD9" w:rsidRPr="00887983" w:rsidRDefault="00887983" w:rsidP="003C5BD9">
      <w:pPr>
        <w:rPr>
          <w:rFonts w:asciiTheme="minorHAnsi" w:hAnsiTheme="minorHAnsi"/>
        </w:rPr>
      </w:pPr>
      <w:r w:rsidRPr="00887983">
        <w:rPr>
          <w:rFonts w:asciiTheme="minorHAnsi" w:hAnsiTheme="minorHAnsi"/>
        </w:rPr>
        <w:t>Nie występują</w:t>
      </w:r>
    </w:p>
    <w:p w:rsidR="00656AC1" w:rsidRPr="00FE60E3" w:rsidRDefault="005B48CA" w:rsidP="00FE60E3">
      <w:pPr>
        <w:pStyle w:val="Nagwek2"/>
      </w:pPr>
      <w:r w:rsidRPr="00FE60E3">
        <w:lastRenderedPageBreak/>
        <w:t>SPECYFIKACJE TECHNICZNE</w:t>
      </w:r>
      <w:r w:rsidR="00E22F37" w:rsidRPr="00FE60E3">
        <w:t xml:space="preserve"> WYKONANIA I ODBIORU ROBÓT BUDOWLANYCH</w:t>
      </w:r>
    </w:p>
    <w:p w:rsidR="00656AC1" w:rsidRPr="00FE60E3" w:rsidRDefault="00656AC1" w:rsidP="00FE60E3">
      <w:pPr>
        <w:pStyle w:val="Nagwek1"/>
      </w:pPr>
      <w:bookmarkStart w:id="131" w:name="_Toc285044229"/>
      <w:bookmarkStart w:id="132" w:name="_Toc296923099"/>
      <w:bookmarkStart w:id="133" w:name="_Toc333441662"/>
      <w:bookmarkStart w:id="134" w:name="_Toc333657239"/>
      <w:bookmarkStart w:id="135" w:name="_Toc334095424"/>
      <w:bookmarkStart w:id="136" w:name="_Toc352837483"/>
      <w:bookmarkStart w:id="137" w:name="_Toc427178267"/>
      <w:bookmarkStart w:id="138" w:name="_Toc459929666"/>
      <w:r w:rsidRPr="00FE60E3">
        <w:t>D-02.01.01 WYKONANIE WYKOPÓW W GRUNTACH NIESKALISTYCH</w:t>
      </w:r>
      <w:bookmarkEnd w:id="131"/>
      <w:bookmarkEnd w:id="132"/>
      <w:bookmarkEnd w:id="133"/>
      <w:bookmarkEnd w:id="134"/>
      <w:bookmarkEnd w:id="135"/>
      <w:bookmarkEnd w:id="136"/>
      <w:bookmarkEnd w:id="137"/>
      <w:bookmarkEnd w:id="138"/>
    </w:p>
    <w:p w:rsidR="00656AC1" w:rsidRPr="00203191" w:rsidRDefault="00656AC1" w:rsidP="00364E4D">
      <w:pPr>
        <w:pStyle w:val="Nagwek3"/>
        <w:tabs>
          <w:tab w:val="left" w:pos="9914"/>
        </w:tabs>
        <w:rPr>
          <w:rFonts w:ascii="Calibri" w:hAnsi="Calibri" w:cs="Calibri"/>
        </w:rPr>
      </w:pPr>
      <w:bookmarkStart w:id="139" w:name="_Toc407161213"/>
      <w:bookmarkStart w:id="140" w:name="_Toc418994925"/>
      <w:bookmarkStart w:id="141" w:name="_Toc418996332"/>
      <w:bookmarkStart w:id="142" w:name="_Toc418996701"/>
      <w:bookmarkStart w:id="143" w:name="_Toc418997088"/>
      <w:bookmarkStart w:id="144" w:name="_Toc418998498"/>
      <w:bookmarkStart w:id="145" w:name="_Toc418998854"/>
      <w:bookmarkStart w:id="146" w:name="_Toc419000099"/>
      <w:r w:rsidRPr="00203191">
        <w:rPr>
          <w:rFonts w:ascii="Calibri" w:hAnsi="Calibri" w:cs="Calibri"/>
        </w:rPr>
        <w:t>1. WSTĘP</w:t>
      </w:r>
      <w:bookmarkEnd w:id="139"/>
      <w:bookmarkEnd w:id="140"/>
      <w:bookmarkEnd w:id="141"/>
      <w:bookmarkEnd w:id="142"/>
      <w:bookmarkEnd w:id="143"/>
      <w:bookmarkEnd w:id="144"/>
      <w:bookmarkEnd w:id="145"/>
      <w:bookmarkEnd w:id="146"/>
    </w:p>
    <w:p w:rsidR="00656AC1" w:rsidRPr="00203191" w:rsidRDefault="00656AC1" w:rsidP="00364E4D">
      <w:pPr>
        <w:pStyle w:val="Nagwek4"/>
        <w:tabs>
          <w:tab w:val="left" w:pos="9914"/>
        </w:tabs>
        <w:rPr>
          <w:rFonts w:ascii="Calibri" w:hAnsi="Calibri" w:cs="Calibri"/>
        </w:rPr>
      </w:pPr>
      <w:bookmarkStart w:id="147" w:name="_Toc407161214"/>
      <w:r w:rsidRPr="00203191">
        <w:rPr>
          <w:rFonts w:ascii="Calibri" w:hAnsi="Calibri" w:cs="Calibri"/>
        </w:rPr>
        <w:t xml:space="preserve">1.1. Przedmiot </w:t>
      </w:r>
      <w:bookmarkEnd w:id="147"/>
      <w:r w:rsidR="005B48CA">
        <w:rPr>
          <w:rFonts w:ascii="Calibri" w:hAnsi="Calibri" w:cs="Calibri"/>
        </w:rPr>
        <w:t>STWiORB</w:t>
      </w:r>
    </w:p>
    <w:p w:rsidR="00656AC1" w:rsidRPr="00203191" w:rsidRDefault="00656AC1" w:rsidP="00364E4D">
      <w:pPr>
        <w:tabs>
          <w:tab w:val="left" w:pos="9914"/>
        </w:tabs>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 są wymagania dotyczące wykonania i odbioru wykopów w gruntach nieskalistych</w:t>
      </w:r>
    </w:p>
    <w:p w:rsidR="00656AC1" w:rsidRPr="00203191" w:rsidRDefault="00656AC1" w:rsidP="00364E4D">
      <w:pPr>
        <w:pStyle w:val="Nagwek4"/>
        <w:tabs>
          <w:tab w:val="left" w:pos="9914"/>
        </w:tabs>
        <w:rPr>
          <w:rFonts w:ascii="Calibri" w:hAnsi="Calibri" w:cs="Calibri"/>
        </w:rPr>
      </w:pPr>
      <w:bookmarkStart w:id="148" w:name="_Toc407161215"/>
      <w:r w:rsidRPr="00203191">
        <w:rPr>
          <w:rFonts w:ascii="Calibri" w:hAnsi="Calibri" w:cs="Calibri"/>
        </w:rPr>
        <w:t xml:space="preserve">1.2. Zakres stosowania </w:t>
      </w:r>
      <w:bookmarkEnd w:id="148"/>
      <w:r w:rsidR="005B48CA">
        <w:rPr>
          <w:rFonts w:ascii="Calibri" w:hAnsi="Calibri" w:cs="Calibri"/>
        </w:rPr>
        <w:t>STWiORB</w:t>
      </w:r>
    </w:p>
    <w:p w:rsidR="00656AC1" w:rsidRPr="00203191" w:rsidRDefault="00FE60E3" w:rsidP="008B786E">
      <w:pPr>
        <w:rPr>
          <w:rFonts w:ascii="Calibri" w:hAnsi="Calibri" w:cs="Calibri"/>
        </w:rPr>
      </w:pPr>
      <w:bookmarkStart w:id="149" w:name="_Toc407161216"/>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1.3. Zakres robót objętych </w:t>
      </w:r>
      <w:bookmarkEnd w:id="149"/>
      <w:r w:rsidR="005B48CA">
        <w:rPr>
          <w:rFonts w:ascii="Calibri" w:hAnsi="Calibri" w:cs="Calibri"/>
        </w:rPr>
        <w:t>STWiORB</w:t>
      </w:r>
    </w:p>
    <w:p w:rsidR="00656AC1" w:rsidRPr="00203191" w:rsidRDefault="00656AC1" w:rsidP="00364E4D">
      <w:pPr>
        <w:tabs>
          <w:tab w:val="left" w:pos="9914"/>
        </w:tabs>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ziemnych w czasie budowy lub modernizacji dróg i obejmują wykonanie wykopów w gruntach nieskalistych.</w:t>
      </w:r>
    </w:p>
    <w:p w:rsidR="00656AC1" w:rsidRPr="00203191" w:rsidRDefault="00656AC1" w:rsidP="00364E4D">
      <w:pPr>
        <w:pStyle w:val="Nagwek4"/>
        <w:tabs>
          <w:tab w:val="left" w:pos="9914"/>
        </w:tabs>
        <w:rPr>
          <w:rFonts w:ascii="Calibri" w:hAnsi="Calibri" w:cs="Calibri"/>
        </w:rPr>
      </w:pPr>
      <w:bookmarkStart w:id="150" w:name="_Toc407161217"/>
      <w:r w:rsidRPr="00203191">
        <w:rPr>
          <w:rFonts w:ascii="Calibri" w:hAnsi="Calibri" w:cs="Calibri"/>
        </w:rPr>
        <w:t>1.4. Określenia podstawowe</w:t>
      </w:r>
      <w:bookmarkEnd w:id="150"/>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1.4.1.</w:t>
      </w:r>
      <w:r w:rsidRPr="00203191">
        <w:rPr>
          <w:rFonts w:ascii="Calibri" w:hAnsi="Calibri" w:cs="Calibri"/>
        </w:rPr>
        <w:t>Budowla ziemna - budowla wykonana w gruncie lub z gruntu naturalnego lub z gruntu antropogenicznego spełniająca warunki stateczności i odwodnienia.</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1.4.2.</w:t>
      </w:r>
      <w:r w:rsidRPr="00203191">
        <w:rPr>
          <w:rFonts w:ascii="Calibri" w:hAnsi="Calibri" w:cs="Calibri"/>
        </w:rPr>
        <w:t>Głębokość wykopu - różnica rzędnej terenu i rzędnej robót ziemnych, wyznaczonych w osi wykopu.</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1.4.3.</w:t>
      </w:r>
      <w:r w:rsidRPr="00203191">
        <w:rPr>
          <w:rFonts w:ascii="Calibri" w:hAnsi="Calibri" w:cs="Calibri"/>
        </w:rPr>
        <w:t>Grunt nieskalisty - każdy grunt rodzimy, nie określony w punkcie 1.4.5 jako grunt skalisty</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1.4.4.</w:t>
      </w:r>
      <w:r w:rsidRPr="00203191">
        <w:rPr>
          <w:rFonts w:ascii="Calibri" w:hAnsi="Calibri" w:cs="Calibri"/>
        </w:rPr>
        <w:t>Grunt skalisty - grunt rodzimy, lity lub spękany o nieprzesuniętych blokach, którego próbki nie wykazują zmian objętości ani nie rozpadają się pod działaniem wody destylowanej; mają wytrzymałość na ściskanie R</w:t>
      </w:r>
      <w:r w:rsidRPr="00203191">
        <w:rPr>
          <w:rFonts w:ascii="Calibri" w:hAnsi="Calibri" w:cs="Calibri"/>
          <w:vertAlign w:val="subscript"/>
        </w:rPr>
        <w:t>c</w:t>
      </w:r>
      <w:r w:rsidRPr="00203191">
        <w:rPr>
          <w:rFonts w:ascii="Calibri" w:hAnsi="Calibri" w:cs="Calibri"/>
        </w:rPr>
        <w:t xml:space="preserve"> ponad 0,2 MPa; wymaga użycia środków wybuchowych albo narzędzi pneumatycznych lub hydraulicznych do odspojenia</w:t>
      </w:r>
    </w:p>
    <w:p w:rsidR="00656AC1" w:rsidRPr="00203191" w:rsidRDefault="00656AC1" w:rsidP="00364E4D">
      <w:pPr>
        <w:pStyle w:val="Nagwek7"/>
        <w:tabs>
          <w:tab w:val="left" w:pos="9914"/>
        </w:tabs>
        <w:rPr>
          <w:rFonts w:ascii="Calibri" w:hAnsi="Calibri" w:cs="Calibri"/>
          <w:b/>
          <w:bCs/>
        </w:rPr>
      </w:pPr>
      <w:r w:rsidRPr="00203191">
        <w:rPr>
          <w:rFonts w:ascii="Calibri" w:hAnsi="Calibri" w:cs="Calibri"/>
          <w:b/>
          <w:bCs/>
          <w:i/>
          <w:iCs/>
        </w:rPr>
        <w:t>1.4.5.</w:t>
      </w:r>
      <w:r w:rsidRPr="00203191">
        <w:rPr>
          <w:rFonts w:ascii="Calibri" w:hAnsi="Calibri" w:cs="Calibri"/>
        </w:rPr>
        <w:t>Korpus drogowy - nasyp lub ta część wykopu, która jest ograniczona koroną drogi i skarpami rowów</w:t>
      </w:r>
    </w:p>
    <w:p w:rsidR="00656AC1" w:rsidRPr="00203191" w:rsidRDefault="00656AC1" w:rsidP="00364E4D">
      <w:pPr>
        <w:pStyle w:val="Nagwek7"/>
        <w:tabs>
          <w:tab w:val="left" w:pos="9914"/>
        </w:tabs>
        <w:rPr>
          <w:rFonts w:ascii="Calibri" w:hAnsi="Calibri" w:cs="Calibri"/>
          <w:b/>
          <w:bCs/>
        </w:rPr>
      </w:pPr>
      <w:r w:rsidRPr="00203191">
        <w:rPr>
          <w:rFonts w:ascii="Calibri" w:hAnsi="Calibri" w:cs="Calibri"/>
          <w:b/>
          <w:bCs/>
          <w:i/>
          <w:iCs/>
        </w:rPr>
        <w:t>1.4.6.</w:t>
      </w:r>
      <w:r w:rsidRPr="00203191">
        <w:rPr>
          <w:rFonts w:ascii="Calibri" w:hAnsi="Calibri" w:cs="Calibri"/>
        </w:rPr>
        <w:t>Odkład - miejsce wbudowania lub składowania (odwiezienia) gruntów pozyskanych w czasie wykonywania wykopów, a nie wykorzystanych do budowy nasypów oraz innych prac związanych z trasą drogową</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1.4.7.</w:t>
      </w:r>
      <w:r w:rsidRPr="00203191">
        <w:rPr>
          <w:rFonts w:ascii="Calibri" w:hAnsi="Calibri" w:cs="Calibri"/>
        </w:rPr>
        <w:t xml:space="preserve"> Wskaźnik odkształcenia podłoża - wielkość charakteryzująca stan zagęszczenia gruntu, określona wg wzoru: </w:t>
      </w:r>
    </w:p>
    <w:p w:rsidR="00656AC1" w:rsidRPr="00203191" w:rsidRDefault="00656AC1" w:rsidP="00364E4D">
      <w:pPr>
        <w:pStyle w:val="Nagwek7"/>
        <w:tabs>
          <w:tab w:val="left" w:pos="9914"/>
        </w:tabs>
        <w:rPr>
          <w:rFonts w:ascii="Calibri" w:hAnsi="Calibri" w:cs="Calibri"/>
        </w:rPr>
      </w:pPr>
      <w:r w:rsidRPr="00203191">
        <w:rPr>
          <w:rFonts w:ascii="Calibri" w:hAnsi="Calibri" w:cs="Calibri"/>
          <w:position w:val="-26"/>
        </w:rPr>
        <w:object w:dxaOrig="72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pt;height:30pt" o:ole="">
            <v:imagedata r:id="rId12" o:title=""/>
          </v:shape>
          <o:OLEObject Type="Embed" ProgID="Equation.3" ShapeID="_x0000_i1025" DrawAspect="Content" ObjectID="_1533961221" r:id="rId13"/>
        </w:object>
      </w:r>
    </w:p>
    <w:p w:rsidR="00656AC1" w:rsidRPr="00203191" w:rsidRDefault="00656AC1" w:rsidP="00364E4D">
      <w:pPr>
        <w:pStyle w:val="Nagwek7"/>
        <w:tabs>
          <w:tab w:val="left" w:pos="9914"/>
        </w:tabs>
        <w:rPr>
          <w:rFonts w:ascii="Calibri" w:hAnsi="Calibri" w:cs="Calibri"/>
        </w:rPr>
      </w:pPr>
      <w:r w:rsidRPr="00203191">
        <w:rPr>
          <w:rFonts w:ascii="Calibri" w:hAnsi="Calibri" w:cs="Calibri"/>
        </w:rPr>
        <w:t>gdzie:</w:t>
      </w:r>
    </w:p>
    <w:p w:rsidR="00656AC1" w:rsidRPr="00203191" w:rsidRDefault="00656AC1" w:rsidP="00364E4D">
      <w:pPr>
        <w:pStyle w:val="Nagwek7"/>
        <w:tabs>
          <w:tab w:val="left" w:pos="9914"/>
        </w:tabs>
        <w:rPr>
          <w:rFonts w:ascii="Calibri" w:hAnsi="Calibri" w:cs="Calibri"/>
        </w:rPr>
      </w:pPr>
      <w:r w:rsidRPr="00203191">
        <w:rPr>
          <w:rFonts w:ascii="Calibri" w:hAnsi="Calibri" w:cs="Calibri"/>
          <w:i/>
          <w:iCs/>
        </w:rPr>
        <w:t>E</w:t>
      </w:r>
      <w:r w:rsidRPr="00203191">
        <w:rPr>
          <w:rFonts w:ascii="Calibri" w:hAnsi="Calibri" w:cs="Calibri"/>
          <w:i/>
          <w:iCs/>
          <w:vertAlign w:val="subscript"/>
        </w:rPr>
        <w:t xml:space="preserve">1 </w:t>
      </w:r>
      <w:r w:rsidRPr="00203191">
        <w:rPr>
          <w:rFonts w:ascii="Calibri" w:hAnsi="Calibri" w:cs="Calibri"/>
        </w:rPr>
        <w:t>- moduł odkształcenia podłoża obliczony w pierwotnym cyklu obciążenia statycznego wg normy PN-S-02205:1998 (zał B),</w:t>
      </w:r>
    </w:p>
    <w:p w:rsidR="00656AC1" w:rsidRPr="00203191" w:rsidRDefault="00656AC1" w:rsidP="00364E4D">
      <w:pPr>
        <w:pStyle w:val="Nagwek7"/>
        <w:tabs>
          <w:tab w:val="left" w:pos="9914"/>
        </w:tabs>
        <w:rPr>
          <w:rFonts w:ascii="Calibri" w:hAnsi="Calibri" w:cs="Calibri"/>
        </w:rPr>
      </w:pPr>
      <w:r w:rsidRPr="00203191">
        <w:rPr>
          <w:rFonts w:ascii="Calibri" w:hAnsi="Calibri" w:cs="Calibri"/>
          <w:i/>
          <w:iCs/>
        </w:rPr>
        <w:t>E</w:t>
      </w:r>
      <w:r w:rsidRPr="00203191">
        <w:rPr>
          <w:rFonts w:ascii="Calibri" w:hAnsi="Calibri" w:cs="Calibri"/>
          <w:i/>
          <w:iCs/>
          <w:vertAlign w:val="subscript"/>
        </w:rPr>
        <w:t xml:space="preserve">2 </w:t>
      </w:r>
      <w:r w:rsidRPr="00203191">
        <w:rPr>
          <w:rFonts w:ascii="Calibri" w:hAnsi="Calibri" w:cs="Calibri"/>
        </w:rPr>
        <w:t>- moduł odkształcenia podłoża obliczony we wtórnym cyklu obciążenia statycznego wg normy PN-S-02205:1998 (zał B).</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1.4.8.</w:t>
      </w:r>
      <w:r w:rsidRPr="00203191">
        <w:rPr>
          <w:rFonts w:ascii="Calibri" w:hAnsi="Calibri" w:cs="Calibri"/>
          <w:b/>
          <w:bCs/>
        </w:rPr>
        <w:t xml:space="preserve"> </w:t>
      </w:r>
      <w:r w:rsidRPr="00203191">
        <w:rPr>
          <w:rFonts w:ascii="Calibri" w:hAnsi="Calibri" w:cs="Calibri"/>
        </w:rPr>
        <w:t>Wskaźnik różnoziarnistości - wielkość charakteryzująca zagęszczalność gruntów niespoistych, określona wg wzoru:</w:t>
      </w:r>
    </w:p>
    <w:p w:rsidR="00656AC1" w:rsidRPr="00203191" w:rsidRDefault="00656AC1" w:rsidP="00364E4D">
      <w:pPr>
        <w:pStyle w:val="Nagwek7"/>
        <w:tabs>
          <w:tab w:val="left" w:pos="9914"/>
        </w:tabs>
        <w:rPr>
          <w:rFonts w:ascii="Calibri" w:hAnsi="Calibri" w:cs="Calibri"/>
          <w:b/>
          <w:bCs/>
        </w:rPr>
      </w:pPr>
      <w:r w:rsidRPr="00203191">
        <w:rPr>
          <w:rFonts w:ascii="Calibri" w:hAnsi="Calibri" w:cs="Calibri"/>
          <w:position w:val="-26"/>
        </w:rPr>
        <w:object w:dxaOrig="780" w:dyaOrig="600">
          <v:shape id="_x0000_i1026" type="#_x0000_t75" style="width:39pt;height:30pt" o:ole="">
            <v:imagedata r:id="rId14" o:title=""/>
          </v:shape>
          <o:OLEObject Type="Embed" ProgID="Equation.3" ShapeID="_x0000_i1026" DrawAspect="Content" ObjectID="_1533961222" r:id="rId15"/>
        </w:object>
      </w:r>
    </w:p>
    <w:p w:rsidR="00656AC1" w:rsidRPr="00203191" w:rsidRDefault="00656AC1" w:rsidP="00364E4D">
      <w:pPr>
        <w:pStyle w:val="Nagwek7"/>
        <w:tabs>
          <w:tab w:val="left" w:pos="9914"/>
        </w:tabs>
        <w:rPr>
          <w:rFonts w:ascii="Calibri" w:hAnsi="Calibri" w:cs="Calibri"/>
        </w:rPr>
      </w:pPr>
      <w:r w:rsidRPr="00203191">
        <w:rPr>
          <w:rFonts w:ascii="Calibri" w:hAnsi="Calibri" w:cs="Calibri"/>
        </w:rPr>
        <w:t>gdzie:</w:t>
      </w:r>
    </w:p>
    <w:p w:rsidR="00656AC1" w:rsidRPr="00203191" w:rsidRDefault="00656AC1" w:rsidP="00364E4D">
      <w:pPr>
        <w:pStyle w:val="Nagwek7"/>
        <w:tabs>
          <w:tab w:val="left" w:pos="9914"/>
        </w:tabs>
        <w:rPr>
          <w:rFonts w:ascii="Calibri" w:hAnsi="Calibri" w:cs="Calibri"/>
        </w:rPr>
      </w:pPr>
      <w:r w:rsidRPr="00203191">
        <w:rPr>
          <w:rFonts w:ascii="Calibri" w:hAnsi="Calibri" w:cs="Calibri"/>
          <w:i/>
          <w:iCs/>
        </w:rPr>
        <w:t>d</w:t>
      </w:r>
      <w:r w:rsidRPr="00203191">
        <w:rPr>
          <w:rFonts w:ascii="Calibri" w:hAnsi="Calibri" w:cs="Calibri"/>
          <w:i/>
          <w:iCs/>
          <w:vertAlign w:val="subscript"/>
        </w:rPr>
        <w:t xml:space="preserve">60 </w:t>
      </w:r>
      <w:r w:rsidRPr="00203191">
        <w:rPr>
          <w:rFonts w:ascii="Calibri" w:hAnsi="Calibri" w:cs="Calibri"/>
        </w:rPr>
        <w:t>- średnica zastępcza oczka sita, poniżej której w gruncie zawarte jest 60% masy, (mm),</w:t>
      </w:r>
    </w:p>
    <w:p w:rsidR="00656AC1" w:rsidRPr="00203191" w:rsidRDefault="00656AC1" w:rsidP="00364E4D">
      <w:pPr>
        <w:pStyle w:val="Nagwek7"/>
        <w:tabs>
          <w:tab w:val="left" w:pos="9914"/>
        </w:tabs>
        <w:rPr>
          <w:rFonts w:ascii="Calibri" w:hAnsi="Calibri" w:cs="Calibri"/>
        </w:rPr>
      </w:pPr>
      <w:r w:rsidRPr="00203191">
        <w:rPr>
          <w:rFonts w:ascii="Calibri" w:hAnsi="Calibri" w:cs="Calibri"/>
          <w:i/>
          <w:iCs/>
        </w:rPr>
        <w:t>d</w:t>
      </w:r>
      <w:r w:rsidRPr="00203191">
        <w:rPr>
          <w:rFonts w:ascii="Calibri" w:hAnsi="Calibri" w:cs="Calibri"/>
          <w:i/>
          <w:iCs/>
          <w:vertAlign w:val="subscript"/>
        </w:rPr>
        <w:t>10</w:t>
      </w:r>
      <w:r w:rsidRPr="00203191">
        <w:rPr>
          <w:rFonts w:ascii="Calibri" w:hAnsi="Calibri" w:cs="Calibri"/>
        </w:rPr>
        <w:t xml:space="preserve"> - średnica zastępcza oczka sita, poniżej której w gruncie zawarte jest 10% masy, (mm).</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1.4.9.</w:t>
      </w:r>
      <w:r w:rsidRPr="00203191">
        <w:rPr>
          <w:rFonts w:ascii="Calibri" w:hAnsi="Calibri" w:cs="Calibri"/>
          <w:b/>
          <w:bCs/>
        </w:rPr>
        <w:t xml:space="preserve"> </w:t>
      </w:r>
      <w:r w:rsidRPr="00203191">
        <w:rPr>
          <w:rFonts w:ascii="Calibri" w:hAnsi="Calibri" w:cs="Calibri"/>
        </w:rPr>
        <w:t xml:space="preserve">Wskaźnik zagęszczenia gruntu - wielkość charakteryzująca stan zagęszczenia gruntu, określona wg wzoru: </w:t>
      </w:r>
    </w:p>
    <w:p w:rsidR="00656AC1" w:rsidRPr="00203191" w:rsidRDefault="00656AC1" w:rsidP="00364E4D">
      <w:pPr>
        <w:pStyle w:val="Nagwek7"/>
        <w:tabs>
          <w:tab w:val="left" w:pos="9914"/>
        </w:tabs>
        <w:rPr>
          <w:rFonts w:ascii="Calibri" w:hAnsi="Calibri" w:cs="Calibri"/>
        </w:rPr>
      </w:pPr>
      <w:r w:rsidRPr="00203191">
        <w:rPr>
          <w:rFonts w:ascii="Calibri" w:hAnsi="Calibri" w:cs="Calibri"/>
          <w:position w:val="-26"/>
        </w:rPr>
        <w:object w:dxaOrig="780" w:dyaOrig="600">
          <v:shape id="_x0000_i1027" type="#_x0000_t75" style="width:39pt;height:30pt" o:ole="">
            <v:imagedata r:id="rId16" o:title=""/>
          </v:shape>
          <o:OLEObject Type="Embed" ProgID="Equation.3" ShapeID="_x0000_i1027" DrawAspect="Content" ObjectID="_1533961223" r:id="rId17"/>
        </w:object>
      </w:r>
    </w:p>
    <w:p w:rsidR="00656AC1" w:rsidRPr="00203191" w:rsidRDefault="00656AC1" w:rsidP="00364E4D">
      <w:pPr>
        <w:pStyle w:val="Nagwek7"/>
        <w:tabs>
          <w:tab w:val="left" w:pos="9914"/>
        </w:tabs>
        <w:rPr>
          <w:rFonts w:ascii="Calibri" w:hAnsi="Calibri" w:cs="Calibri"/>
        </w:rPr>
      </w:pPr>
      <w:r w:rsidRPr="00203191">
        <w:rPr>
          <w:rFonts w:ascii="Calibri" w:hAnsi="Calibri" w:cs="Calibri"/>
        </w:rPr>
        <w:t>gdzie:</w:t>
      </w:r>
    </w:p>
    <w:p w:rsidR="00656AC1" w:rsidRPr="00203191" w:rsidRDefault="00656AC1" w:rsidP="00364E4D">
      <w:pPr>
        <w:pStyle w:val="Nagwek7"/>
        <w:tabs>
          <w:tab w:val="left" w:pos="9914"/>
        </w:tabs>
        <w:rPr>
          <w:rFonts w:ascii="Calibri" w:hAnsi="Calibri" w:cs="Calibri"/>
        </w:rPr>
      </w:pPr>
      <w:r w:rsidRPr="00203191">
        <w:rPr>
          <w:rFonts w:ascii="Calibri" w:hAnsi="Calibri" w:cs="Calibri"/>
          <w:i/>
          <w:iCs/>
        </w:rPr>
        <w:sym w:font="Symbol" w:char="F072"/>
      </w:r>
      <w:r w:rsidRPr="00203191">
        <w:rPr>
          <w:rFonts w:ascii="Calibri" w:hAnsi="Calibri" w:cs="Calibri"/>
          <w:vertAlign w:val="subscript"/>
        </w:rPr>
        <w:t xml:space="preserve">d </w:t>
      </w:r>
      <w:r w:rsidRPr="00203191">
        <w:rPr>
          <w:rFonts w:ascii="Calibri" w:hAnsi="Calibri" w:cs="Calibri"/>
        </w:rPr>
        <w:t>- gęstość objętościowa szkieletu zagęszczonego gruntu, zgodnie z PN-B-04481:1988, (g/cm</w:t>
      </w:r>
      <w:r w:rsidRPr="00203191">
        <w:rPr>
          <w:rFonts w:ascii="Calibri" w:hAnsi="Calibri" w:cs="Calibri"/>
          <w:vertAlign w:val="superscript"/>
        </w:rPr>
        <w:t>3</w:t>
      </w:r>
      <w:r w:rsidRPr="00203191">
        <w:rPr>
          <w:rFonts w:ascii="Calibri" w:hAnsi="Calibri" w:cs="Calibri"/>
        </w:rPr>
        <w:t xml:space="preserve">), </w:t>
      </w:r>
    </w:p>
    <w:p w:rsidR="00656AC1" w:rsidRPr="00203191" w:rsidRDefault="00656AC1" w:rsidP="00364E4D">
      <w:pPr>
        <w:pStyle w:val="Nagwek7"/>
        <w:tabs>
          <w:tab w:val="left" w:pos="9914"/>
        </w:tabs>
        <w:rPr>
          <w:rFonts w:ascii="Calibri" w:hAnsi="Calibri" w:cs="Calibri"/>
        </w:rPr>
      </w:pPr>
      <w:r w:rsidRPr="00203191">
        <w:rPr>
          <w:rFonts w:ascii="Calibri" w:hAnsi="Calibri" w:cs="Calibri"/>
          <w:i/>
          <w:iCs/>
        </w:rPr>
        <w:lastRenderedPageBreak/>
        <w:sym w:font="Symbol" w:char="F072"/>
      </w:r>
      <w:r w:rsidRPr="00203191">
        <w:rPr>
          <w:rFonts w:ascii="Calibri" w:hAnsi="Calibri" w:cs="Calibri"/>
          <w:vertAlign w:val="subscript"/>
        </w:rPr>
        <w:t>ds.</w:t>
      </w:r>
      <w:r w:rsidRPr="00203191">
        <w:rPr>
          <w:rFonts w:ascii="Calibri" w:hAnsi="Calibri" w:cs="Calibri"/>
        </w:rPr>
        <w:t xml:space="preserve"> - maksymalna gęstość objętościowa szkieletu gruntowego przy wilgotności optymalnej, zgodnie z PN-B-04481:1988, służąca do oceny zagęszczenia gruntu w robotach ziemnych, (g/cm</w:t>
      </w:r>
      <w:r w:rsidRPr="00203191">
        <w:rPr>
          <w:rFonts w:ascii="Calibri" w:hAnsi="Calibri" w:cs="Calibri"/>
          <w:vertAlign w:val="superscript"/>
        </w:rPr>
        <w:t>3</w:t>
      </w:r>
      <w:r w:rsidRPr="00203191">
        <w:rPr>
          <w:rFonts w:ascii="Calibri" w:hAnsi="Calibri" w:cs="Calibri"/>
        </w:rPr>
        <w:t>).</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1.4.10.</w:t>
      </w:r>
      <w:r w:rsidRPr="00203191">
        <w:rPr>
          <w:rFonts w:ascii="Calibri" w:hAnsi="Calibri" w:cs="Calibri"/>
          <w:b/>
          <w:bCs/>
        </w:rPr>
        <w:t xml:space="preserve"> </w:t>
      </w:r>
      <w:r w:rsidRPr="00203191">
        <w:rPr>
          <w:rFonts w:ascii="Calibri" w:hAnsi="Calibri" w:cs="Calibri"/>
        </w:rPr>
        <w:t>Wykop płytki - wykop, którego głębokość jest mniejsza niż 1 m.</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 xml:space="preserve">1.4.11. </w:t>
      </w:r>
      <w:r w:rsidRPr="00203191">
        <w:rPr>
          <w:rFonts w:ascii="Calibri" w:hAnsi="Calibri" w:cs="Calibri"/>
        </w:rPr>
        <w:t>Wykop średni - wykop, którego głębokość jest zawarta w granicach od 1 do 3 m.</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1.4.12.</w:t>
      </w:r>
      <w:r w:rsidRPr="00203191">
        <w:rPr>
          <w:rFonts w:ascii="Calibri" w:hAnsi="Calibri" w:cs="Calibri"/>
          <w:b/>
          <w:bCs/>
        </w:rPr>
        <w:t xml:space="preserve"> </w:t>
      </w:r>
      <w:r w:rsidRPr="00203191">
        <w:rPr>
          <w:rFonts w:ascii="Calibri" w:hAnsi="Calibri" w:cs="Calibri"/>
        </w:rPr>
        <w:t>Wykop głęboki - wykop, którego głębokość przekracza 3 m.</w:t>
      </w:r>
    </w:p>
    <w:p w:rsidR="00656AC1" w:rsidRPr="00203191" w:rsidRDefault="00656AC1" w:rsidP="00364E4D">
      <w:pPr>
        <w:pStyle w:val="Nagwek7"/>
        <w:tabs>
          <w:tab w:val="left" w:pos="9914"/>
        </w:tabs>
        <w:rPr>
          <w:rFonts w:ascii="Calibri" w:hAnsi="Calibri" w:cs="Calibri"/>
        </w:rPr>
      </w:pPr>
      <w:r w:rsidRPr="00203191">
        <w:rPr>
          <w:rFonts w:ascii="Calibri" w:hAnsi="Calibri" w:cs="Calibri"/>
          <w:b/>
          <w:bCs/>
          <w:i/>
          <w:iCs/>
        </w:rPr>
        <w:t>1.4.13</w:t>
      </w:r>
      <w:r w:rsidRPr="00203191">
        <w:rPr>
          <w:rFonts w:ascii="Calibri" w:hAnsi="Calibri" w:cs="Calibri"/>
          <w:b/>
          <w:bCs/>
        </w:rPr>
        <w:t xml:space="preserve">. </w:t>
      </w:r>
      <w:r w:rsidRPr="00203191">
        <w:rPr>
          <w:rFonts w:ascii="Calibri" w:hAnsi="Calibri" w:cs="Calibri"/>
        </w:rPr>
        <w:t xml:space="preserve">Pozostałe określenia podstawowe są zgodne z obowiązującymi, odpowiednimi polskimi normami i z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203191" w:rsidRDefault="00656AC1" w:rsidP="00364E4D">
      <w:pPr>
        <w:pStyle w:val="Nagwek4"/>
        <w:tabs>
          <w:tab w:val="left" w:pos="9914"/>
        </w:tabs>
        <w:rPr>
          <w:rFonts w:ascii="Calibri" w:hAnsi="Calibri" w:cs="Calibri"/>
        </w:rPr>
      </w:pPr>
      <w:bookmarkStart w:id="151" w:name="_Toc407161218"/>
      <w:r w:rsidRPr="00203191">
        <w:rPr>
          <w:rFonts w:ascii="Calibri" w:hAnsi="Calibri" w:cs="Calibri"/>
        </w:rPr>
        <w:t>1.5. Ogólne wymagania dotyczące robót</w:t>
      </w:r>
      <w:bookmarkEnd w:id="151"/>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D-M-00.00.01 pkt 1.5.</w:t>
      </w:r>
    </w:p>
    <w:p w:rsidR="00656AC1" w:rsidRPr="00203191" w:rsidRDefault="00656AC1" w:rsidP="00364E4D">
      <w:pPr>
        <w:pStyle w:val="Nagwek3"/>
        <w:tabs>
          <w:tab w:val="left" w:pos="9914"/>
        </w:tabs>
        <w:rPr>
          <w:rFonts w:ascii="Calibri" w:hAnsi="Calibri" w:cs="Calibri"/>
        </w:rPr>
      </w:pPr>
      <w:bookmarkStart w:id="152" w:name="_Toc407161219"/>
      <w:bookmarkStart w:id="153" w:name="_Toc418994926"/>
      <w:bookmarkStart w:id="154" w:name="_Toc418996333"/>
      <w:bookmarkStart w:id="155" w:name="_Toc418996702"/>
      <w:bookmarkStart w:id="156" w:name="_Toc418997089"/>
      <w:bookmarkStart w:id="157" w:name="_Toc418998499"/>
      <w:bookmarkStart w:id="158" w:name="_Toc418998855"/>
      <w:bookmarkStart w:id="159" w:name="_Toc419000100"/>
      <w:r w:rsidRPr="00203191">
        <w:rPr>
          <w:rFonts w:ascii="Calibri" w:hAnsi="Calibri" w:cs="Calibri"/>
        </w:rPr>
        <w:t>2. MATERIAŁY (GRUNTY)</w:t>
      </w:r>
      <w:bookmarkEnd w:id="152"/>
      <w:bookmarkEnd w:id="153"/>
      <w:bookmarkEnd w:id="154"/>
      <w:bookmarkEnd w:id="155"/>
      <w:bookmarkEnd w:id="156"/>
      <w:bookmarkEnd w:id="157"/>
      <w:bookmarkEnd w:id="158"/>
      <w:bookmarkEnd w:id="159"/>
    </w:p>
    <w:p w:rsidR="00656AC1" w:rsidRPr="00203191" w:rsidRDefault="00656AC1" w:rsidP="00364E4D">
      <w:pPr>
        <w:tabs>
          <w:tab w:val="left" w:pos="9914"/>
        </w:tabs>
        <w:rPr>
          <w:rFonts w:ascii="Calibri" w:hAnsi="Calibri" w:cs="Calibri"/>
        </w:rPr>
      </w:pPr>
      <w:r w:rsidRPr="00203191">
        <w:rPr>
          <w:rFonts w:ascii="Calibri" w:hAnsi="Calibri" w:cs="Calibri"/>
        </w:rPr>
        <w:t>Materiał występujący w podłożu wykopu jest gruntem rodzimym, który będzie stanowił podłoże nawierzchni. Zgodnie z Katalogiem typowych konstrukcji nawierzchni podatnych i półsztywnych powinien charakteryzować się grupą nośności G</w:t>
      </w:r>
      <w:r w:rsidRPr="00203191">
        <w:rPr>
          <w:rFonts w:ascii="Calibri" w:hAnsi="Calibri" w:cs="Calibri"/>
          <w:vertAlign w:val="subscript"/>
        </w:rPr>
        <w:t>1</w:t>
      </w:r>
      <w:r w:rsidRPr="00203191">
        <w:rPr>
          <w:rFonts w:ascii="Calibri" w:hAnsi="Calibri" w:cs="Calibri"/>
        </w:rPr>
        <w:t>.</w:t>
      </w:r>
      <w:r w:rsidRPr="00203191">
        <w:rPr>
          <w:rFonts w:ascii="Calibri" w:hAnsi="Calibri" w:cs="Calibri"/>
          <w:vertAlign w:val="subscript"/>
        </w:rPr>
        <w:t xml:space="preserve"> </w:t>
      </w:r>
      <w:r w:rsidRPr="00203191">
        <w:rPr>
          <w:rFonts w:ascii="Calibri" w:hAnsi="Calibri" w:cs="Calibri"/>
        </w:rPr>
        <w:t xml:space="preserve"> Gdy podłoże nawierzchni zaklasyfikowano do innej grupy nośności, należy podłoże doprowadzić do grupy nośności G</w:t>
      </w:r>
      <w:r w:rsidRPr="00203191">
        <w:rPr>
          <w:rFonts w:ascii="Calibri" w:hAnsi="Calibri" w:cs="Calibri"/>
          <w:vertAlign w:val="subscript"/>
        </w:rPr>
        <w:t>1</w:t>
      </w:r>
      <w:r w:rsidRPr="00203191">
        <w:rPr>
          <w:rFonts w:ascii="Calibri" w:hAnsi="Calibri" w:cs="Calibri"/>
        </w:rPr>
        <w:t xml:space="preserve"> zgodnie z dokumentacja projektową.</w:t>
      </w:r>
    </w:p>
    <w:p w:rsidR="00656AC1" w:rsidRPr="00203191" w:rsidRDefault="00656AC1" w:rsidP="00364E4D">
      <w:pPr>
        <w:tabs>
          <w:tab w:val="left" w:pos="9914"/>
        </w:tabs>
        <w:rPr>
          <w:rFonts w:ascii="Calibri" w:hAnsi="Calibri" w:cs="Calibri"/>
        </w:rPr>
      </w:pPr>
      <w:r w:rsidRPr="00203191">
        <w:rPr>
          <w:rFonts w:ascii="Calibri" w:hAnsi="Calibri" w:cs="Calibri"/>
        </w:rPr>
        <w:t>Badanie określające grupę nośności określa Katalog Typowych Konstrukcji Nawierzchni. W skład powyższych badań wchodzą:</w:t>
      </w:r>
    </w:p>
    <w:p w:rsidR="00656AC1" w:rsidRPr="00203191" w:rsidRDefault="00656AC1" w:rsidP="00973D29">
      <w:pPr>
        <w:numPr>
          <w:ilvl w:val="0"/>
          <w:numId w:val="24"/>
        </w:numPr>
        <w:tabs>
          <w:tab w:val="left" w:pos="9914"/>
        </w:tabs>
        <w:rPr>
          <w:rFonts w:ascii="Calibri" w:hAnsi="Calibri" w:cs="Calibri"/>
        </w:rPr>
      </w:pPr>
      <w:r w:rsidRPr="00203191">
        <w:rPr>
          <w:rFonts w:ascii="Calibri" w:hAnsi="Calibri" w:cs="Calibri"/>
        </w:rPr>
        <w:t>Rozpoznanie warunków wodnych</w:t>
      </w:r>
    </w:p>
    <w:p w:rsidR="00656AC1" w:rsidRPr="00203191" w:rsidRDefault="00656AC1" w:rsidP="00973D29">
      <w:pPr>
        <w:numPr>
          <w:ilvl w:val="0"/>
          <w:numId w:val="24"/>
        </w:numPr>
        <w:tabs>
          <w:tab w:val="left" w:pos="9914"/>
        </w:tabs>
        <w:rPr>
          <w:rFonts w:ascii="Calibri" w:hAnsi="Calibri" w:cs="Calibri"/>
        </w:rPr>
      </w:pPr>
      <w:r w:rsidRPr="00203191">
        <w:rPr>
          <w:rFonts w:ascii="Calibri" w:hAnsi="Calibri" w:cs="Calibri"/>
        </w:rPr>
        <w:t>Określenie stopnia wysadzinowości gruntu na podstawie opisu makroskopowego, analizy granulometrycznej, oznaczenia wskaźnika piaskowego (WP wg normy PN-EN 933-8:2001) i kapilarności biernej (H</w:t>
      </w:r>
      <w:r w:rsidRPr="00203191">
        <w:rPr>
          <w:rFonts w:ascii="Calibri" w:hAnsi="Calibri" w:cs="Calibri"/>
          <w:vertAlign w:val="subscript"/>
        </w:rPr>
        <w:t>kb</w:t>
      </w:r>
      <w:r w:rsidRPr="00203191">
        <w:rPr>
          <w:rFonts w:ascii="Calibri" w:hAnsi="Calibri" w:cs="Calibri"/>
        </w:rPr>
        <w:t xml:space="preserve"> wg normy PN-B-04493:1960) (tablica nr 6 Katalog Typowych Konstrukcji Nawierzchni)</w:t>
      </w:r>
    </w:p>
    <w:p w:rsidR="00656AC1" w:rsidRPr="00203191" w:rsidRDefault="00656AC1" w:rsidP="00973D29">
      <w:pPr>
        <w:numPr>
          <w:ilvl w:val="0"/>
          <w:numId w:val="24"/>
        </w:numPr>
        <w:tabs>
          <w:tab w:val="left" w:pos="9914"/>
        </w:tabs>
        <w:rPr>
          <w:rFonts w:ascii="Calibri" w:hAnsi="Calibri" w:cs="Calibri"/>
        </w:rPr>
      </w:pPr>
      <w:r w:rsidRPr="00203191">
        <w:rPr>
          <w:rFonts w:ascii="Calibri" w:hAnsi="Calibri" w:cs="Calibri"/>
        </w:rPr>
        <w:t xml:space="preserve">Dla gruntów wątpliwych i wysadzinowych jako dodatkowe stosuje się badanie wskaźnika nośności CBR wg PN-S- 02205:1998 (zał A) po 4 dobach nasycenia wodą (tablica nr 7 Katalog Typowych Konstrukcji Nawierzchni) </w:t>
      </w:r>
    </w:p>
    <w:p w:rsidR="00656AC1" w:rsidRPr="00203191" w:rsidRDefault="00656AC1" w:rsidP="00364E4D">
      <w:pPr>
        <w:tabs>
          <w:tab w:val="left" w:pos="9914"/>
        </w:tabs>
        <w:rPr>
          <w:rFonts w:ascii="Calibri" w:hAnsi="Calibri" w:cs="Calibri"/>
        </w:rPr>
      </w:pPr>
      <w:r w:rsidRPr="00203191">
        <w:rPr>
          <w:rFonts w:ascii="Calibri" w:hAnsi="Calibri" w:cs="Calibri"/>
        </w:rPr>
        <w:t>Jeżeli ocena grup nośności uzyskana na podstawie badań różnymi metodami są rozbieżne, to przyjmuje się wynik najmniej korzystny</w:t>
      </w:r>
    </w:p>
    <w:p w:rsidR="00656AC1" w:rsidRPr="00203191" w:rsidRDefault="00656AC1" w:rsidP="00364E4D">
      <w:pPr>
        <w:pStyle w:val="Nagwek3"/>
        <w:tabs>
          <w:tab w:val="left" w:pos="9914"/>
        </w:tabs>
        <w:rPr>
          <w:rFonts w:ascii="Calibri" w:hAnsi="Calibri" w:cs="Calibri"/>
        </w:rPr>
      </w:pPr>
      <w:bookmarkStart w:id="160" w:name="_Toc407161220"/>
      <w:bookmarkStart w:id="161" w:name="_Toc418994927"/>
      <w:bookmarkStart w:id="162" w:name="_Toc418996334"/>
      <w:bookmarkStart w:id="163" w:name="_Toc418996703"/>
      <w:bookmarkStart w:id="164" w:name="_Toc418997090"/>
      <w:bookmarkStart w:id="165" w:name="_Toc418998500"/>
      <w:bookmarkStart w:id="166" w:name="_Toc418998856"/>
      <w:bookmarkStart w:id="167" w:name="_Toc419000101"/>
      <w:r w:rsidRPr="00203191">
        <w:rPr>
          <w:rFonts w:ascii="Calibri" w:hAnsi="Calibri" w:cs="Calibri"/>
        </w:rPr>
        <w:t>3. SPRZĘT</w:t>
      </w:r>
      <w:bookmarkEnd w:id="160"/>
      <w:bookmarkEnd w:id="161"/>
      <w:bookmarkEnd w:id="162"/>
      <w:bookmarkEnd w:id="163"/>
      <w:bookmarkEnd w:id="164"/>
      <w:bookmarkEnd w:id="165"/>
      <w:bookmarkEnd w:id="166"/>
      <w:bookmarkEnd w:id="167"/>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wymagania i ustalenia dotyczące sprzętu określono w </w:t>
      </w:r>
      <w:r w:rsidR="005B48CA">
        <w:rPr>
          <w:rFonts w:ascii="Calibri" w:hAnsi="Calibri" w:cs="Calibri"/>
        </w:rPr>
        <w:t>STWiORB</w:t>
      </w:r>
      <w:r w:rsidRPr="00203191">
        <w:rPr>
          <w:rFonts w:ascii="Calibri" w:hAnsi="Calibri" w:cs="Calibri"/>
        </w:rPr>
        <w:t xml:space="preserve">  D-M-00.00.00 pkt 3.</w:t>
      </w:r>
    </w:p>
    <w:p w:rsidR="00656AC1" w:rsidRPr="00203191" w:rsidRDefault="00656AC1" w:rsidP="00364E4D">
      <w:pPr>
        <w:pStyle w:val="Nagwek3"/>
        <w:tabs>
          <w:tab w:val="left" w:pos="9914"/>
        </w:tabs>
        <w:rPr>
          <w:rFonts w:ascii="Calibri" w:hAnsi="Calibri" w:cs="Calibri"/>
        </w:rPr>
      </w:pPr>
      <w:bookmarkStart w:id="168" w:name="_Toc407161221"/>
      <w:bookmarkStart w:id="169" w:name="_Toc418994928"/>
      <w:bookmarkStart w:id="170" w:name="_Toc418996335"/>
      <w:bookmarkStart w:id="171" w:name="_Toc418996704"/>
      <w:bookmarkStart w:id="172" w:name="_Toc418997091"/>
      <w:bookmarkStart w:id="173" w:name="_Toc418998501"/>
      <w:bookmarkStart w:id="174" w:name="_Toc418998857"/>
      <w:bookmarkStart w:id="175" w:name="_Toc419000102"/>
      <w:r w:rsidRPr="00203191">
        <w:rPr>
          <w:rFonts w:ascii="Calibri" w:hAnsi="Calibri" w:cs="Calibri"/>
        </w:rPr>
        <w:t>4. TRANSPORT</w:t>
      </w:r>
      <w:bookmarkEnd w:id="168"/>
      <w:bookmarkEnd w:id="169"/>
      <w:bookmarkEnd w:id="170"/>
      <w:bookmarkEnd w:id="171"/>
      <w:bookmarkEnd w:id="172"/>
      <w:bookmarkEnd w:id="173"/>
      <w:bookmarkEnd w:id="174"/>
      <w:bookmarkEnd w:id="175"/>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wymagania i ustalenia dotyczące transportu określono w </w:t>
      </w:r>
      <w:r w:rsidR="005B48CA">
        <w:rPr>
          <w:rFonts w:ascii="Calibri" w:hAnsi="Calibri" w:cs="Calibri"/>
        </w:rPr>
        <w:t>STWiORB</w:t>
      </w:r>
      <w:r w:rsidRPr="00203191">
        <w:rPr>
          <w:rFonts w:ascii="Calibri" w:hAnsi="Calibri" w:cs="Calibri"/>
        </w:rPr>
        <w:t xml:space="preserve"> D-M-00.00.00 pkt 4.</w:t>
      </w:r>
    </w:p>
    <w:p w:rsidR="00656AC1" w:rsidRPr="00203191" w:rsidRDefault="00656AC1" w:rsidP="00364E4D">
      <w:pPr>
        <w:pStyle w:val="Nagwek3"/>
        <w:tabs>
          <w:tab w:val="left" w:pos="9914"/>
        </w:tabs>
        <w:rPr>
          <w:rFonts w:ascii="Calibri" w:hAnsi="Calibri" w:cs="Calibri"/>
        </w:rPr>
      </w:pPr>
      <w:bookmarkStart w:id="176" w:name="_Toc407161222"/>
      <w:bookmarkStart w:id="177" w:name="_Toc418994929"/>
      <w:bookmarkStart w:id="178" w:name="_Toc418996336"/>
      <w:bookmarkStart w:id="179" w:name="_Toc418996705"/>
      <w:bookmarkStart w:id="180" w:name="_Toc418997092"/>
      <w:bookmarkStart w:id="181" w:name="_Toc418998502"/>
      <w:bookmarkStart w:id="182" w:name="_Toc418998858"/>
      <w:bookmarkStart w:id="183" w:name="_Toc419000103"/>
      <w:r w:rsidRPr="00203191">
        <w:rPr>
          <w:rFonts w:ascii="Calibri" w:hAnsi="Calibri" w:cs="Calibri"/>
        </w:rPr>
        <w:t>5. WYKONANIE ROBÓT</w:t>
      </w:r>
      <w:bookmarkEnd w:id="176"/>
      <w:bookmarkEnd w:id="177"/>
      <w:bookmarkEnd w:id="178"/>
      <w:bookmarkEnd w:id="179"/>
      <w:bookmarkEnd w:id="180"/>
      <w:bookmarkEnd w:id="181"/>
      <w:bookmarkEnd w:id="182"/>
      <w:bookmarkEnd w:id="183"/>
    </w:p>
    <w:p w:rsidR="00656AC1" w:rsidRPr="00203191" w:rsidRDefault="00656AC1" w:rsidP="00364E4D">
      <w:pPr>
        <w:pStyle w:val="Nagwek4"/>
        <w:tabs>
          <w:tab w:val="left" w:pos="9914"/>
        </w:tabs>
        <w:rPr>
          <w:rFonts w:ascii="Calibri" w:hAnsi="Calibri" w:cs="Calibri"/>
        </w:rPr>
      </w:pPr>
      <w:bookmarkStart w:id="184" w:name="_Toc407161223"/>
      <w:r w:rsidRPr="00203191">
        <w:rPr>
          <w:rFonts w:ascii="Calibri" w:hAnsi="Calibri" w:cs="Calibri"/>
        </w:rPr>
        <w:t>5.1. Zasady prowadzenia robót</w:t>
      </w:r>
      <w:bookmarkEnd w:id="184"/>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zasady prowadzenia robót podano w </w:t>
      </w:r>
      <w:r w:rsidR="005B48CA">
        <w:rPr>
          <w:rFonts w:ascii="Calibri" w:hAnsi="Calibri" w:cs="Calibri"/>
        </w:rPr>
        <w:t>STWiORB</w:t>
      </w:r>
      <w:r w:rsidRPr="00203191">
        <w:rPr>
          <w:rFonts w:ascii="Calibri" w:hAnsi="Calibri" w:cs="Calibri"/>
        </w:rPr>
        <w:t xml:space="preserve"> D-M-00.00.00 pkt 5.</w:t>
      </w:r>
    </w:p>
    <w:p w:rsidR="00656AC1" w:rsidRPr="00203191" w:rsidRDefault="00656AC1" w:rsidP="00364E4D">
      <w:pPr>
        <w:tabs>
          <w:tab w:val="left" w:pos="9914"/>
        </w:tabs>
        <w:rPr>
          <w:rFonts w:ascii="Calibri" w:hAnsi="Calibri" w:cs="Calibri"/>
        </w:rPr>
      </w:pPr>
      <w:r w:rsidRPr="00203191">
        <w:rPr>
          <w:rFonts w:ascii="Calibri" w:hAnsi="Calibri" w:cs="Calibri"/>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656AC1" w:rsidRPr="00203191" w:rsidRDefault="00656AC1" w:rsidP="00364E4D">
      <w:pPr>
        <w:tabs>
          <w:tab w:val="left" w:pos="9914"/>
        </w:tabs>
        <w:rPr>
          <w:rFonts w:ascii="Calibri" w:hAnsi="Calibri" w:cs="Calibri"/>
        </w:rPr>
      </w:pPr>
      <w:r w:rsidRPr="00203191">
        <w:rPr>
          <w:rFonts w:ascii="Calibri" w:hAnsi="Calibri" w:cs="Calibri"/>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 projektu.</w:t>
      </w:r>
    </w:p>
    <w:p w:rsidR="00656AC1" w:rsidRPr="00203191" w:rsidRDefault="00656AC1" w:rsidP="00364E4D">
      <w:pPr>
        <w:tabs>
          <w:tab w:val="left" w:pos="9914"/>
        </w:tabs>
        <w:rPr>
          <w:rFonts w:ascii="Calibri" w:hAnsi="Calibri" w:cs="Calibri"/>
        </w:rPr>
      </w:pPr>
      <w:r w:rsidRPr="00203191">
        <w:rPr>
          <w:rFonts w:ascii="Calibri" w:hAnsi="Calibri" w:cs="Calibri"/>
        </w:rPr>
        <w:t>Odspojone grunty przydatne do wykonania nasypów powinny być bezpośrednio wbudowane w nasyp lub przewiezione na odkład. O ile Inżynier dopuści czasowe składowanie odspojonych  gruntów, należy je odpowiednio zabezpieczyć przed nadmiernym zawilgoceniem.</w:t>
      </w:r>
    </w:p>
    <w:p w:rsidR="00656AC1" w:rsidRPr="00203191" w:rsidRDefault="00656AC1" w:rsidP="00364E4D">
      <w:pPr>
        <w:pStyle w:val="Nagwek4"/>
        <w:tabs>
          <w:tab w:val="left" w:pos="9914"/>
        </w:tabs>
        <w:rPr>
          <w:rFonts w:ascii="Calibri" w:hAnsi="Calibri" w:cs="Calibri"/>
        </w:rPr>
      </w:pPr>
      <w:bookmarkStart w:id="185" w:name="_Toc407161224"/>
      <w:r w:rsidRPr="00203191">
        <w:rPr>
          <w:rFonts w:ascii="Calibri" w:hAnsi="Calibri" w:cs="Calibri"/>
        </w:rPr>
        <w:lastRenderedPageBreak/>
        <w:t>5.2. Wymagania dotyczące zagęszczenia</w:t>
      </w:r>
      <w:bookmarkEnd w:id="185"/>
      <w:r w:rsidRPr="00203191">
        <w:rPr>
          <w:rFonts w:ascii="Calibri" w:hAnsi="Calibri" w:cs="Calibri"/>
        </w:rPr>
        <w:t xml:space="preserve"> i nośności gruntu</w:t>
      </w:r>
    </w:p>
    <w:p w:rsidR="00656AC1" w:rsidRPr="00203191" w:rsidRDefault="00656AC1" w:rsidP="00364E4D">
      <w:pPr>
        <w:tabs>
          <w:tab w:val="left" w:pos="9914"/>
        </w:tabs>
        <w:rPr>
          <w:rFonts w:ascii="Calibri" w:hAnsi="Calibri" w:cs="Calibri"/>
        </w:rPr>
      </w:pPr>
      <w:r w:rsidRPr="00203191">
        <w:rPr>
          <w:rFonts w:ascii="Calibri" w:hAnsi="Calibri" w:cs="Calibri"/>
        </w:rPr>
        <w:t>Zagęszczenie gruntu w wykopach i miejscach zerowych robót ziemnych powinno spełniać wymagania, dotyczące minimalnej wartości wskaźnika zagęszczenia (I</w:t>
      </w:r>
      <w:r w:rsidRPr="00203191">
        <w:rPr>
          <w:rFonts w:ascii="Calibri" w:hAnsi="Calibri" w:cs="Calibri"/>
          <w:vertAlign w:val="subscript"/>
        </w:rPr>
        <w:t>s</w:t>
      </w:r>
      <w:r w:rsidRPr="00203191">
        <w:rPr>
          <w:rFonts w:ascii="Calibri" w:hAnsi="Calibri" w:cs="Calibri"/>
        </w:rPr>
        <w:t>) określonego wg BN-77/8931-12 oraz minimalnej wartości wtórnego modułu odkształcenia podłoża wg normy PN-S-02205:1998 (zał B)., podanych w tablicy 1.</w:t>
      </w:r>
    </w:p>
    <w:p w:rsidR="00656AC1" w:rsidRPr="00203191" w:rsidRDefault="00656AC1" w:rsidP="00364E4D">
      <w:pPr>
        <w:tabs>
          <w:tab w:val="left" w:pos="9914"/>
        </w:tabs>
        <w:rPr>
          <w:rFonts w:ascii="Calibri" w:hAnsi="Calibri" w:cs="Calibri"/>
        </w:rPr>
      </w:pPr>
      <w:r w:rsidRPr="00203191">
        <w:rPr>
          <w:rFonts w:ascii="Calibri" w:hAnsi="Calibri" w:cs="Calibri"/>
        </w:rPr>
        <w:t>Dla badania wskaźnika zagęszczenia wg BN-77/8931-12 dopuszcza się użycie wszystkich metod określonych w normie</w:t>
      </w:r>
    </w:p>
    <w:p w:rsidR="00656AC1" w:rsidRPr="00203191" w:rsidRDefault="00656AC1" w:rsidP="00364E4D">
      <w:pPr>
        <w:tabs>
          <w:tab w:val="left" w:pos="9914"/>
        </w:tabs>
        <w:rPr>
          <w:rFonts w:ascii="Calibri" w:hAnsi="Calibri" w:cs="Calibri"/>
        </w:rPr>
      </w:pPr>
      <w:r w:rsidRPr="00203191">
        <w:rPr>
          <w:rFonts w:ascii="Calibri" w:hAnsi="Calibri" w:cs="Calibri"/>
        </w:rPr>
        <w:t>Alternatywną metodą sprawdzenia zagęszczenia gruntu jest wyznaczenia wskaźnika odkształcenia I</w:t>
      </w:r>
      <w:r w:rsidRPr="00203191">
        <w:rPr>
          <w:rFonts w:ascii="Calibri" w:hAnsi="Calibri" w:cs="Calibri"/>
          <w:vertAlign w:val="subscript"/>
        </w:rPr>
        <w:t>o</w:t>
      </w:r>
      <w:r w:rsidRPr="00203191">
        <w:rPr>
          <w:rFonts w:ascii="Calibri" w:hAnsi="Calibri" w:cs="Calibri"/>
        </w:rPr>
        <w:t xml:space="preserve"> =E</w:t>
      </w:r>
      <w:r w:rsidRPr="00203191">
        <w:rPr>
          <w:rFonts w:ascii="Calibri" w:hAnsi="Calibri" w:cs="Calibri"/>
          <w:vertAlign w:val="subscript"/>
        </w:rPr>
        <w:t>2</w:t>
      </w:r>
      <w:r w:rsidRPr="00203191">
        <w:rPr>
          <w:rFonts w:ascii="Calibri" w:hAnsi="Calibri" w:cs="Calibri"/>
        </w:rPr>
        <w:t>/E</w:t>
      </w:r>
      <w:r w:rsidRPr="00203191">
        <w:rPr>
          <w:rFonts w:ascii="Calibri" w:hAnsi="Calibri" w:cs="Calibri"/>
          <w:vertAlign w:val="subscript"/>
        </w:rPr>
        <w:t>1</w:t>
      </w:r>
      <w:r w:rsidRPr="00203191">
        <w:rPr>
          <w:rFonts w:ascii="Calibri" w:hAnsi="Calibri" w:cs="Calibri"/>
        </w:rPr>
        <w:t xml:space="preserve"> wg załącznika B normy PN-S-02205:1998. </w:t>
      </w:r>
      <w:r w:rsidR="00FE60E3" w:rsidRPr="00FE60E3">
        <w:rPr>
          <w:rFonts w:asciiTheme="minorHAnsi" w:hAnsiTheme="minorHAnsi"/>
          <w:color w:val="000000"/>
          <w:spacing w:val="-4"/>
        </w:rPr>
        <w:t xml:space="preserve">Wtórny moduł odkształcenia (E2) należy oznaczyć przy wtórnym (drugim) obciążeniu płytą o </w:t>
      </w:r>
      <w:r w:rsidR="00FE60E3" w:rsidRPr="00FE60E3">
        <w:rPr>
          <w:rFonts w:asciiTheme="minorHAnsi" w:hAnsiTheme="minorHAnsi"/>
          <w:color w:val="000000"/>
          <w:spacing w:val="-1"/>
        </w:rPr>
        <w:t xml:space="preserve">średnicy </w:t>
      </w:r>
      <w:r w:rsidR="00FE60E3" w:rsidRPr="00FE60E3">
        <w:rPr>
          <w:rFonts w:asciiTheme="minorHAnsi" w:hAnsiTheme="minorHAnsi"/>
          <w:b/>
          <w:bCs/>
          <w:color w:val="000000"/>
          <w:spacing w:val="-1"/>
        </w:rPr>
        <w:t xml:space="preserve">&gt; </w:t>
      </w:r>
      <w:r w:rsidR="00FE60E3" w:rsidRPr="00FE60E3">
        <w:rPr>
          <w:rFonts w:asciiTheme="minorHAnsi" w:hAnsiTheme="minorHAnsi"/>
          <w:color w:val="000000"/>
          <w:spacing w:val="-1"/>
        </w:rPr>
        <w:t xml:space="preserve">30 cm zgodnie z załącznikiem normy PN-S-02205. Badanie należy przeprowadzić </w:t>
      </w:r>
      <w:r w:rsidR="00FE60E3" w:rsidRPr="00FE60E3">
        <w:rPr>
          <w:rFonts w:asciiTheme="minorHAnsi" w:hAnsiTheme="minorHAnsi"/>
          <w:color w:val="000000"/>
          <w:spacing w:val="-5"/>
        </w:rPr>
        <w:t>w zakresie od 0,00 do 0,25 MPa</w:t>
      </w:r>
      <w:r w:rsidR="00FE60E3">
        <w:rPr>
          <w:color w:val="000000"/>
          <w:spacing w:val="-5"/>
        </w:rPr>
        <w:t xml:space="preserve">. </w:t>
      </w:r>
      <w:r w:rsidRPr="00203191">
        <w:rPr>
          <w:rFonts w:ascii="Calibri" w:hAnsi="Calibri" w:cs="Calibri"/>
        </w:rPr>
        <w:t>Grunt uważa się za dobrze zagęszczony, gdy wskaźnik odkształcenia nie przekracza 2,2. Metodę tę należy stosować przy głębokościach większych niż 0,2 m</w:t>
      </w:r>
    </w:p>
    <w:p w:rsidR="00656AC1" w:rsidRPr="00203191" w:rsidRDefault="00656AC1" w:rsidP="00364E4D">
      <w:pPr>
        <w:tabs>
          <w:tab w:val="left" w:pos="9914"/>
        </w:tabs>
        <w:rPr>
          <w:rFonts w:ascii="Calibri" w:hAnsi="Calibri" w:cs="Calibri"/>
        </w:rPr>
      </w:pPr>
    </w:p>
    <w:p w:rsidR="00656AC1" w:rsidRPr="00203191" w:rsidRDefault="00656AC1" w:rsidP="00364E4D">
      <w:pPr>
        <w:tabs>
          <w:tab w:val="left" w:pos="9914"/>
        </w:tabs>
        <w:rPr>
          <w:rFonts w:ascii="Calibri" w:hAnsi="Calibri" w:cs="Calibri"/>
        </w:rPr>
      </w:pPr>
      <w:r w:rsidRPr="00203191">
        <w:rPr>
          <w:rFonts w:ascii="Calibri" w:hAnsi="Calibri" w:cs="Calibri"/>
        </w:rPr>
        <w:t>Tablica 1. Minimalne wartości wskaźnika zagęszczenia i nośności w wykopach i miejscach zerowych robót ziemnych</w:t>
      </w:r>
    </w:p>
    <w:tbl>
      <w:tblPr>
        <w:tblW w:w="7583" w:type="dxa"/>
        <w:tblLayout w:type="fixed"/>
        <w:tblCellMar>
          <w:left w:w="70" w:type="dxa"/>
          <w:right w:w="70" w:type="dxa"/>
        </w:tblCellMar>
        <w:tblLook w:val="0000"/>
      </w:tblPr>
      <w:tblGrid>
        <w:gridCol w:w="5262"/>
        <w:gridCol w:w="2321"/>
      </w:tblGrid>
      <w:tr w:rsidR="00FE60E3" w:rsidRPr="008C309F" w:rsidTr="00333F85">
        <w:trPr>
          <w:trHeight w:val="750"/>
        </w:trPr>
        <w:tc>
          <w:tcPr>
            <w:tcW w:w="5262" w:type="dxa"/>
            <w:tcBorders>
              <w:top w:val="single" w:sz="4" w:space="0" w:color="auto"/>
              <w:left w:val="single" w:sz="4" w:space="0" w:color="auto"/>
              <w:bottom w:val="single" w:sz="4" w:space="0" w:color="auto"/>
            </w:tcBorders>
          </w:tcPr>
          <w:p w:rsidR="00FE60E3" w:rsidRPr="008C309F" w:rsidRDefault="00FE60E3" w:rsidP="00333F85">
            <w:pPr>
              <w:jc w:val="center"/>
              <w:rPr>
                <w:b/>
              </w:rPr>
            </w:pPr>
            <w:r w:rsidRPr="008C309F">
              <w:rPr>
                <w:b/>
              </w:rPr>
              <w:t>Strefa</w:t>
            </w:r>
          </w:p>
          <w:p w:rsidR="00FE60E3" w:rsidRPr="008C309F" w:rsidRDefault="00FE60E3" w:rsidP="00333F85">
            <w:pPr>
              <w:jc w:val="center"/>
              <w:rPr>
                <w:b/>
              </w:rPr>
            </w:pPr>
            <w:r w:rsidRPr="008C309F">
              <w:rPr>
                <w:b/>
              </w:rPr>
              <w:t>korpusu</w:t>
            </w:r>
          </w:p>
        </w:tc>
        <w:tc>
          <w:tcPr>
            <w:tcW w:w="2321" w:type="dxa"/>
            <w:tcBorders>
              <w:top w:val="single" w:sz="4" w:space="0" w:color="auto"/>
              <w:left w:val="single" w:sz="6" w:space="0" w:color="auto"/>
              <w:bottom w:val="single" w:sz="4" w:space="0" w:color="auto"/>
              <w:right w:val="single" w:sz="4" w:space="0" w:color="auto"/>
            </w:tcBorders>
          </w:tcPr>
          <w:p w:rsidR="00FE60E3" w:rsidRPr="008C309F" w:rsidRDefault="00FE60E3" w:rsidP="00333F85">
            <w:pPr>
              <w:jc w:val="center"/>
              <w:rPr>
                <w:b/>
              </w:rPr>
            </w:pPr>
            <w:r w:rsidRPr="008C309F">
              <w:rPr>
                <w:b/>
              </w:rPr>
              <w:t>Minimalna wartość I</w:t>
            </w:r>
            <w:r w:rsidRPr="008C309F">
              <w:rPr>
                <w:b/>
                <w:vertAlign w:val="subscript"/>
              </w:rPr>
              <w:t>s</w:t>
            </w:r>
          </w:p>
        </w:tc>
      </w:tr>
      <w:tr w:rsidR="00FE60E3" w:rsidRPr="008C309F" w:rsidTr="00333F85">
        <w:tc>
          <w:tcPr>
            <w:tcW w:w="5262" w:type="dxa"/>
            <w:tcBorders>
              <w:top w:val="single" w:sz="4" w:space="0" w:color="auto"/>
              <w:left w:val="single" w:sz="6" w:space="0" w:color="auto"/>
              <w:bottom w:val="single" w:sz="6" w:space="0" w:color="auto"/>
              <w:right w:val="single" w:sz="6" w:space="0" w:color="auto"/>
            </w:tcBorders>
          </w:tcPr>
          <w:p w:rsidR="00FE60E3" w:rsidRPr="00FE60E3" w:rsidRDefault="00FE60E3" w:rsidP="00333F85">
            <w:pPr>
              <w:rPr>
                <w:rFonts w:asciiTheme="minorHAnsi" w:hAnsiTheme="minorHAnsi"/>
              </w:rPr>
            </w:pPr>
            <w:r w:rsidRPr="00FE60E3">
              <w:rPr>
                <w:rFonts w:asciiTheme="minorHAnsi" w:hAnsiTheme="minorHAnsi"/>
              </w:rPr>
              <w:t>Poziom spodu konstrukcji drogowej</w:t>
            </w:r>
          </w:p>
        </w:tc>
        <w:tc>
          <w:tcPr>
            <w:tcW w:w="2321" w:type="dxa"/>
            <w:tcBorders>
              <w:top w:val="single" w:sz="4" w:space="0" w:color="auto"/>
              <w:left w:val="single" w:sz="6" w:space="0" w:color="auto"/>
              <w:bottom w:val="single" w:sz="6" w:space="0" w:color="auto"/>
              <w:right w:val="single" w:sz="6" w:space="0" w:color="auto"/>
            </w:tcBorders>
          </w:tcPr>
          <w:p w:rsidR="00FE60E3" w:rsidRPr="00FE60E3" w:rsidRDefault="00FE60E3" w:rsidP="00887983">
            <w:pPr>
              <w:jc w:val="right"/>
              <w:rPr>
                <w:rFonts w:asciiTheme="minorHAnsi" w:hAnsiTheme="minorHAnsi"/>
              </w:rPr>
            </w:pPr>
            <w:r w:rsidRPr="00FE60E3">
              <w:rPr>
                <w:rFonts w:asciiTheme="minorHAnsi" w:hAnsiTheme="minorHAnsi"/>
              </w:rPr>
              <w:t>1,0</w:t>
            </w:r>
            <w:r w:rsidR="00887983">
              <w:rPr>
                <w:rFonts w:asciiTheme="minorHAnsi" w:hAnsiTheme="minorHAnsi"/>
              </w:rPr>
              <w:t>0</w:t>
            </w:r>
          </w:p>
        </w:tc>
      </w:tr>
      <w:tr w:rsidR="00FE60E3" w:rsidRPr="008C309F" w:rsidTr="00333F85">
        <w:tc>
          <w:tcPr>
            <w:tcW w:w="5262" w:type="dxa"/>
            <w:tcBorders>
              <w:top w:val="single" w:sz="4" w:space="0" w:color="auto"/>
              <w:left w:val="single" w:sz="6" w:space="0" w:color="auto"/>
              <w:bottom w:val="single" w:sz="6" w:space="0" w:color="auto"/>
              <w:right w:val="single" w:sz="6" w:space="0" w:color="auto"/>
            </w:tcBorders>
          </w:tcPr>
          <w:p w:rsidR="00FE60E3" w:rsidRPr="00FE60E3" w:rsidRDefault="00FE60E3" w:rsidP="00333F85">
            <w:pPr>
              <w:rPr>
                <w:rFonts w:asciiTheme="minorHAnsi" w:hAnsiTheme="minorHAnsi"/>
              </w:rPr>
            </w:pPr>
            <w:r w:rsidRPr="00FE60E3">
              <w:rPr>
                <w:rFonts w:asciiTheme="minorHAnsi" w:hAnsiTheme="minorHAnsi"/>
              </w:rPr>
              <w:t>Górna warstwa o grubości 20 cm</w:t>
            </w:r>
          </w:p>
        </w:tc>
        <w:tc>
          <w:tcPr>
            <w:tcW w:w="2321" w:type="dxa"/>
            <w:tcBorders>
              <w:top w:val="single" w:sz="4" w:space="0" w:color="auto"/>
              <w:left w:val="single" w:sz="6" w:space="0" w:color="auto"/>
              <w:bottom w:val="single" w:sz="6" w:space="0" w:color="auto"/>
              <w:right w:val="single" w:sz="6" w:space="0" w:color="auto"/>
            </w:tcBorders>
          </w:tcPr>
          <w:p w:rsidR="00FE60E3" w:rsidRPr="00FE60E3" w:rsidRDefault="00887983" w:rsidP="00333F85">
            <w:pPr>
              <w:jc w:val="right"/>
              <w:rPr>
                <w:rFonts w:asciiTheme="minorHAnsi" w:hAnsiTheme="minorHAnsi"/>
              </w:rPr>
            </w:pPr>
            <w:r>
              <w:rPr>
                <w:rFonts w:asciiTheme="minorHAnsi" w:hAnsiTheme="minorHAnsi"/>
              </w:rPr>
              <w:t>1,00</w:t>
            </w:r>
          </w:p>
        </w:tc>
      </w:tr>
      <w:tr w:rsidR="00FE60E3" w:rsidRPr="008C309F" w:rsidTr="00333F85">
        <w:tc>
          <w:tcPr>
            <w:tcW w:w="5262" w:type="dxa"/>
            <w:tcBorders>
              <w:top w:val="single" w:sz="6" w:space="0" w:color="auto"/>
              <w:left w:val="single" w:sz="6" w:space="0" w:color="auto"/>
              <w:bottom w:val="single" w:sz="6" w:space="0" w:color="auto"/>
              <w:right w:val="single" w:sz="6" w:space="0" w:color="auto"/>
            </w:tcBorders>
          </w:tcPr>
          <w:p w:rsidR="00FE60E3" w:rsidRPr="00FE60E3" w:rsidRDefault="00FE60E3" w:rsidP="00333F85">
            <w:pPr>
              <w:rPr>
                <w:rFonts w:asciiTheme="minorHAnsi" w:hAnsiTheme="minorHAnsi"/>
              </w:rPr>
            </w:pPr>
            <w:r w:rsidRPr="00FE60E3">
              <w:rPr>
                <w:rFonts w:asciiTheme="minorHAnsi" w:hAnsiTheme="minorHAnsi"/>
              </w:rPr>
              <w:t>Na głębokości od 20 do 50 cm od powierzchni robót ziemnych</w:t>
            </w:r>
          </w:p>
        </w:tc>
        <w:tc>
          <w:tcPr>
            <w:tcW w:w="2321" w:type="dxa"/>
            <w:tcBorders>
              <w:top w:val="single" w:sz="6" w:space="0" w:color="auto"/>
              <w:left w:val="single" w:sz="6" w:space="0" w:color="auto"/>
              <w:bottom w:val="single" w:sz="6" w:space="0" w:color="auto"/>
              <w:right w:val="single" w:sz="6" w:space="0" w:color="auto"/>
            </w:tcBorders>
          </w:tcPr>
          <w:p w:rsidR="00FE60E3" w:rsidRPr="00FE60E3" w:rsidRDefault="00887983" w:rsidP="00887983">
            <w:pPr>
              <w:jc w:val="right"/>
              <w:rPr>
                <w:rFonts w:asciiTheme="minorHAnsi" w:hAnsiTheme="minorHAnsi"/>
              </w:rPr>
            </w:pPr>
            <w:r>
              <w:rPr>
                <w:rFonts w:asciiTheme="minorHAnsi" w:hAnsiTheme="minorHAnsi"/>
              </w:rPr>
              <w:t>0,98</w:t>
            </w:r>
          </w:p>
        </w:tc>
      </w:tr>
    </w:tbl>
    <w:p w:rsidR="00656AC1" w:rsidRPr="00203191" w:rsidRDefault="00656AC1" w:rsidP="00364E4D">
      <w:pPr>
        <w:tabs>
          <w:tab w:val="left" w:pos="9914"/>
        </w:tabs>
        <w:rPr>
          <w:rFonts w:ascii="Calibri" w:hAnsi="Calibri" w:cs="Calibri"/>
        </w:rPr>
      </w:pPr>
    </w:p>
    <w:p w:rsidR="00656AC1" w:rsidRPr="00203191" w:rsidRDefault="00656AC1" w:rsidP="00364E4D">
      <w:pPr>
        <w:tabs>
          <w:tab w:val="left" w:pos="9914"/>
        </w:tabs>
        <w:rPr>
          <w:rFonts w:ascii="Calibri" w:hAnsi="Calibri" w:cs="Calibri"/>
        </w:rPr>
      </w:pPr>
      <w:r w:rsidRPr="00203191">
        <w:rPr>
          <w:rFonts w:ascii="Calibri" w:hAnsi="Calibri" w:cs="Calibri"/>
        </w:rPr>
        <w:t>Jeżeli grunty rodzime w wykopach i miejscach zerowych nie spełniają wymaganego wskaźnika zagęszczenia, to przed ułożeniem konstrukcji nawierzchni należy je dogęścić do wartości I</w:t>
      </w:r>
      <w:r w:rsidRPr="00203191">
        <w:rPr>
          <w:rFonts w:ascii="Calibri" w:hAnsi="Calibri" w:cs="Calibri"/>
          <w:vertAlign w:val="subscript"/>
        </w:rPr>
        <w:t>s</w:t>
      </w:r>
      <w:r w:rsidRPr="00203191">
        <w:rPr>
          <w:rFonts w:ascii="Calibri" w:hAnsi="Calibri" w:cs="Calibri"/>
        </w:rPr>
        <w:t>, podanych w tablicy 1.</w:t>
      </w:r>
    </w:p>
    <w:p w:rsidR="00656AC1" w:rsidRPr="00203191" w:rsidRDefault="00656AC1" w:rsidP="00364E4D">
      <w:pPr>
        <w:tabs>
          <w:tab w:val="left" w:pos="9914"/>
        </w:tabs>
        <w:rPr>
          <w:rFonts w:ascii="Calibri" w:hAnsi="Calibri" w:cs="Calibri"/>
        </w:rPr>
      </w:pPr>
      <w:r w:rsidRPr="00203191">
        <w:rPr>
          <w:rFonts w:ascii="Calibri" w:hAnsi="Calibri" w:cs="Calibri"/>
        </w:rPr>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proponuje Wykonawca i przedstawia do akceptacji Inżynierowi.</w:t>
      </w:r>
    </w:p>
    <w:p w:rsidR="00656AC1" w:rsidRPr="00203191" w:rsidRDefault="00656AC1" w:rsidP="00364E4D">
      <w:pPr>
        <w:tabs>
          <w:tab w:val="left" w:pos="9914"/>
        </w:tabs>
        <w:rPr>
          <w:rFonts w:ascii="Calibri" w:hAnsi="Calibri" w:cs="Calibri"/>
        </w:rPr>
      </w:pPr>
      <w:r w:rsidRPr="00203191">
        <w:rPr>
          <w:rFonts w:ascii="Calibri" w:hAnsi="Calibri" w:cs="Calibri"/>
        </w:rPr>
        <w:t>Za zgodą Inżyniera dopuszcza się prowadzenie badań</w:t>
      </w:r>
      <w:r w:rsidR="003D751A">
        <w:rPr>
          <w:rFonts w:ascii="Calibri" w:hAnsi="Calibri" w:cs="Calibri"/>
        </w:rPr>
        <w:t xml:space="preserve"> </w:t>
      </w:r>
      <w:r w:rsidRPr="00203191">
        <w:rPr>
          <w:rFonts w:ascii="Calibri" w:hAnsi="Calibri" w:cs="Calibri"/>
        </w:rPr>
        <w:t>przy zastosowaniu metod alternatywnych – w szczególności lekkiej płyty dynamicznej ZFG-02 lub lekkiej sondy wbijanej SD-10 zgodnie z Instrukcją Badań Podłoża Gruntowego Budowli Mostowych i Drogowych Część 2 Załącznik, Warszawa 1998. Korelacji pomiędzy wynikami uzyskanymi przy pomocy metod alternatywnych, a wymaganiami niniejszej SST należy dokonać zgodnie z instrukcjami producentów urządzeń alternatywnych</w:t>
      </w:r>
    </w:p>
    <w:p w:rsidR="00656AC1" w:rsidRPr="00203191" w:rsidRDefault="00656AC1" w:rsidP="00364E4D">
      <w:pPr>
        <w:tabs>
          <w:tab w:val="left" w:pos="9914"/>
        </w:tabs>
        <w:rPr>
          <w:rFonts w:ascii="Calibri" w:hAnsi="Calibri" w:cs="Calibri"/>
        </w:rPr>
      </w:pPr>
      <w:r w:rsidRPr="00203191">
        <w:rPr>
          <w:rFonts w:ascii="Calibri" w:hAnsi="Calibri" w:cs="Calibri"/>
        </w:rPr>
        <w:t>Podczas zagęszczania gruntu wilgotność naturalna gruntu nie powinna się różnić od wilgotności optymalnej o ±2% dla gruntów niespoistych i od 0 do -2% dla gruntów mało i średnio spoistych. Pomiaru wilgotności naturalnej gruntu należy dokonać w oparciu o normę PKN-CEN ISO/TS 17892-1</w:t>
      </w:r>
    </w:p>
    <w:p w:rsidR="00656AC1" w:rsidRPr="00203191" w:rsidRDefault="00656AC1" w:rsidP="00364E4D">
      <w:pPr>
        <w:tabs>
          <w:tab w:val="left" w:pos="9914"/>
        </w:tabs>
        <w:rPr>
          <w:rFonts w:ascii="Calibri" w:hAnsi="Calibri" w:cs="Calibri"/>
        </w:rPr>
      </w:pPr>
      <w:r w:rsidRPr="00203191">
        <w:rPr>
          <w:rFonts w:ascii="Calibri" w:hAnsi="Calibri" w:cs="Calibri"/>
        </w:rPr>
        <w:t>W przypadku przekroczenia wymaganej wilgotności należy odczekać do naturalnego osuszenia gruntu, bądź zastosować inne środki zaakceptowane przez Inżyniera</w:t>
      </w:r>
    </w:p>
    <w:p w:rsidR="00656AC1" w:rsidRPr="00203191" w:rsidRDefault="00656AC1" w:rsidP="00364E4D">
      <w:pPr>
        <w:tabs>
          <w:tab w:val="left" w:pos="9914"/>
        </w:tabs>
        <w:rPr>
          <w:rFonts w:ascii="Calibri" w:hAnsi="Calibri" w:cs="Calibri"/>
        </w:rPr>
      </w:pPr>
      <w:r w:rsidRPr="00203191">
        <w:rPr>
          <w:rFonts w:ascii="Calibri" w:hAnsi="Calibri" w:cs="Calibri"/>
        </w:rPr>
        <w:t>Jeżeli wartości wskaźnika zagęszczenia oraz nośności nie mogą być osiągnięte przez bezpośrednie zagęszczanie gruntów rodzimych, należy podjąć środki dla ulepszenia gruntu w wykopie, umożliwiające uzyskanie wymaganych wartości wskaźnika zagęszczenia oraz wtórnego modułu odkształcenia. Możliwe do zastosowania środki proponuje Wykonawca i przedstawia do akceptacji Inżynierowi oraz Projektantowi</w:t>
      </w:r>
    </w:p>
    <w:p w:rsidR="00656AC1" w:rsidRPr="00203191" w:rsidRDefault="00656AC1" w:rsidP="00364E4D">
      <w:pPr>
        <w:pStyle w:val="Nagwek4"/>
        <w:tabs>
          <w:tab w:val="left" w:pos="9914"/>
        </w:tabs>
        <w:rPr>
          <w:rFonts w:ascii="Calibri" w:hAnsi="Calibri" w:cs="Calibri"/>
        </w:rPr>
      </w:pPr>
      <w:bookmarkStart w:id="186" w:name="_Toc405615048"/>
      <w:bookmarkStart w:id="187" w:name="_Toc407161196"/>
      <w:r w:rsidRPr="00203191">
        <w:rPr>
          <w:rFonts w:ascii="Calibri" w:hAnsi="Calibri" w:cs="Calibri"/>
        </w:rPr>
        <w:t>5.3. Dokładność wykonania wykopów i nasypów</w:t>
      </w:r>
      <w:bookmarkEnd w:id="186"/>
      <w:bookmarkEnd w:id="187"/>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Odchylenie osi korpusu ziemnego, w wykopie od osi projektowanej nie powinny być większe niż </w:t>
      </w:r>
      <w:r>
        <w:rPr>
          <w:rFonts w:ascii="Calibri" w:hAnsi="Calibri" w:cs="Calibri"/>
        </w:rPr>
        <w:t>±</w:t>
      </w:r>
      <w:r w:rsidRPr="00203191">
        <w:rPr>
          <w:rFonts w:ascii="Calibri" w:hAnsi="Calibri" w:cs="Calibri"/>
        </w:rPr>
        <w:t xml:space="preserve"> 10 cm. Różnica w stosunku do projektowanych rzędnych robót ziemnych nie może przekraczać + 1 cm i -3 cm.</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Szerokość górnej powierzchni korpusu nie może różnić się od szerokości projektowanej o więcej niż </w:t>
      </w:r>
      <w:r>
        <w:rPr>
          <w:rFonts w:ascii="Calibri" w:hAnsi="Calibri" w:cs="Calibri"/>
        </w:rPr>
        <w:t>±</w:t>
      </w:r>
      <w:r w:rsidRPr="00203191">
        <w:rPr>
          <w:rFonts w:ascii="Calibri" w:hAnsi="Calibri" w:cs="Calibri"/>
        </w:rPr>
        <w:t xml:space="preserve"> 10 cm, a krawędzie korony drogi nie powinny mieć wyraźnych załamań w planie.</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Pochylenie skarp nie powinno różnić się od projektowanego o więcej niż 10% jego wartości wyrażonej tangensem kąta. Maksymalne nierówności na powierzchni skarp nie powinny przekraczać </w:t>
      </w:r>
      <w:r>
        <w:rPr>
          <w:rFonts w:ascii="Calibri" w:hAnsi="Calibri" w:cs="Calibri"/>
        </w:rPr>
        <w:t>±</w:t>
      </w:r>
      <w:r w:rsidRPr="00203191">
        <w:rPr>
          <w:rFonts w:ascii="Calibri" w:hAnsi="Calibri" w:cs="Calibri"/>
        </w:rPr>
        <w:t xml:space="preserve"> 10 cm przy pomiarze łatą 3-metrową, albo powinny być spełnione inne wymagania dotyczące nierówności, wynikające ze sposobu umocnienia powierzchni skarpy.</w:t>
      </w:r>
    </w:p>
    <w:p w:rsidR="00656AC1" w:rsidRPr="00203191" w:rsidRDefault="00656AC1" w:rsidP="00364E4D">
      <w:pPr>
        <w:pStyle w:val="Nagwek4"/>
        <w:tabs>
          <w:tab w:val="left" w:pos="9914"/>
        </w:tabs>
        <w:rPr>
          <w:rFonts w:ascii="Calibri" w:hAnsi="Calibri" w:cs="Calibri"/>
        </w:rPr>
      </w:pPr>
      <w:bookmarkStart w:id="188" w:name="_Toc405615049"/>
      <w:bookmarkStart w:id="189" w:name="_Toc407161197"/>
      <w:r w:rsidRPr="00203191">
        <w:rPr>
          <w:rFonts w:ascii="Calibri" w:hAnsi="Calibri" w:cs="Calibri"/>
        </w:rPr>
        <w:lastRenderedPageBreak/>
        <w:t>5.4. Odwodnienia pasa robót ziemnych</w:t>
      </w:r>
      <w:bookmarkEnd w:id="188"/>
      <w:bookmarkEnd w:id="189"/>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przewilgoceniem i nawodnieniem. Wykonawca ma obowiązek takiego wykonywania wykopów i nasypów, aby powierzchniom gruntu nadawać w całym okresie trwania robót spadki, zapewniające prawidłowe odwodnienie.</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Odprowadzenie wód do istniejących zbiorników naturalnych i urządzeń odwadniających musi być poprzedzone uzgodnieniem z odpowiednimi instytucjami.</w:t>
      </w:r>
    </w:p>
    <w:p w:rsidR="00656AC1" w:rsidRPr="00203191" w:rsidRDefault="00656AC1" w:rsidP="00364E4D">
      <w:pPr>
        <w:pStyle w:val="Nagwek4"/>
        <w:tabs>
          <w:tab w:val="left" w:pos="9914"/>
        </w:tabs>
        <w:rPr>
          <w:rFonts w:ascii="Calibri" w:hAnsi="Calibri" w:cs="Calibri"/>
        </w:rPr>
      </w:pPr>
      <w:bookmarkStart w:id="190" w:name="_Toc405615050"/>
      <w:bookmarkStart w:id="191" w:name="_Toc407161198"/>
      <w:r w:rsidRPr="00203191">
        <w:rPr>
          <w:rFonts w:ascii="Calibri" w:hAnsi="Calibri" w:cs="Calibri"/>
        </w:rPr>
        <w:t>5.5. Odwodnienie wykopów</w:t>
      </w:r>
      <w:bookmarkEnd w:id="190"/>
      <w:bookmarkEnd w:id="191"/>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Technologia wykonania wykopu musi umożliwiać jego prawidłowe odwodnienie w całym okresie trwania robót ziemnych. Wykonanie wykopów powinno postępować w kierunku podnoszenia się niwelety.</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W czasie robót ziemnych należy zachować odpowiedni spadek podłużny i nadać przekrojom poprzecznym spadki, umożliwiające szybki 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Źródła wody, odsłonięte przy wykonywaniu wykopów, należy ująć w dreny. Wody opadowe i gruntowe należy odprowadzić poza teren pasa robót ziemnych.</w:t>
      </w:r>
    </w:p>
    <w:p w:rsidR="00656AC1" w:rsidRPr="00203191" w:rsidRDefault="00656AC1" w:rsidP="00364E4D">
      <w:pPr>
        <w:pStyle w:val="Nagwek4"/>
        <w:tabs>
          <w:tab w:val="left" w:pos="9914"/>
        </w:tabs>
        <w:rPr>
          <w:rFonts w:ascii="Calibri" w:hAnsi="Calibri" w:cs="Calibri"/>
        </w:rPr>
      </w:pPr>
      <w:bookmarkStart w:id="192" w:name="_Toc407161225"/>
      <w:r w:rsidRPr="00203191">
        <w:rPr>
          <w:rFonts w:ascii="Calibri" w:hAnsi="Calibri" w:cs="Calibri"/>
        </w:rPr>
        <w:t>5.6. Ruch budowlany</w:t>
      </w:r>
      <w:bookmarkEnd w:id="192"/>
    </w:p>
    <w:p w:rsidR="00656AC1" w:rsidRPr="00203191" w:rsidRDefault="00656AC1" w:rsidP="00364E4D">
      <w:pPr>
        <w:tabs>
          <w:tab w:val="left" w:pos="9914"/>
        </w:tabs>
        <w:rPr>
          <w:rFonts w:ascii="Calibri" w:hAnsi="Calibri" w:cs="Calibri"/>
        </w:rPr>
      </w:pPr>
      <w:r w:rsidRPr="00203191">
        <w:rPr>
          <w:rFonts w:ascii="Calibri" w:hAnsi="Calibri" w:cs="Calibri"/>
        </w:rPr>
        <w:t>Nie należy dopuszczać ruchu budowlanego po dnie wykopu o ile grubość warstwy gruntu (nadkładu) powyżej rzędnych robót ziemnych jest mniejsza niż 0,3 m.</w:t>
      </w:r>
    </w:p>
    <w:p w:rsidR="00656AC1" w:rsidRPr="00203191" w:rsidRDefault="00656AC1" w:rsidP="00364E4D">
      <w:pPr>
        <w:tabs>
          <w:tab w:val="left" w:pos="9914"/>
        </w:tabs>
        <w:rPr>
          <w:rFonts w:ascii="Calibri" w:hAnsi="Calibri" w:cs="Calibri"/>
        </w:rPr>
      </w:pPr>
      <w:r w:rsidRPr="00203191">
        <w:rPr>
          <w:rFonts w:ascii="Calibri" w:hAnsi="Calibri" w:cs="Calibri"/>
        </w:rPr>
        <w:t>Z chwilą przystąpienia do ostatecznego profilowania dna wykopu dopuszcza się po nim jedynie ruch maszyn wykonujących tę czynność budowlaną. Może odbywać się jedynie sporadyczny ruch pojazdów, które nie spowodują uszkodzeń powierzchni korpusu.</w:t>
      </w:r>
    </w:p>
    <w:p w:rsidR="00656AC1" w:rsidRPr="00203191" w:rsidRDefault="00656AC1" w:rsidP="00364E4D">
      <w:pPr>
        <w:tabs>
          <w:tab w:val="left" w:pos="9914"/>
        </w:tabs>
        <w:rPr>
          <w:rFonts w:ascii="Calibri" w:hAnsi="Calibri" w:cs="Calibri"/>
        </w:rPr>
      </w:pPr>
      <w:r w:rsidRPr="00203191">
        <w:rPr>
          <w:rFonts w:ascii="Calibri" w:hAnsi="Calibri" w:cs="Calibri"/>
        </w:rPr>
        <w:t>Naprawa uszkodzeń powierzchni robót ziemnych, wynikających z niedotrzymania podanych powyżej warunków obciąża Wykonawcę robót ziemnych.</w:t>
      </w:r>
    </w:p>
    <w:p w:rsidR="00656AC1" w:rsidRPr="00203191" w:rsidRDefault="00656AC1" w:rsidP="00364E4D">
      <w:pPr>
        <w:pStyle w:val="Nagwek3"/>
        <w:tabs>
          <w:tab w:val="left" w:pos="9914"/>
        </w:tabs>
        <w:rPr>
          <w:rFonts w:ascii="Calibri" w:hAnsi="Calibri" w:cs="Calibri"/>
        </w:rPr>
      </w:pPr>
      <w:bookmarkStart w:id="193" w:name="_Toc407161226"/>
      <w:bookmarkStart w:id="194" w:name="_Toc418994930"/>
      <w:bookmarkStart w:id="195" w:name="_Toc418996337"/>
      <w:bookmarkStart w:id="196" w:name="_Toc418996706"/>
      <w:bookmarkStart w:id="197" w:name="_Toc418997093"/>
      <w:bookmarkStart w:id="198" w:name="_Toc418998503"/>
      <w:bookmarkStart w:id="199" w:name="_Toc418998859"/>
      <w:bookmarkStart w:id="200" w:name="_Toc419000104"/>
      <w:r w:rsidRPr="00203191">
        <w:rPr>
          <w:rFonts w:ascii="Calibri" w:hAnsi="Calibri" w:cs="Calibri"/>
        </w:rPr>
        <w:t>6. KONTROLA JAKOŚCI ROBÓT</w:t>
      </w:r>
      <w:bookmarkEnd w:id="193"/>
      <w:bookmarkEnd w:id="194"/>
      <w:bookmarkEnd w:id="195"/>
      <w:bookmarkEnd w:id="196"/>
      <w:bookmarkEnd w:id="197"/>
      <w:bookmarkEnd w:id="198"/>
      <w:bookmarkEnd w:id="199"/>
      <w:bookmarkEnd w:id="200"/>
    </w:p>
    <w:p w:rsidR="00656AC1" w:rsidRPr="00203191" w:rsidRDefault="00656AC1" w:rsidP="00364E4D">
      <w:pPr>
        <w:pStyle w:val="Nagwek4"/>
        <w:tabs>
          <w:tab w:val="left" w:pos="9914"/>
        </w:tabs>
        <w:rPr>
          <w:rFonts w:ascii="Calibri" w:hAnsi="Calibri" w:cs="Calibri"/>
        </w:rPr>
      </w:pPr>
      <w:bookmarkStart w:id="201" w:name="_Toc407161227"/>
      <w:r w:rsidRPr="00203191">
        <w:rPr>
          <w:rFonts w:ascii="Calibri" w:hAnsi="Calibri" w:cs="Calibri"/>
        </w:rPr>
        <w:t>6.1. Ogólne zasady kontroli jakości robót</w:t>
      </w:r>
      <w:bookmarkEnd w:id="201"/>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pkt 6.</w:t>
      </w:r>
    </w:p>
    <w:p w:rsidR="00656AC1" w:rsidRPr="00203191" w:rsidRDefault="00656AC1" w:rsidP="00364E4D">
      <w:pPr>
        <w:pStyle w:val="Nagwek4"/>
        <w:tabs>
          <w:tab w:val="left" w:pos="9914"/>
        </w:tabs>
        <w:rPr>
          <w:rFonts w:ascii="Calibri" w:hAnsi="Calibri" w:cs="Calibri"/>
        </w:rPr>
      </w:pPr>
      <w:bookmarkStart w:id="202" w:name="_Toc407161228"/>
      <w:r w:rsidRPr="00203191">
        <w:rPr>
          <w:rFonts w:ascii="Calibri" w:hAnsi="Calibri" w:cs="Calibri"/>
        </w:rPr>
        <w:t>6.2. Kontrola wykonania wykopów</w:t>
      </w:r>
      <w:bookmarkEnd w:id="202"/>
    </w:p>
    <w:p w:rsidR="00656AC1" w:rsidRPr="00203191" w:rsidRDefault="00656AC1" w:rsidP="00364E4D">
      <w:pPr>
        <w:tabs>
          <w:tab w:val="left" w:pos="9914"/>
        </w:tabs>
        <w:rPr>
          <w:rFonts w:ascii="Calibri" w:hAnsi="Calibri" w:cs="Calibri"/>
        </w:rPr>
      </w:pPr>
      <w:r w:rsidRPr="00203191">
        <w:rPr>
          <w:rFonts w:ascii="Calibri" w:hAnsi="Calibri" w:cs="Calibri"/>
        </w:rPr>
        <w:t>Kontrola wykonania wykopów polega na sprawdzeniu zgodności z wymaganiami określonymi w dokumentacji projektowej. W czasie kontroli szczególną uwagę należy zwrócić na:</w:t>
      </w:r>
    </w:p>
    <w:p w:rsidR="00656AC1" w:rsidRPr="00203191" w:rsidRDefault="00656AC1" w:rsidP="00973D29">
      <w:pPr>
        <w:numPr>
          <w:ilvl w:val="0"/>
          <w:numId w:val="20"/>
        </w:numPr>
        <w:tabs>
          <w:tab w:val="left" w:pos="9914"/>
        </w:tabs>
        <w:rPr>
          <w:rFonts w:ascii="Calibri" w:hAnsi="Calibri" w:cs="Calibri"/>
        </w:rPr>
      </w:pPr>
      <w:r w:rsidRPr="00203191">
        <w:rPr>
          <w:rFonts w:ascii="Calibri" w:hAnsi="Calibri" w:cs="Calibri"/>
        </w:rPr>
        <w:t>sposób odspajania gruntów nie pogarszający ich właściwości,</w:t>
      </w:r>
    </w:p>
    <w:p w:rsidR="00656AC1" w:rsidRPr="00203191" w:rsidRDefault="00656AC1" w:rsidP="00973D29">
      <w:pPr>
        <w:numPr>
          <w:ilvl w:val="0"/>
          <w:numId w:val="20"/>
        </w:numPr>
        <w:tabs>
          <w:tab w:val="left" w:pos="9914"/>
        </w:tabs>
        <w:rPr>
          <w:rFonts w:ascii="Calibri" w:hAnsi="Calibri" w:cs="Calibri"/>
        </w:rPr>
      </w:pPr>
      <w:r w:rsidRPr="00203191">
        <w:rPr>
          <w:rFonts w:ascii="Calibri" w:hAnsi="Calibri" w:cs="Calibri"/>
        </w:rPr>
        <w:t>zapewnienie stateczności skarp,</w:t>
      </w:r>
    </w:p>
    <w:p w:rsidR="00656AC1" w:rsidRPr="00203191" w:rsidRDefault="00656AC1" w:rsidP="00973D29">
      <w:pPr>
        <w:numPr>
          <w:ilvl w:val="0"/>
          <w:numId w:val="20"/>
        </w:numPr>
        <w:tabs>
          <w:tab w:val="left" w:pos="9914"/>
        </w:tabs>
        <w:rPr>
          <w:rFonts w:ascii="Calibri" w:hAnsi="Calibri" w:cs="Calibri"/>
        </w:rPr>
      </w:pPr>
      <w:r w:rsidRPr="00203191">
        <w:rPr>
          <w:rFonts w:ascii="Calibri" w:hAnsi="Calibri" w:cs="Calibri"/>
        </w:rPr>
        <w:t>odwodnienie wykopów w czasie wykonywania robót i po ich zakończeniu,</w:t>
      </w:r>
    </w:p>
    <w:p w:rsidR="00656AC1" w:rsidRPr="00203191" w:rsidRDefault="00656AC1" w:rsidP="00973D29">
      <w:pPr>
        <w:numPr>
          <w:ilvl w:val="0"/>
          <w:numId w:val="20"/>
        </w:numPr>
        <w:tabs>
          <w:tab w:val="left" w:pos="9914"/>
        </w:tabs>
        <w:rPr>
          <w:rFonts w:ascii="Calibri" w:hAnsi="Calibri" w:cs="Calibri"/>
        </w:rPr>
      </w:pPr>
      <w:r w:rsidRPr="00203191">
        <w:rPr>
          <w:rFonts w:ascii="Calibri" w:hAnsi="Calibri" w:cs="Calibri"/>
        </w:rPr>
        <w:t>dokładność wykonania wykopów (usytuowanie i wykończenie),</w:t>
      </w:r>
    </w:p>
    <w:p w:rsidR="00656AC1" w:rsidRPr="00203191" w:rsidRDefault="00656AC1" w:rsidP="00973D29">
      <w:pPr>
        <w:numPr>
          <w:ilvl w:val="0"/>
          <w:numId w:val="20"/>
        </w:numPr>
        <w:tabs>
          <w:tab w:val="left" w:pos="9914"/>
        </w:tabs>
        <w:ind w:left="284" w:hanging="284"/>
        <w:rPr>
          <w:rFonts w:ascii="Calibri" w:hAnsi="Calibri" w:cs="Calibri"/>
        </w:rPr>
      </w:pPr>
      <w:r w:rsidRPr="00203191">
        <w:rPr>
          <w:rFonts w:ascii="Calibri" w:hAnsi="Calibri" w:cs="Calibri"/>
        </w:rPr>
        <w:t>zagęszczenie górnej strefy korpusu w wykopie według wymagań określonych w pkcie 5.2.</w:t>
      </w:r>
    </w:p>
    <w:p w:rsidR="00656AC1" w:rsidRPr="00203191" w:rsidRDefault="00656AC1" w:rsidP="00364E4D">
      <w:pPr>
        <w:pStyle w:val="Nagwek4"/>
        <w:tabs>
          <w:tab w:val="left" w:pos="9914"/>
        </w:tabs>
        <w:rPr>
          <w:rFonts w:ascii="Calibri" w:hAnsi="Calibri" w:cs="Calibri"/>
        </w:rPr>
      </w:pPr>
      <w:bookmarkStart w:id="203" w:name="_Toc405615055"/>
      <w:bookmarkStart w:id="204" w:name="_Toc407161203"/>
      <w:r w:rsidRPr="00203191">
        <w:rPr>
          <w:rFonts w:ascii="Calibri" w:hAnsi="Calibri" w:cs="Calibri"/>
        </w:rPr>
        <w:t>6.3. Badania do odbioru korpusu ziemnego</w:t>
      </w:r>
      <w:bookmarkEnd w:id="203"/>
      <w:bookmarkEnd w:id="204"/>
    </w:p>
    <w:p w:rsidR="00656AC1" w:rsidRPr="00203191" w:rsidRDefault="00656AC1" w:rsidP="00364E4D">
      <w:pPr>
        <w:tabs>
          <w:tab w:val="left" w:pos="0"/>
        </w:tabs>
        <w:rPr>
          <w:rFonts w:ascii="Calibri" w:hAnsi="Calibri" w:cs="Calibri"/>
        </w:rPr>
      </w:pPr>
      <w:r w:rsidRPr="00203191">
        <w:rPr>
          <w:rFonts w:ascii="Calibri" w:hAnsi="Calibri" w:cs="Calibri"/>
          <w:b/>
          <w:bCs/>
          <w:i/>
          <w:iCs/>
        </w:rPr>
        <w:t>6.3.1. Częstotliwość oraz zakres badań i pomiarów</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Częstotliwość oraz zakres badań i pomiarów do odbioru korpusu ziemnego podaje tablica 2.</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Tablica 2. Częstotliwość oraz zakres badań i pomiarów wykonanych robót ziemnych</w:t>
      </w:r>
    </w:p>
    <w:tbl>
      <w:tblPr>
        <w:tblW w:w="9709" w:type="dxa"/>
        <w:tblInd w:w="2" w:type="dxa"/>
        <w:tblLayout w:type="fixed"/>
        <w:tblCellMar>
          <w:left w:w="70" w:type="dxa"/>
          <w:right w:w="70" w:type="dxa"/>
        </w:tblCellMar>
        <w:tblLook w:val="0000"/>
      </w:tblPr>
      <w:tblGrid>
        <w:gridCol w:w="496"/>
        <w:gridCol w:w="3543"/>
        <w:gridCol w:w="5670"/>
      </w:tblGrid>
      <w:tr w:rsidR="00656AC1" w:rsidRPr="00203191" w:rsidTr="00887983">
        <w:trPr>
          <w:cantSplit/>
        </w:trPr>
        <w:tc>
          <w:tcPr>
            <w:tcW w:w="496"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lastRenderedPageBreak/>
              <w:t>Lp.</w:t>
            </w:r>
          </w:p>
        </w:tc>
        <w:tc>
          <w:tcPr>
            <w:tcW w:w="3543"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Badana cecha</w:t>
            </w:r>
          </w:p>
        </w:tc>
        <w:tc>
          <w:tcPr>
            <w:tcW w:w="5670" w:type="dxa"/>
            <w:tcBorders>
              <w:top w:val="single" w:sz="6" w:space="0" w:color="auto"/>
              <w:bottom w:val="double" w:sz="6" w:space="0" w:color="auto"/>
              <w:right w:val="single" w:sz="6" w:space="0" w:color="auto"/>
            </w:tcBorders>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Minimalna częstotliwość badań i pomiarów</w:t>
            </w:r>
          </w:p>
        </w:tc>
      </w:tr>
      <w:tr w:rsidR="00887983" w:rsidRPr="00203191" w:rsidTr="00887983">
        <w:trPr>
          <w:cantSplit/>
          <w:trHeight w:val="1558"/>
        </w:trPr>
        <w:tc>
          <w:tcPr>
            <w:tcW w:w="496" w:type="dxa"/>
            <w:tcBorders>
              <w:left w:val="single" w:sz="6" w:space="0" w:color="auto"/>
              <w:bottom w:val="single" w:sz="4" w:space="0" w:color="auto"/>
              <w:right w:val="single" w:sz="6" w:space="0" w:color="auto"/>
            </w:tcBorders>
          </w:tcPr>
          <w:p w:rsidR="00887983" w:rsidRPr="00203191" w:rsidRDefault="00887983" w:rsidP="00364E4D">
            <w:pPr>
              <w:pStyle w:val="Standardowytekst"/>
              <w:tabs>
                <w:tab w:val="left" w:pos="9914"/>
              </w:tabs>
              <w:rPr>
                <w:rFonts w:ascii="Calibri" w:hAnsi="Calibri" w:cs="Calibri"/>
              </w:rPr>
            </w:pPr>
            <w:r w:rsidRPr="00203191">
              <w:rPr>
                <w:rFonts w:ascii="Calibri" w:hAnsi="Calibri" w:cs="Calibri"/>
              </w:rPr>
              <w:t>1</w:t>
            </w:r>
          </w:p>
          <w:p w:rsidR="00887983" w:rsidRPr="00203191" w:rsidRDefault="00887983" w:rsidP="00364E4D">
            <w:pPr>
              <w:pStyle w:val="Standardowytekst"/>
              <w:tabs>
                <w:tab w:val="left" w:pos="9914"/>
              </w:tabs>
              <w:rPr>
                <w:rFonts w:ascii="Calibri" w:hAnsi="Calibri" w:cs="Calibri"/>
              </w:rPr>
            </w:pPr>
          </w:p>
        </w:tc>
        <w:tc>
          <w:tcPr>
            <w:tcW w:w="3543" w:type="dxa"/>
            <w:tcBorders>
              <w:left w:val="single" w:sz="6" w:space="0" w:color="auto"/>
              <w:bottom w:val="single" w:sz="4" w:space="0" w:color="auto"/>
              <w:right w:val="single" w:sz="6" w:space="0" w:color="auto"/>
            </w:tcBorders>
          </w:tcPr>
          <w:p w:rsidR="00887983" w:rsidRPr="00203191" w:rsidRDefault="00887983" w:rsidP="00364E4D">
            <w:pPr>
              <w:pStyle w:val="Standardowytekst"/>
              <w:tabs>
                <w:tab w:val="left" w:pos="9914"/>
              </w:tabs>
              <w:rPr>
                <w:rFonts w:ascii="Calibri" w:hAnsi="Calibri" w:cs="Calibri"/>
              </w:rPr>
            </w:pPr>
            <w:r w:rsidRPr="00203191">
              <w:rPr>
                <w:rFonts w:ascii="Calibri" w:hAnsi="Calibri" w:cs="Calibri"/>
              </w:rPr>
              <w:t>Pomiar szerokości korpusu ziemnego</w:t>
            </w:r>
          </w:p>
          <w:p w:rsidR="00887983" w:rsidRPr="00203191" w:rsidRDefault="00887983" w:rsidP="00364E4D">
            <w:pPr>
              <w:pStyle w:val="Standardowytekst"/>
              <w:tabs>
                <w:tab w:val="left" w:pos="9914"/>
              </w:tabs>
              <w:rPr>
                <w:rFonts w:ascii="Calibri" w:hAnsi="Calibri" w:cs="Calibri"/>
              </w:rPr>
            </w:pPr>
            <w:r w:rsidRPr="00203191">
              <w:rPr>
                <w:rFonts w:ascii="Calibri" w:hAnsi="Calibri" w:cs="Calibri"/>
              </w:rPr>
              <w:t>Pomiar rzędnych powierzchni korpusu ziemnego</w:t>
            </w:r>
          </w:p>
          <w:p w:rsidR="00887983" w:rsidRPr="00203191" w:rsidRDefault="00887983" w:rsidP="00364E4D">
            <w:pPr>
              <w:pStyle w:val="Standardowytekst"/>
              <w:tabs>
                <w:tab w:val="left" w:pos="9914"/>
              </w:tabs>
              <w:rPr>
                <w:rFonts w:ascii="Calibri" w:hAnsi="Calibri" w:cs="Calibri"/>
              </w:rPr>
            </w:pPr>
            <w:r w:rsidRPr="00203191">
              <w:rPr>
                <w:rFonts w:ascii="Calibri" w:hAnsi="Calibri" w:cs="Calibri"/>
              </w:rPr>
              <w:t>Pomiar pochylenia skarp</w:t>
            </w:r>
          </w:p>
          <w:p w:rsidR="00887983" w:rsidRPr="00203191" w:rsidRDefault="00887983" w:rsidP="00364E4D">
            <w:pPr>
              <w:pStyle w:val="Standardowytekst"/>
              <w:tabs>
                <w:tab w:val="left" w:pos="9914"/>
              </w:tabs>
              <w:rPr>
                <w:rFonts w:ascii="Calibri" w:hAnsi="Calibri" w:cs="Calibri"/>
              </w:rPr>
            </w:pPr>
            <w:r w:rsidRPr="00203191">
              <w:rPr>
                <w:rFonts w:ascii="Calibri" w:hAnsi="Calibri" w:cs="Calibri"/>
              </w:rPr>
              <w:t>Pomiar równości powierzchni korpusu</w:t>
            </w:r>
          </w:p>
          <w:p w:rsidR="00887983" w:rsidRPr="00203191" w:rsidRDefault="00887983" w:rsidP="00364E4D">
            <w:pPr>
              <w:pStyle w:val="Standardowytekst"/>
              <w:tabs>
                <w:tab w:val="left" w:pos="9914"/>
              </w:tabs>
              <w:rPr>
                <w:rFonts w:ascii="Calibri" w:hAnsi="Calibri" w:cs="Calibri"/>
              </w:rPr>
            </w:pPr>
            <w:r w:rsidRPr="00203191">
              <w:rPr>
                <w:rFonts w:ascii="Calibri" w:hAnsi="Calibri" w:cs="Calibri"/>
              </w:rPr>
              <w:t>Pomiar równości skarp</w:t>
            </w:r>
          </w:p>
        </w:tc>
        <w:tc>
          <w:tcPr>
            <w:tcW w:w="5670" w:type="dxa"/>
            <w:tcBorders>
              <w:bottom w:val="single" w:sz="4" w:space="0" w:color="auto"/>
              <w:right w:val="single" w:sz="6" w:space="0" w:color="auto"/>
            </w:tcBorders>
          </w:tcPr>
          <w:p w:rsidR="00887983" w:rsidRPr="00203191" w:rsidRDefault="00887983" w:rsidP="00887983">
            <w:pPr>
              <w:pStyle w:val="Standardowytekst"/>
              <w:tabs>
                <w:tab w:val="left" w:pos="9914"/>
              </w:tabs>
              <w:rPr>
                <w:rFonts w:ascii="Calibri" w:hAnsi="Calibri" w:cs="Calibri"/>
              </w:rPr>
            </w:pPr>
            <w:r w:rsidRPr="00203191">
              <w:rPr>
                <w:rFonts w:ascii="Calibri" w:hAnsi="Calibri" w:cs="Calibri"/>
              </w:rPr>
              <w:t xml:space="preserve">Pomiar taśmą, szablonem, łatą o długości 3 m i poziomicą lub niwelatorem, w odstępach co </w:t>
            </w:r>
            <w:r>
              <w:rPr>
                <w:rFonts w:ascii="Calibri" w:hAnsi="Calibri" w:cs="Calibri"/>
              </w:rPr>
              <w:t>2</w:t>
            </w:r>
            <w:r w:rsidRPr="00203191">
              <w:rPr>
                <w:rFonts w:ascii="Calibri" w:hAnsi="Calibri" w:cs="Calibri"/>
              </w:rPr>
              <w:t xml:space="preserve">0 m </w:t>
            </w:r>
          </w:p>
          <w:p w:rsidR="00887983" w:rsidRPr="00203191" w:rsidRDefault="00887983" w:rsidP="00364E4D">
            <w:pPr>
              <w:pStyle w:val="Standardowytekst"/>
              <w:tabs>
                <w:tab w:val="left" w:pos="9914"/>
              </w:tabs>
              <w:rPr>
                <w:rFonts w:ascii="Calibri" w:hAnsi="Calibri" w:cs="Calibri"/>
              </w:rPr>
            </w:pPr>
          </w:p>
        </w:tc>
      </w:tr>
      <w:tr w:rsidR="00656AC1" w:rsidRPr="00203191" w:rsidTr="00887983">
        <w:trPr>
          <w:cantSplit/>
        </w:trPr>
        <w:tc>
          <w:tcPr>
            <w:tcW w:w="496" w:type="dxa"/>
            <w:tcBorders>
              <w:top w:val="single" w:sz="4" w:space="0" w:color="auto"/>
              <w:left w:val="single" w:sz="6" w:space="0" w:color="auto"/>
              <w:bottom w:val="single" w:sz="6" w:space="0" w:color="auto"/>
              <w:right w:val="single" w:sz="6" w:space="0" w:color="auto"/>
            </w:tcBorders>
          </w:tcPr>
          <w:p w:rsidR="00656AC1" w:rsidRPr="00203191" w:rsidRDefault="00887983" w:rsidP="00364E4D">
            <w:pPr>
              <w:pStyle w:val="Standardowytekst"/>
              <w:tabs>
                <w:tab w:val="left" w:pos="9914"/>
              </w:tabs>
              <w:rPr>
                <w:rFonts w:ascii="Calibri" w:hAnsi="Calibri" w:cs="Calibri"/>
              </w:rPr>
            </w:pPr>
            <w:r>
              <w:rPr>
                <w:rFonts w:ascii="Calibri" w:hAnsi="Calibri" w:cs="Calibri"/>
              </w:rPr>
              <w:t>2</w:t>
            </w:r>
          </w:p>
        </w:tc>
        <w:tc>
          <w:tcPr>
            <w:tcW w:w="3543" w:type="dxa"/>
            <w:tcBorders>
              <w:top w:val="single" w:sz="4" w:space="0" w:color="auto"/>
              <w:left w:val="single" w:sz="6" w:space="0" w:color="auto"/>
              <w:bottom w:val="single" w:sz="6" w:space="0" w:color="auto"/>
              <w:right w:val="single" w:sz="6" w:space="0" w:color="auto"/>
            </w:tcBorders>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Pomiar spadku podłużnego powierzchni korpusu lub dna rowu</w:t>
            </w:r>
          </w:p>
        </w:tc>
        <w:tc>
          <w:tcPr>
            <w:tcW w:w="5670" w:type="dxa"/>
            <w:tcBorders>
              <w:top w:val="single" w:sz="4" w:space="0" w:color="auto"/>
              <w:left w:val="single" w:sz="6" w:space="0" w:color="auto"/>
              <w:bottom w:val="single" w:sz="6" w:space="0" w:color="auto"/>
              <w:right w:val="single" w:sz="6" w:space="0" w:color="auto"/>
            </w:tcBorders>
          </w:tcPr>
          <w:p w:rsidR="00656AC1" w:rsidRPr="00203191" w:rsidRDefault="00656AC1" w:rsidP="00887983">
            <w:pPr>
              <w:pStyle w:val="Standardowytekst"/>
              <w:tabs>
                <w:tab w:val="left" w:pos="9914"/>
              </w:tabs>
              <w:rPr>
                <w:rFonts w:ascii="Calibri" w:hAnsi="Calibri" w:cs="Calibri"/>
              </w:rPr>
            </w:pPr>
            <w:r w:rsidRPr="00203191">
              <w:rPr>
                <w:rFonts w:ascii="Calibri" w:hAnsi="Calibri" w:cs="Calibri"/>
              </w:rPr>
              <w:t>Pomiar niwelatorem rzędnych w odstępach co 20 m oraz w punktach wątpliwych</w:t>
            </w:r>
          </w:p>
        </w:tc>
      </w:tr>
      <w:tr w:rsidR="00656AC1" w:rsidRPr="00203191" w:rsidTr="00887983">
        <w:trPr>
          <w:cantSplit/>
        </w:trPr>
        <w:tc>
          <w:tcPr>
            <w:tcW w:w="496" w:type="dxa"/>
            <w:tcBorders>
              <w:top w:val="single" w:sz="6" w:space="0" w:color="auto"/>
              <w:left w:val="single" w:sz="6" w:space="0" w:color="auto"/>
              <w:bottom w:val="single" w:sz="6" w:space="0" w:color="auto"/>
              <w:right w:val="single" w:sz="6" w:space="0" w:color="auto"/>
            </w:tcBorders>
          </w:tcPr>
          <w:p w:rsidR="00656AC1" w:rsidRPr="00203191" w:rsidRDefault="00887983" w:rsidP="00364E4D">
            <w:pPr>
              <w:pStyle w:val="Standardowytekst"/>
              <w:tabs>
                <w:tab w:val="left" w:pos="9914"/>
              </w:tabs>
              <w:rPr>
                <w:rFonts w:ascii="Calibri" w:hAnsi="Calibri" w:cs="Calibri"/>
              </w:rPr>
            </w:pPr>
            <w:r>
              <w:rPr>
                <w:rFonts w:ascii="Calibri" w:hAnsi="Calibri" w:cs="Calibri"/>
              </w:rPr>
              <w:t>3</w:t>
            </w:r>
          </w:p>
        </w:tc>
        <w:tc>
          <w:tcPr>
            <w:tcW w:w="3543"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Badanie zagęszczenia gruntu</w:t>
            </w:r>
          </w:p>
        </w:tc>
        <w:tc>
          <w:tcPr>
            <w:tcW w:w="5670" w:type="dxa"/>
            <w:tcBorders>
              <w:top w:val="single" w:sz="6" w:space="0" w:color="auto"/>
              <w:left w:val="single" w:sz="6" w:space="0" w:color="auto"/>
              <w:bottom w:val="single" w:sz="6" w:space="0" w:color="auto"/>
              <w:right w:val="single" w:sz="6" w:space="0" w:color="auto"/>
            </w:tcBorders>
          </w:tcPr>
          <w:p w:rsidR="00656AC1" w:rsidRPr="00203191" w:rsidRDefault="00656AC1" w:rsidP="00887983">
            <w:pPr>
              <w:pStyle w:val="Standardowytekst"/>
              <w:tabs>
                <w:tab w:val="left" w:pos="9914"/>
              </w:tabs>
              <w:rPr>
                <w:rFonts w:ascii="Calibri" w:hAnsi="Calibri" w:cs="Calibri"/>
              </w:rPr>
            </w:pPr>
            <w:r w:rsidRPr="00203191">
              <w:rPr>
                <w:rFonts w:ascii="Calibri" w:hAnsi="Calibri" w:cs="Calibri"/>
              </w:rPr>
              <w:t>Wskaźnik zagęszczenia określać dla każdej ułożonej warstwy lecz nie rzadziej niż w trzech punktach na 100 m</w:t>
            </w:r>
            <w:r w:rsidRPr="00203191">
              <w:rPr>
                <w:rFonts w:ascii="Calibri" w:hAnsi="Calibri" w:cs="Calibri"/>
                <w:vertAlign w:val="superscript"/>
              </w:rPr>
              <w:t>2</w:t>
            </w:r>
            <w:r w:rsidRPr="00203191">
              <w:rPr>
                <w:rFonts w:ascii="Calibri" w:hAnsi="Calibri" w:cs="Calibri"/>
              </w:rPr>
              <w:t xml:space="preserve"> warstwy</w:t>
            </w:r>
          </w:p>
        </w:tc>
      </w:tr>
      <w:tr w:rsidR="00656AC1" w:rsidRPr="00203191" w:rsidTr="00887983">
        <w:trPr>
          <w:cantSplit/>
        </w:trPr>
        <w:tc>
          <w:tcPr>
            <w:tcW w:w="496" w:type="dxa"/>
            <w:tcBorders>
              <w:top w:val="single" w:sz="6" w:space="0" w:color="auto"/>
              <w:left w:val="single" w:sz="6" w:space="0" w:color="auto"/>
              <w:bottom w:val="single" w:sz="6" w:space="0" w:color="auto"/>
              <w:right w:val="single" w:sz="6" w:space="0" w:color="auto"/>
            </w:tcBorders>
          </w:tcPr>
          <w:p w:rsidR="00656AC1" w:rsidRPr="00203191" w:rsidRDefault="00887983" w:rsidP="00364E4D">
            <w:pPr>
              <w:pStyle w:val="Standardowytekst"/>
              <w:tabs>
                <w:tab w:val="left" w:pos="9914"/>
              </w:tabs>
              <w:rPr>
                <w:rFonts w:ascii="Calibri" w:hAnsi="Calibri" w:cs="Calibri"/>
              </w:rPr>
            </w:pPr>
            <w:r>
              <w:rPr>
                <w:rFonts w:ascii="Calibri" w:hAnsi="Calibri" w:cs="Calibri"/>
              </w:rPr>
              <w:t>4</w:t>
            </w:r>
          </w:p>
        </w:tc>
        <w:tc>
          <w:tcPr>
            <w:tcW w:w="3543"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Badanie nośności podłoża</w:t>
            </w:r>
          </w:p>
        </w:tc>
        <w:tc>
          <w:tcPr>
            <w:tcW w:w="5670" w:type="dxa"/>
            <w:tcBorders>
              <w:top w:val="single" w:sz="6" w:space="0" w:color="auto"/>
              <w:left w:val="single" w:sz="6" w:space="0" w:color="auto"/>
              <w:bottom w:val="single" w:sz="6" w:space="0" w:color="auto"/>
              <w:right w:val="single" w:sz="6" w:space="0" w:color="auto"/>
            </w:tcBorders>
          </w:tcPr>
          <w:p w:rsidR="00656AC1" w:rsidRPr="00203191" w:rsidRDefault="00656AC1" w:rsidP="00887983">
            <w:pPr>
              <w:pStyle w:val="Standardowytekst"/>
              <w:tabs>
                <w:tab w:val="left" w:pos="9914"/>
              </w:tabs>
              <w:rPr>
                <w:rFonts w:ascii="Calibri" w:hAnsi="Calibri" w:cs="Calibri"/>
              </w:rPr>
            </w:pPr>
            <w:r w:rsidRPr="00203191">
              <w:rPr>
                <w:rFonts w:ascii="Calibri" w:hAnsi="Calibri" w:cs="Calibri"/>
              </w:rPr>
              <w:t>Moduł odkształcenia określać dla każdej ułożonej warstwy lecz nie rzadz</w:t>
            </w:r>
            <w:r w:rsidR="00887983">
              <w:rPr>
                <w:rFonts w:ascii="Calibri" w:hAnsi="Calibri" w:cs="Calibri"/>
              </w:rPr>
              <w:t>iej niż w trzech punktach na 20</w:t>
            </w:r>
            <w:r w:rsidRPr="00203191">
              <w:rPr>
                <w:rFonts w:ascii="Calibri" w:hAnsi="Calibri" w:cs="Calibri"/>
              </w:rPr>
              <w:t>0 m</w:t>
            </w:r>
            <w:r w:rsidRPr="00203191">
              <w:rPr>
                <w:rFonts w:ascii="Calibri" w:hAnsi="Calibri" w:cs="Calibri"/>
                <w:vertAlign w:val="superscript"/>
              </w:rPr>
              <w:t>2</w:t>
            </w:r>
            <w:r w:rsidRPr="00203191">
              <w:rPr>
                <w:rFonts w:ascii="Calibri" w:hAnsi="Calibri" w:cs="Calibri"/>
              </w:rPr>
              <w:t xml:space="preserve"> warstwy</w:t>
            </w:r>
          </w:p>
        </w:tc>
      </w:tr>
    </w:tbl>
    <w:p w:rsidR="00656AC1" w:rsidRPr="00203191" w:rsidRDefault="00656AC1" w:rsidP="00364E4D">
      <w:pPr>
        <w:pStyle w:val="Standardowytekst"/>
        <w:tabs>
          <w:tab w:val="left" w:pos="9914"/>
        </w:tabs>
        <w:rPr>
          <w:rFonts w:ascii="Calibri" w:hAnsi="Calibri" w:cs="Calibri"/>
        </w:rPr>
      </w:pP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6.3.2. Szerokość korpusu ziemnego</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Szerokość korpusu ziemnego nie może różnić się od szerokości projektowanej o więcej niż </w:t>
      </w:r>
      <w:r>
        <w:rPr>
          <w:rFonts w:ascii="Calibri" w:hAnsi="Calibri" w:cs="Calibri"/>
        </w:rPr>
        <w:t>±</w:t>
      </w:r>
      <w:r w:rsidRPr="00203191">
        <w:rPr>
          <w:rFonts w:ascii="Calibri" w:hAnsi="Calibri" w:cs="Calibri"/>
        </w:rPr>
        <w:t xml:space="preserve"> 10 cm.</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6.3.3. Szerokość dna rowów</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Szerokość dna rowów nie może różnić się od szerokości projektowanej o więcej niż </w:t>
      </w:r>
      <w:r>
        <w:rPr>
          <w:rFonts w:ascii="Calibri" w:hAnsi="Calibri" w:cs="Calibri"/>
        </w:rPr>
        <w:t>±</w:t>
      </w:r>
      <w:r w:rsidRPr="00203191">
        <w:rPr>
          <w:rFonts w:ascii="Calibri" w:hAnsi="Calibri" w:cs="Calibri"/>
        </w:rPr>
        <w:t xml:space="preserve"> 5 cm.</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6.3.4. Rzędne korony korpusu ziemnego</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Rzędne korony korpusu ziemnego nie mogą różnić się od rzędnych projektowanych o więcej niż -3 cm lub +1 cm.</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6.3.5. Pochylenie skarp</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Pochylenie skarp nie może różnić się od pochylenia projektowanego o więcej niż 10% wartości pochylenia wyrażonego tangensem kąta.</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6.3.6. Równość korony korpusu</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Nierówności powierzchni korpusu ziemnego mierzone łatą 3-metrową, nie mogą przekraczać 3 cm.</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6.3.7. Równość skarp</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Nierówności skarp, mierzone łatą 3-metrową, nie mogą przekraczać </w:t>
      </w:r>
      <w:r>
        <w:rPr>
          <w:rFonts w:ascii="Calibri" w:hAnsi="Calibri" w:cs="Calibri"/>
        </w:rPr>
        <w:t>±</w:t>
      </w:r>
      <w:r w:rsidRPr="00203191">
        <w:rPr>
          <w:rFonts w:ascii="Calibri" w:hAnsi="Calibri" w:cs="Calibri"/>
        </w:rPr>
        <w:t xml:space="preserve"> 10 cm.</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6.3.8. Spadek podłużny korony korpusu lub dna rowu</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Spadek podłużny powierzchni korpusu ziemnego lub dna rowu, sprawdzony przez pomiar niwelatorem rzędnych wysokościowych, nie może dawać różnic, w stosunku do rzędnych projektowanych, większych niż -3 cm lub +1 cm.</w:t>
      </w:r>
    </w:p>
    <w:p w:rsidR="00656AC1" w:rsidRPr="00203191" w:rsidRDefault="00656AC1" w:rsidP="00364E4D">
      <w:pPr>
        <w:tabs>
          <w:tab w:val="left" w:pos="0"/>
        </w:tabs>
        <w:rPr>
          <w:rFonts w:ascii="Calibri" w:hAnsi="Calibri" w:cs="Calibri"/>
          <w:b/>
          <w:bCs/>
          <w:i/>
          <w:iCs/>
        </w:rPr>
      </w:pPr>
      <w:r w:rsidRPr="00203191">
        <w:rPr>
          <w:rFonts w:ascii="Calibri" w:hAnsi="Calibri" w:cs="Calibri"/>
          <w:b/>
          <w:bCs/>
          <w:i/>
          <w:iCs/>
        </w:rPr>
        <w:t>6.3.9. Zagęszczenie i nośność gruntu</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Wskaźnik zagęszczenia gruntu określony zgodnie z BN-77/8931-12 powinien być zgodny z pkt 5.2. W przypadku gruntów dla których nie można określić wskaźnika zagęszczenia należy określić wskaźnik odkształcenia I</w:t>
      </w:r>
      <w:r w:rsidRPr="00203191">
        <w:rPr>
          <w:rFonts w:ascii="Calibri" w:hAnsi="Calibri" w:cs="Calibri"/>
          <w:vertAlign w:val="subscript"/>
        </w:rPr>
        <w:t>0</w:t>
      </w:r>
      <w:r w:rsidRPr="00203191">
        <w:rPr>
          <w:rFonts w:ascii="Calibri" w:hAnsi="Calibri" w:cs="Calibri"/>
        </w:rPr>
        <w:t>, zgodnie z normą PN-S-02205:1998.</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Modułu odkształcenia podłoża należy określić wg normy PN-S-02205:1998 (zał B). Wtórny moduł odkształcenia nie powinien być niższy, niż określono w tablicy 1</w:t>
      </w:r>
    </w:p>
    <w:p w:rsidR="00656AC1" w:rsidRPr="00203191" w:rsidRDefault="00656AC1" w:rsidP="00364E4D">
      <w:pPr>
        <w:tabs>
          <w:tab w:val="left" w:pos="9914"/>
        </w:tabs>
        <w:rPr>
          <w:rFonts w:ascii="Calibri" w:hAnsi="Calibri" w:cs="Calibri"/>
        </w:rPr>
      </w:pPr>
      <w:r w:rsidRPr="00203191">
        <w:rPr>
          <w:rFonts w:ascii="Calibri" w:hAnsi="Calibri" w:cs="Calibri"/>
        </w:rPr>
        <w:t>Za zgodą Inżyniera</w:t>
      </w:r>
      <w:r w:rsidR="003D751A">
        <w:rPr>
          <w:rFonts w:ascii="Calibri" w:hAnsi="Calibri" w:cs="Calibri"/>
        </w:rPr>
        <w:t xml:space="preserve"> </w:t>
      </w:r>
      <w:r w:rsidRPr="00203191">
        <w:rPr>
          <w:rFonts w:ascii="Calibri" w:hAnsi="Calibri" w:cs="Calibri"/>
        </w:rPr>
        <w:t>dopuszcza się prowadzenie badań przy zastosowaniu metod alternatywnych – w szczególności lekkiej płyty dynamicznej ZFG-02 lub lekkiej sondy wbijanej SD-10 zgodnie z Instrukcją Badań Podłoża Gruntowego Budowli Mostowych i Drogowych Część 2 Załącznik, Warszawa 1998. Korelacji pomiędzy wynikami uzyskanymi przy pomocy metod alternatywnych, a wymaganiami niniejszej SST należy dokonać zgodnie z instrukcjami producentów urządzeń alternatywnych</w:t>
      </w:r>
    </w:p>
    <w:p w:rsidR="00656AC1" w:rsidRPr="00203191" w:rsidRDefault="00656AC1" w:rsidP="00364E4D">
      <w:pPr>
        <w:pStyle w:val="Nagwek3"/>
        <w:tabs>
          <w:tab w:val="left" w:pos="9914"/>
        </w:tabs>
        <w:rPr>
          <w:rFonts w:ascii="Calibri" w:hAnsi="Calibri" w:cs="Calibri"/>
        </w:rPr>
      </w:pPr>
      <w:bookmarkStart w:id="205" w:name="_Toc407161229"/>
      <w:bookmarkStart w:id="206" w:name="_Toc418994931"/>
      <w:bookmarkStart w:id="207" w:name="_Toc418996338"/>
      <w:bookmarkStart w:id="208" w:name="_Toc418996707"/>
      <w:bookmarkStart w:id="209" w:name="_Toc418997094"/>
      <w:bookmarkStart w:id="210" w:name="_Toc418998504"/>
      <w:bookmarkStart w:id="211" w:name="_Toc418998860"/>
      <w:bookmarkStart w:id="212" w:name="_Toc419000105"/>
      <w:r w:rsidRPr="00203191">
        <w:rPr>
          <w:rFonts w:ascii="Calibri" w:hAnsi="Calibri" w:cs="Calibri"/>
        </w:rPr>
        <w:t>7. OBMIAR ROBÓT</w:t>
      </w:r>
      <w:bookmarkEnd w:id="205"/>
      <w:bookmarkEnd w:id="206"/>
      <w:bookmarkEnd w:id="207"/>
      <w:bookmarkEnd w:id="208"/>
      <w:bookmarkEnd w:id="209"/>
      <w:bookmarkEnd w:id="210"/>
      <w:bookmarkEnd w:id="211"/>
      <w:bookmarkEnd w:id="212"/>
    </w:p>
    <w:p w:rsidR="00887983" w:rsidRPr="00203191" w:rsidRDefault="00887983" w:rsidP="00887983">
      <w:pPr>
        <w:pStyle w:val="Nagwek4"/>
        <w:tabs>
          <w:tab w:val="left" w:pos="9914"/>
        </w:tabs>
        <w:rPr>
          <w:rFonts w:asciiTheme="minorHAnsi" w:hAnsiTheme="minorHAnsi"/>
        </w:rPr>
      </w:pPr>
      <w:bookmarkStart w:id="213" w:name="_Toc407161230"/>
      <w:r w:rsidRPr="00203191">
        <w:rPr>
          <w:rFonts w:asciiTheme="minorHAnsi" w:hAnsiTheme="minorHAnsi"/>
        </w:rPr>
        <w:t>7.1. Ogólne zasady obmiaru robót</w:t>
      </w:r>
      <w:bookmarkEnd w:id="213"/>
    </w:p>
    <w:p w:rsidR="00887983" w:rsidRPr="00203191" w:rsidRDefault="00887983" w:rsidP="00887983">
      <w:pPr>
        <w:tabs>
          <w:tab w:val="left" w:pos="9914"/>
        </w:tabs>
        <w:rPr>
          <w:rFonts w:asciiTheme="minorHAnsi" w:hAnsiTheme="minorHAnsi"/>
        </w:rPr>
      </w:pPr>
      <w:r w:rsidRPr="00203191">
        <w:rPr>
          <w:rFonts w:asciiTheme="minorHAnsi" w:hAnsiTheme="minorHAnsi"/>
        </w:rPr>
        <w:t>Ogólne zasady obmiaru robót podano w SSTWiORB D-M-00.00.00 pkt 7.</w:t>
      </w:r>
    </w:p>
    <w:p w:rsidR="00887983" w:rsidRPr="00203191" w:rsidRDefault="00887983" w:rsidP="00887983">
      <w:pPr>
        <w:pStyle w:val="Nagwek4"/>
        <w:tabs>
          <w:tab w:val="left" w:pos="9914"/>
        </w:tabs>
        <w:rPr>
          <w:rFonts w:asciiTheme="minorHAnsi" w:hAnsiTheme="minorHAnsi"/>
        </w:rPr>
      </w:pPr>
      <w:bookmarkStart w:id="214" w:name="_Toc407161231"/>
      <w:r w:rsidRPr="00203191">
        <w:rPr>
          <w:rFonts w:asciiTheme="minorHAnsi" w:hAnsiTheme="minorHAnsi"/>
        </w:rPr>
        <w:t>7.2. Jednostka obmiarowa</w:t>
      </w:r>
      <w:bookmarkEnd w:id="214"/>
    </w:p>
    <w:p w:rsidR="00887983" w:rsidRPr="00203191" w:rsidRDefault="00887983" w:rsidP="00887983">
      <w:pPr>
        <w:tabs>
          <w:tab w:val="left" w:pos="9914"/>
        </w:tabs>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3</w:t>
      </w:r>
      <w:r w:rsidRPr="00203191">
        <w:rPr>
          <w:rFonts w:asciiTheme="minorHAnsi" w:hAnsiTheme="minorHAnsi"/>
        </w:rPr>
        <w:t xml:space="preserve"> (metr sześcienny) wykonanego wykopu.</w:t>
      </w:r>
    </w:p>
    <w:p w:rsidR="00656AC1" w:rsidRPr="00203191" w:rsidRDefault="00656AC1" w:rsidP="00364E4D">
      <w:pPr>
        <w:tabs>
          <w:tab w:val="left" w:pos="9914"/>
        </w:tabs>
        <w:rPr>
          <w:rFonts w:ascii="Calibri" w:hAnsi="Calibri" w:cs="Calibri"/>
        </w:rPr>
      </w:pPr>
    </w:p>
    <w:p w:rsidR="00656AC1" w:rsidRPr="00203191" w:rsidRDefault="00656AC1" w:rsidP="00364E4D">
      <w:pPr>
        <w:pStyle w:val="Nagwek3"/>
        <w:tabs>
          <w:tab w:val="left" w:pos="9914"/>
        </w:tabs>
        <w:rPr>
          <w:rFonts w:ascii="Calibri" w:hAnsi="Calibri" w:cs="Calibri"/>
        </w:rPr>
      </w:pPr>
      <w:bookmarkStart w:id="215" w:name="_Toc407161232"/>
      <w:bookmarkStart w:id="216" w:name="_Toc418994932"/>
      <w:bookmarkStart w:id="217" w:name="_Toc418996339"/>
      <w:bookmarkStart w:id="218" w:name="_Toc418996708"/>
      <w:bookmarkStart w:id="219" w:name="_Toc418997095"/>
      <w:bookmarkStart w:id="220" w:name="_Toc418998505"/>
      <w:bookmarkStart w:id="221" w:name="_Toc418998861"/>
      <w:bookmarkStart w:id="222" w:name="_Toc419000106"/>
      <w:r w:rsidRPr="00203191">
        <w:rPr>
          <w:rFonts w:ascii="Calibri" w:hAnsi="Calibri" w:cs="Calibri"/>
        </w:rPr>
        <w:lastRenderedPageBreak/>
        <w:t>8. ODBIÓR ROBÓT</w:t>
      </w:r>
      <w:bookmarkEnd w:id="215"/>
      <w:bookmarkEnd w:id="216"/>
      <w:bookmarkEnd w:id="217"/>
      <w:bookmarkEnd w:id="218"/>
      <w:bookmarkEnd w:id="219"/>
      <w:bookmarkEnd w:id="220"/>
      <w:bookmarkEnd w:id="221"/>
      <w:bookmarkEnd w:id="222"/>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pkt 8.</w:t>
      </w:r>
    </w:p>
    <w:p w:rsidR="00656AC1" w:rsidRPr="00203191" w:rsidRDefault="00656AC1" w:rsidP="00364E4D">
      <w:pPr>
        <w:tabs>
          <w:tab w:val="left" w:pos="9914"/>
        </w:tabs>
        <w:rPr>
          <w:rFonts w:ascii="Calibri" w:hAnsi="Calibri" w:cs="Calibri"/>
        </w:rPr>
      </w:pPr>
      <w:bookmarkStart w:id="223" w:name="_Toc407161233"/>
      <w:bookmarkStart w:id="224" w:name="_Toc418994933"/>
      <w:bookmarkStart w:id="225" w:name="_Toc418996340"/>
      <w:bookmarkStart w:id="226" w:name="_Toc418996709"/>
      <w:bookmarkStart w:id="227" w:name="_Toc418997096"/>
      <w:bookmarkStart w:id="228" w:name="_Toc418998506"/>
      <w:bookmarkStart w:id="229" w:name="_Toc418998862"/>
      <w:bookmarkStart w:id="230" w:name="_Toc419000107"/>
      <w:r w:rsidRPr="00203191">
        <w:rPr>
          <w:rFonts w:ascii="Calibri" w:hAnsi="Calibri" w:cs="Calibri"/>
        </w:rPr>
        <w:t xml:space="preserve">Roboty uznaje się za wykonane zgodnie z dokumentacją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pkt 6 dały wyniki pozytywne.</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9. PODSTAWA PŁATNOŚCI</w:t>
      </w:r>
      <w:bookmarkEnd w:id="223"/>
      <w:bookmarkEnd w:id="224"/>
      <w:bookmarkEnd w:id="225"/>
      <w:bookmarkEnd w:id="226"/>
      <w:bookmarkEnd w:id="227"/>
      <w:bookmarkEnd w:id="228"/>
      <w:bookmarkEnd w:id="229"/>
      <w:bookmarkEnd w:id="230"/>
    </w:p>
    <w:p w:rsidR="00887983" w:rsidRPr="00203191" w:rsidRDefault="00887983" w:rsidP="00887983">
      <w:pPr>
        <w:pStyle w:val="Nagwek4"/>
        <w:tabs>
          <w:tab w:val="left" w:pos="9914"/>
        </w:tabs>
        <w:rPr>
          <w:rFonts w:asciiTheme="minorHAnsi" w:hAnsiTheme="minorHAnsi"/>
        </w:rPr>
      </w:pPr>
      <w:bookmarkStart w:id="231" w:name="_Toc407161234"/>
      <w:r w:rsidRPr="00203191">
        <w:rPr>
          <w:rFonts w:asciiTheme="minorHAnsi" w:hAnsiTheme="minorHAnsi"/>
        </w:rPr>
        <w:t>9.1. Ogólne ustalenia dotyczące podstawy płatności</w:t>
      </w:r>
      <w:bookmarkEnd w:id="231"/>
    </w:p>
    <w:p w:rsidR="00887983" w:rsidRPr="00203191" w:rsidRDefault="00887983" w:rsidP="00887983">
      <w:pPr>
        <w:tabs>
          <w:tab w:val="left" w:pos="9914"/>
        </w:tabs>
        <w:rPr>
          <w:rFonts w:asciiTheme="minorHAnsi" w:hAnsiTheme="minorHAnsi"/>
        </w:rPr>
      </w:pPr>
      <w:r w:rsidRPr="00203191">
        <w:rPr>
          <w:rFonts w:asciiTheme="minorHAnsi" w:hAnsiTheme="minorHAnsi"/>
        </w:rPr>
        <w:t>Ogólne ustalenia dotyczące podstawy płatności podano w SSTWiORB D-M-00.00.00 pkt 9.</w:t>
      </w:r>
    </w:p>
    <w:p w:rsidR="00887983" w:rsidRPr="00203191" w:rsidRDefault="00887983" w:rsidP="00887983">
      <w:pPr>
        <w:pStyle w:val="Nagwek4"/>
        <w:tabs>
          <w:tab w:val="left" w:pos="9914"/>
        </w:tabs>
        <w:rPr>
          <w:rFonts w:asciiTheme="minorHAnsi" w:hAnsiTheme="minorHAnsi"/>
        </w:rPr>
      </w:pPr>
      <w:bookmarkStart w:id="232" w:name="_Toc407161235"/>
      <w:r w:rsidRPr="00203191">
        <w:rPr>
          <w:rFonts w:asciiTheme="minorHAnsi" w:hAnsiTheme="minorHAnsi"/>
        </w:rPr>
        <w:t>9.2. Cena jednostki obmiarowej</w:t>
      </w:r>
      <w:bookmarkEnd w:id="232"/>
    </w:p>
    <w:p w:rsidR="00887983" w:rsidRPr="00203191" w:rsidRDefault="00887983" w:rsidP="00887983">
      <w:pPr>
        <w:tabs>
          <w:tab w:val="left" w:pos="9914"/>
        </w:tabs>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3"/>
        </w:smartTagPr>
        <w:r w:rsidRPr="00203191">
          <w:rPr>
            <w:rFonts w:asciiTheme="minorHAnsi" w:hAnsiTheme="minorHAnsi"/>
          </w:rPr>
          <w:t>1 m</w:t>
        </w:r>
        <w:r w:rsidRPr="00203191">
          <w:rPr>
            <w:rFonts w:asciiTheme="minorHAnsi" w:hAnsiTheme="minorHAnsi"/>
            <w:vertAlign w:val="superscript"/>
          </w:rPr>
          <w:t>3</w:t>
        </w:r>
      </w:smartTag>
      <w:r w:rsidRPr="00203191">
        <w:rPr>
          <w:rFonts w:asciiTheme="minorHAnsi" w:hAnsiTheme="minorHAnsi"/>
        </w:rPr>
        <w:t xml:space="preserve"> wykopów w gruntach nieskalistych obejmuje:</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prace pomiarowe i roboty przygotowawcze,</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oznakowanie robót,</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wykonanie wykopu z transportem urobku na nasyp lub odkład, obejmujące: odspojenie, przemieszczenie, załadunek, przewiezienie i wyładunek,</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ewentualne koszty utylizacji</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odwodnienie wykopu na czas jego wykonywania,</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 xml:space="preserve">profilowanie dna wykopu, rowów, skarp, </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 xml:space="preserve">zagęszczenie powierzchni wykopu, </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przeprowadzenie pomiarów i badań laboratoryjnych, wymaganych w specyfikacji technicznej,</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 xml:space="preserve">rozplantowanie urobku na odkładzie, </w:t>
      </w:r>
    </w:p>
    <w:p w:rsidR="00887983" w:rsidRPr="00203191" w:rsidRDefault="00887983" w:rsidP="00887983">
      <w:pPr>
        <w:numPr>
          <w:ilvl w:val="0"/>
          <w:numId w:val="38"/>
        </w:numPr>
        <w:tabs>
          <w:tab w:val="left" w:pos="9914"/>
        </w:tabs>
        <w:rPr>
          <w:rFonts w:asciiTheme="minorHAnsi" w:hAnsiTheme="minorHAnsi"/>
        </w:rPr>
      </w:pPr>
      <w:r w:rsidRPr="00203191">
        <w:rPr>
          <w:rFonts w:asciiTheme="minorHAnsi" w:hAnsiTheme="minorHAnsi"/>
        </w:rPr>
        <w:t>wykonanie, a następnie rozebranie dróg dojazdowych,</w:t>
      </w:r>
    </w:p>
    <w:p w:rsidR="00656AC1" w:rsidRPr="00203191" w:rsidRDefault="00887983" w:rsidP="00887983">
      <w:pPr>
        <w:tabs>
          <w:tab w:val="left" w:pos="9914"/>
        </w:tabs>
        <w:rPr>
          <w:rFonts w:ascii="Calibri" w:hAnsi="Calibri" w:cs="Calibri"/>
        </w:rPr>
      </w:pPr>
      <w:r w:rsidRPr="00203191">
        <w:rPr>
          <w:rFonts w:asciiTheme="minorHAnsi" w:hAnsiTheme="minorHAnsi"/>
        </w:rPr>
        <w:t>rekultywację terenu.</w:t>
      </w:r>
      <w:r w:rsidR="00656AC1" w:rsidRPr="00203191">
        <w:rPr>
          <w:rFonts w:ascii="Calibri" w:hAnsi="Calibri" w:cs="Calibri"/>
        </w:rPr>
        <w:tab/>
      </w:r>
    </w:p>
    <w:p w:rsidR="00656AC1" w:rsidRPr="00203191" w:rsidRDefault="00656AC1" w:rsidP="00364E4D">
      <w:pPr>
        <w:pStyle w:val="Nagwek3"/>
        <w:tabs>
          <w:tab w:val="left" w:pos="9914"/>
        </w:tabs>
        <w:rPr>
          <w:rFonts w:ascii="Calibri" w:hAnsi="Calibri" w:cs="Calibri"/>
        </w:rPr>
      </w:pPr>
      <w:bookmarkStart w:id="233" w:name="_Toc407161236"/>
      <w:bookmarkStart w:id="234" w:name="_Toc418994934"/>
      <w:bookmarkStart w:id="235" w:name="_Toc418996341"/>
      <w:bookmarkStart w:id="236" w:name="_Toc418996710"/>
      <w:bookmarkStart w:id="237" w:name="_Toc418997097"/>
      <w:bookmarkStart w:id="238" w:name="_Toc418998507"/>
      <w:bookmarkStart w:id="239" w:name="_Toc418998863"/>
      <w:bookmarkStart w:id="240" w:name="_Toc419000108"/>
      <w:r w:rsidRPr="00203191">
        <w:rPr>
          <w:rFonts w:ascii="Calibri" w:hAnsi="Calibri" w:cs="Calibri"/>
        </w:rPr>
        <w:t>10. przepisy związane</w:t>
      </w:r>
      <w:bookmarkEnd w:id="233"/>
      <w:bookmarkEnd w:id="234"/>
      <w:bookmarkEnd w:id="235"/>
      <w:bookmarkEnd w:id="236"/>
      <w:bookmarkEnd w:id="237"/>
      <w:bookmarkEnd w:id="238"/>
      <w:bookmarkEnd w:id="239"/>
      <w:bookmarkEnd w:id="240"/>
    </w:p>
    <w:p w:rsidR="00656AC1" w:rsidRPr="00203191" w:rsidRDefault="00656AC1" w:rsidP="00364E4D">
      <w:pPr>
        <w:pStyle w:val="Nagwek4"/>
        <w:tabs>
          <w:tab w:val="left" w:pos="9914"/>
        </w:tabs>
        <w:rPr>
          <w:rFonts w:ascii="Calibri" w:hAnsi="Calibri" w:cs="Calibri"/>
        </w:rPr>
      </w:pPr>
      <w:bookmarkStart w:id="241" w:name="_Toc405615063"/>
      <w:bookmarkStart w:id="242" w:name="_Toc407161211"/>
      <w:r w:rsidRPr="00203191">
        <w:rPr>
          <w:rFonts w:ascii="Calibri" w:hAnsi="Calibri" w:cs="Calibri"/>
        </w:rPr>
        <w:t>10.1. Normy</w:t>
      </w:r>
      <w:bookmarkEnd w:id="241"/>
      <w:bookmarkEnd w:id="242"/>
    </w:p>
    <w:tbl>
      <w:tblPr>
        <w:tblW w:w="9851" w:type="dxa"/>
        <w:tblInd w:w="2" w:type="dxa"/>
        <w:tblLayout w:type="fixed"/>
        <w:tblCellMar>
          <w:left w:w="70" w:type="dxa"/>
          <w:right w:w="70" w:type="dxa"/>
        </w:tblCellMar>
        <w:tblLook w:val="0000"/>
      </w:tblPr>
      <w:tblGrid>
        <w:gridCol w:w="354"/>
        <w:gridCol w:w="1879"/>
        <w:gridCol w:w="7618"/>
      </w:tblGrid>
      <w:tr w:rsidR="00656AC1" w:rsidRPr="00203191">
        <w:tc>
          <w:tcPr>
            <w:tcW w:w="354"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1.</w:t>
            </w:r>
          </w:p>
        </w:tc>
        <w:tc>
          <w:tcPr>
            <w:tcW w:w="1879"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PN-B-04481:1988</w:t>
            </w:r>
          </w:p>
        </w:tc>
        <w:tc>
          <w:tcPr>
            <w:tcW w:w="7618"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Grunty budowlane. Badania próbek gruntów</w:t>
            </w:r>
          </w:p>
        </w:tc>
      </w:tr>
      <w:tr w:rsidR="00656AC1" w:rsidRPr="00203191">
        <w:tc>
          <w:tcPr>
            <w:tcW w:w="354"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2.</w:t>
            </w:r>
          </w:p>
        </w:tc>
        <w:tc>
          <w:tcPr>
            <w:tcW w:w="1879"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PN-B-04493:1960</w:t>
            </w:r>
          </w:p>
        </w:tc>
        <w:tc>
          <w:tcPr>
            <w:tcW w:w="7618"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Grunty budowlane. Oznaczanie kapilarności biernej</w:t>
            </w:r>
          </w:p>
        </w:tc>
      </w:tr>
      <w:tr w:rsidR="00656AC1" w:rsidRPr="00203191">
        <w:tc>
          <w:tcPr>
            <w:tcW w:w="354"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3.</w:t>
            </w:r>
          </w:p>
        </w:tc>
        <w:tc>
          <w:tcPr>
            <w:tcW w:w="1879"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PN-S-02205:1998</w:t>
            </w:r>
          </w:p>
        </w:tc>
        <w:tc>
          <w:tcPr>
            <w:tcW w:w="7618"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Drogi samochodowe. Roboty ziemne. Wymagania i badania</w:t>
            </w:r>
          </w:p>
        </w:tc>
      </w:tr>
      <w:tr w:rsidR="00656AC1" w:rsidRPr="00203191">
        <w:tc>
          <w:tcPr>
            <w:tcW w:w="354"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4</w:t>
            </w:r>
          </w:p>
        </w:tc>
        <w:tc>
          <w:tcPr>
            <w:tcW w:w="1879"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PN-EN 933-8:2001</w:t>
            </w:r>
          </w:p>
        </w:tc>
        <w:tc>
          <w:tcPr>
            <w:tcW w:w="7618"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Badanie geometrycznych właściwości kruszyw. Część 8 Ocena zawartości drobnych cząstek – Badanie wskaźnika piaskowego</w:t>
            </w:r>
          </w:p>
        </w:tc>
      </w:tr>
      <w:tr w:rsidR="00656AC1" w:rsidRPr="00203191">
        <w:tc>
          <w:tcPr>
            <w:tcW w:w="354"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5.</w:t>
            </w:r>
          </w:p>
        </w:tc>
        <w:tc>
          <w:tcPr>
            <w:tcW w:w="1879"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BN-77/8931-12</w:t>
            </w:r>
          </w:p>
        </w:tc>
        <w:tc>
          <w:tcPr>
            <w:tcW w:w="7618" w:type="dxa"/>
          </w:tcPr>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Oznaczenie wskaźnika zagęszczenia gruntu</w:t>
            </w:r>
          </w:p>
        </w:tc>
      </w:tr>
    </w:tbl>
    <w:p w:rsidR="00656AC1" w:rsidRPr="00203191" w:rsidRDefault="00656AC1" w:rsidP="00364E4D">
      <w:pPr>
        <w:pStyle w:val="Nagwek4"/>
        <w:tabs>
          <w:tab w:val="left" w:pos="9914"/>
        </w:tabs>
        <w:rPr>
          <w:rFonts w:ascii="Calibri" w:hAnsi="Calibri" w:cs="Calibri"/>
        </w:rPr>
      </w:pPr>
      <w:bookmarkStart w:id="243" w:name="_Toc405615064"/>
      <w:bookmarkStart w:id="244" w:name="_Toc407161212"/>
    </w:p>
    <w:p w:rsidR="00656AC1" w:rsidRPr="00203191" w:rsidRDefault="00656AC1" w:rsidP="00364E4D">
      <w:pPr>
        <w:tabs>
          <w:tab w:val="left" w:pos="9914"/>
        </w:tabs>
        <w:rPr>
          <w:rFonts w:ascii="Calibri" w:hAnsi="Calibri" w:cs="Calibri"/>
          <w:b/>
          <w:bCs/>
        </w:rPr>
      </w:pPr>
      <w:r w:rsidRPr="00203191">
        <w:rPr>
          <w:rFonts w:ascii="Calibri" w:hAnsi="Calibri" w:cs="Calibri"/>
          <w:b/>
          <w:bCs/>
        </w:rPr>
        <w:t>10.2 Inne dokumenty</w:t>
      </w:r>
    </w:p>
    <w:bookmarkEnd w:id="243"/>
    <w:bookmarkEnd w:id="244"/>
    <w:p w:rsidR="00656AC1" w:rsidRPr="00203191" w:rsidRDefault="00656AC1" w:rsidP="00973D29">
      <w:pPr>
        <w:pStyle w:val="Standardowytekst"/>
        <w:numPr>
          <w:ilvl w:val="0"/>
          <w:numId w:val="25"/>
        </w:numPr>
        <w:tabs>
          <w:tab w:val="left" w:pos="426"/>
          <w:tab w:val="left" w:pos="9914"/>
        </w:tabs>
        <w:rPr>
          <w:rFonts w:ascii="Calibri" w:hAnsi="Calibri" w:cs="Calibri"/>
        </w:rPr>
      </w:pPr>
      <w:r w:rsidRPr="00203191">
        <w:rPr>
          <w:rFonts w:ascii="Calibri" w:hAnsi="Calibri" w:cs="Calibri"/>
        </w:rPr>
        <w:t>Instrukcja badań podłoża gruntowego budowli drogowych i mostowych, GDDP,Warszawa 1998.</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7.   Katalog typowych konstrukcji nawierzchni podatnych i półsztywnych, IBDiM, Warszawa 1997</w:t>
      </w:r>
    </w:p>
    <w:p w:rsidR="004F5BEB" w:rsidRPr="008C309F" w:rsidRDefault="004F5BEB" w:rsidP="004F5BEB">
      <w:pPr>
        <w:pStyle w:val="Nagwek2"/>
      </w:pPr>
      <w:r w:rsidRPr="008C309F">
        <w:lastRenderedPageBreak/>
        <w:t>SPECYFIKACJA TECHNICZNA WYKONANIA I ODBIORU ROBÓT BUDOWLANYCH</w:t>
      </w:r>
    </w:p>
    <w:p w:rsidR="004F5BEB" w:rsidRPr="008C309F" w:rsidRDefault="004F5BEB" w:rsidP="004F5BEB">
      <w:pPr>
        <w:pStyle w:val="Nagwek1"/>
      </w:pPr>
      <w:bookmarkStart w:id="245" w:name="_Toc377823408"/>
      <w:bookmarkStart w:id="246" w:name="_Toc427178268"/>
      <w:bookmarkStart w:id="247" w:name="_Toc459929667"/>
      <w:r w:rsidRPr="008C309F">
        <w:t>D - 02.03.01 NASYPY</w:t>
      </w:r>
      <w:bookmarkEnd w:id="245"/>
      <w:bookmarkEnd w:id="246"/>
      <w:bookmarkEnd w:id="247"/>
    </w:p>
    <w:p w:rsidR="004F5BEB" w:rsidRPr="00FE60E3" w:rsidRDefault="004F5BEB" w:rsidP="004F5BEB">
      <w:pPr>
        <w:pStyle w:val="Nagwek3"/>
        <w:rPr>
          <w:rFonts w:asciiTheme="minorHAnsi" w:hAnsiTheme="minorHAnsi"/>
        </w:rPr>
      </w:pPr>
      <w:bookmarkStart w:id="248" w:name="_Toc406295845"/>
      <w:bookmarkStart w:id="249" w:name="_Toc407161265"/>
      <w:bookmarkStart w:id="250" w:name="_Toc418994945"/>
      <w:bookmarkStart w:id="251" w:name="_Toc418996352"/>
      <w:bookmarkStart w:id="252" w:name="_Toc418996721"/>
      <w:bookmarkStart w:id="253" w:name="_Toc418997108"/>
      <w:bookmarkStart w:id="254" w:name="_Toc418998518"/>
      <w:bookmarkStart w:id="255" w:name="_Toc418998874"/>
      <w:bookmarkStart w:id="256" w:name="_Toc419000119"/>
      <w:r w:rsidRPr="00FE60E3">
        <w:rPr>
          <w:rFonts w:asciiTheme="minorHAnsi" w:hAnsiTheme="minorHAnsi"/>
        </w:rPr>
        <w:t>1. WSTĘP</w:t>
      </w:r>
      <w:bookmarkEnd w:id="248"/>
      <w:bookmarkEnd w:id="249"/>
      <w:bookmarkEnd w:id="250"/>
      <w:bookmarkEnd w:id="251"/>
      <w:bookmarkEnd w:id="252"/>
      <w:bookmarkEnd w:id="253"/>
      <w:bookmarkEnd w:id="254"/>
      <w:bookmarkEnd w:id="255"/>
      <w:bookmarkEnd w:id="256"/>
    </w:p>
    <w:p w:rsidR="004F5BEB" w:rsidRPr="00FE60E3" w:rsidRDefault="004F5BEB" w:rsidP="004F5BEB">
      <w:pPr>
        <w:pStyle w:val="Nagwek4"/>
        <w:rPr>
          <w:rFonts w:asciiTheme="minorHAnsi" w:hAnsiTheme="minorHAnsi"/>
        </w:rPr>
      </w:pPr>
      <w:bookmarkStart w:id="257" w:name="_Toc406295846"/>
      <w:bookmarkStart w:id="258" w:name="_Toc407161266"/>
      <w:r w:rsidRPr="00FE60E3">
        <w:rPr>
          <w:rFonts w:asciiTheme="minorHAnsi" w:hAnsiTheme="minorHAnsi"/>
        </w:rPr>
        <w:t xml:space="preserve">1.1. Przedmiot </w:t>
      </w:r>
      <w:bookmarkEnd w:id="257"/>
      <w:bookmarkEnd w:id="258"/>
      <w:r w:rsidRPr="00FE60E3">
        <w:rPr>
          <w:rFonts w:asciiTheme="minorHAnsi" w:hAnsiTheme="minorHAnsi"/>
        </w:rPr>
        <w:t>STWiORB</w:t>
      </w:r>
    </w:p>
    <w:p w:rsidR="004F5BEB" w:rsidRPr="00FE60E3" w:rsidRDefault="004F5BEB" w:rsidP="004F5BEB">
      <w:pPr>
        <w:rPr>
          <w:rFonts w:asciiTheme="minorHAnsi" w:hAnsiTheme="minorHAnsi"/>
        </w:rPr>
      </w:pPr>
      <w:r w:rsidRPr="00FE60E3">
        <w:rPr>
          <w:rFonts w:asciiTheme="minorHAnsi" w:hAnsiTheme="minorHAnsi"/>
        </w:rPr>
        <w:t>Przedmiotem niniejszej specyfikacji technicznej wykonania i odbioru robót budowlanych (STWiORB) są wymagania dotyczące wykonania i odbioru nasypów.</w:t>
      </w:r>
    </w:p>
    <w:p w:rsidR="004F5BEB" w:rsidRPr="00FE60E3" w:rsidRDefault="004F5BEB" w:rsidP="004F5BEB">
      <w:pPr>
        <w:pStyle w:val="Nagwek4"/>
        <w:rPr>
          <w:rFonts w:asciiTheme="minorHAnsi" w:hAnsiTheme="minorHAnsi"/>
        </w:rPr>
      </w:pPr>
      <w:bookmarkStart w:id="259" w:name="_Toc406295847"/>
      <w:bookmarkStart w:id="260" w:name="_Toc407161267"/>
      <w:r w:rsidRPr="00FE60E3">
        <w:rPr>
          <w:rFonts w:asciiTheme="minorHAnsi" w:hAnsiTheme="minorHAnsi"/>
        </w:rPr>
        <w:t xml:space="preserve">1.2. Zakres stosowania </w:t>
      </w:r>
      <w:bookmarkEnd w:id="259"/>
      <w:bookmarkEnd w:id="260"/>
      <w:r w:rsidRPr="00FE60E3">
        <w:rPr>
          <w:rFonts w:asciiTheme="minorHAnsi" w:hAnsiTheme="minorHAnsi"/>
        </w:rPr>
        <w:t>STWiORB</w:t>
      </w:r>
    </w:p>
    <w:p w:rsidR="00FE60E3" w:rsidRPr="00203191" w:rsidRDefault="00FE60E3" w:rsidP="00FE60E3">
      <w:pPr>
        <w:rPr>
          <w:rFonts w:ascii="Calibri" w:hAnsi="Calibri" w:cs="Calibri"/>
        </w:rPr>
      </w:pPr>
      <w:bookmarkStart w:id="261" w:name="_Toc406295848"/>
      <w:bookmarkStart w:id="262" w:name="_Toc407161268"/>
      <w:r>
        <w:rPr>
          <w:rFonts w:ascii="Calibri" w:hAnsi="Calibri" w:cs="Calibri"/>
        </w:rPr>
        <w:t xml:space="preserve">Specyfikacja techniczna stanowi </w:t>
      </w:r>
      <w:r w:rsidRPr="00203191">
        <w:rPr>
          <w:rFonts w:ascii="Calibri" w:hAnsi="Calibri" w:cs="Calibri"/>
        </w:rPr>
        <w:t xml:space="preserve">dokument przetargowy i kontraktowy przy realizacji  zadania </w:t>
      </w:r>
      <w:r>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Pr>
          <w:rFonts w:ascii="Calibri" w:hAnsi="Calibri" w:cs="Calibri"/>
        </w:rPr>
        <w:t>”</w:t>
      </w:r>
    </w:p>
    <w:p w:rsidR="004F5BEB" w:rsidRPr="00FE60E3" w:rsidRDefault="004F5BEB" w:rsidP="004F5BEB">
      <w:pPr>
        <w:pStyle w:val="Nagwek4"/>
        <w:rPr>
          <w:rFonts w:asciiTheme="minorHAnsi" w:hAnsiTheme="minorHAnsi"/>
        </w:rPr>
      </w:pPr>
      <w:r w:rsidRPr="00FE60E3">
        <w:rPr>
          <w:rFonts w:asciiTheme="minorHAnsi" w:hAnsiTheme="minorHAnsi"/>
        </w:rPr>
        <w:t xml:space="preserve">1.3. Zakres robót objętych </w:t>
      </w:r>
      <w:bookmarkEnd w:id="261"/>
      <w:bookmarkEnd w:id="262"/>
      <w:r w:rsidRPr="00FE60E3">
        <w:rPr>
          <w:rFonts w:asciiTheme="minorHAnsi" w:hAnsiTheme="minorHAnsi"/>
        </w:rPr>
        <w:t>STWiORB</w:t>
      </w:r>
    </w:p>
    <w:p w:rsidR="004F5BEB" w:rsidRPr="00FE60E3" w:rsidRDefault="004F5BEB" w:rsidP="004F5BEB">
      <w:pPr>
        <w:rPr>
          <w:rFonts w:asciiTheme="minorHAnsi" w:hAnsiTheme="minorHAnsi"/>
        </w:rPr>
      </w:pPr>
      <w:r w:rsidRPr="00FE60E3">
        <w:rPr>
          <w:rFonts w:asciiTheme="minorHAnsi" w:hAnsiTheme="minorHAnsi"/>
        </w:rPr>
        <w:t xml:space="preserve">Ustalenia zawarte w niniejszej specyfikacji dotyczą zasad prowadzenia robót ziemnych w czasie budowy lub modernizacji dróg i obejmują wykonanie nasypów. </w:t>
      </w:r>
    </w:p>
    <w:p w:rsidR="004F5BEB" w:rsidRPr="00FE60E3" w:rsidRDefault="004F5BEB" w:rsidP="004F5BEB">
      <w:pPr>
        <w:pStyle w:val="Nagwek4"/>
        <w:rPr>
          <w:rFonts w:asciiTheme="minorHAnsi" w:hAnsiTheme="minorHAnsi"/>
        </w:rPr>
      </w:pPr>
      <w:bookmarkStart w:id="263" w:name="_Toc406295849"/>
      <w:bookmarkStart w:id="264" w:name="_Toc407161269"/>
      <w:r w:rsidRPr="00FE60E3">
        <w:rPr>
          <w:rFonts w:asciiTheme="minorHAnsi" w:hAnsiTheme="minorHAnsi"/>
        </w:rPr>
        <w:t>1.4. Określenia podstawowe</w:t>
      </w:r>
      <w:bookmarkEnd w:id="263"/>
      <w:bookmarkEnd w:id="264"/>
    </w:p>
    <w:p w:rsidR="004F5BEB" w:rsidRPr="00FE60E3" w:rsidRDefault="004F5BEB" w:rsidP="004F5BEB">
      <w:pPr>
        <w:pStyle w:val="Standardowytekst"/>
        <w:tabs>
          <w:tab w:val="right" w:pos="-1985"/>
          <w:tab w:val="left" w:pos="567"/>
        </w:tabs>
        <w:rPr>
          <w:rFonts w:asciiTheme="minorHAnsi" w:hAnsiTheme="minorHAnsi"/>
        </w:rPr>
      </w:pPr>
      <w:r w:rsidRPr="00FE60E3">
        <w:rPr>
          <w:rFonts w:asciiTheme="minorHAnsi" w:hAnsiTheme="minorHAnsi"/>
          <w:b/>
        </w:rPr>
        <w:t>1.4.1.</w:t>
      </w:r>
      <w:r w:rsidRPr="00FE60E3">
        <w:rPr>
          <w:rFonts w:asciiTheme="minorHAnsi" w:hAnsiTheme="minorHAnsi"/>
          <w:b/>
        </w:rPr>
        <w:tab/>
      </w:r>
      <w:r w:rsidRPr="00FE60E3">
        <w:rPr>
          <w:rFonts w:asciiTheme="minorHAnsi" w:hAnsiTheme="minorHAnsi"/>
        </w:rPr>
        <w:t>Budowla ziemna - budowla wykonana w gruncie lub z gruntu naturalnego lub z gruntu antropogenicznego spełniająca warunki stateczności i odwodnienia.</w:t>
      </w:r>
    </w:p>
    <w:p w:rsidR="004F5BEB" w:rsidRPr="00FE60E3" w:rsidRDefault="004F5BEB" w:rsidP="004F5BEB">
      <w:pPr>
        <w:pStyle w:val="Standardowytekst"/>
        <w:tabs>
          <w:tab w:val="right" w:pos="-1985"/>
          <w:tab w:val="left" w:pos="567"/>
        </w:tabs>
        <w:rPr>
          <w:rFonts w:asciiTheme="minorHAnsi" w:hAnsiTheme="minorHAnsi"/>
        </w:rPr>
      </w:pPr>
      <w:r w:rsidRPr="00FE60E3">
        <w:rPr>
          <w:rFonts w:asciiTheme="minorHAnsi" w:hAnsiTheme="minorHAnsi"/>
          <w:b/>
        </w:rPr>
        <w:t>1.4.2.</w:t>
      </w:r>
      <w:r w:rsidRPr="00FE60E3">
        <w:rPr>
          <w:rFonts w:asciiTheme="minorHAnsi" w:hAnsiTheme="minorHAnsi"/>
          <w:b/>
        </w:rPr>
        <w:tab/>
      </w:r>
      <w:r w:rsidRPr="00FE60E3">
        <w:rPr>
          <w:rFonts w:asciiTheme="minorHAnsi" w:hAnsiTheme="minorHAnsi"/>
        </w:rPr>
        <w:t>Dokop - miejsce pozyskania gruntu do wykonania nasypów, położone poza pasem robót drogowych</w:t>
      </w:r>
    </w:p>
    <w:p w:rsidR="004F5BEB" w:rsidRPr="00FE60E3" w:rsidRDefault="004F5BEB" w:rsidP="004F5BEB">
      <w:pPr>
        <w:pStyle w:val="Standardowytekst"/>
        <w:tabs>
          <w:tab w:val="right" w:pos="-1985"/>
          <w:tab w:val="left" w:pos="567"/>
        </w:tabs>
        <w:rPr>
          <w:rFonts w:asciiTheme="minorHAnsi" w:hAnsiTheme="minorHAnsi"/>
          <w:b/>
        </w:rPr>
      </w:pPr>
      <w:r w:rsidRPr="00FE60E3">
        <w:rPr>
          <w:rFonts w:asciiTheme="minorHAnsi" w:hAnsiTheme="minorHAnsi"/>
          <w:b/>
        </w:rPr>
        <w:t>1.4.3.</w:t>
      </w:r>
      <w:r w:rsidRPr="00FE60E3">
        <w:rPr>
          <w:rFonts w:asciiTheme="minorHAnsi" w:hAnsiTheme="minorHAnsi"/>
          <w:b/>
        </w:rPr>
        <w:tab/>
      </w:r>
      <w:r w:rsidRPr="00FE60E3">
        <w:rPr>
          <w:rFonts w:asciiTheme="minorHAnsi" w:hAnsiTheme="minorHAnsi"/>
        </w:rPr>
        <w:t>Korpus drogowy - nasyp lub ta część wykopu, która jest ograniczona koroną drogi i skarpami rowów.</w:t>
      </w:r>
      <w:r w:rsidRPr="00FE60E3">
        <w:rPr>
          <w:rFonts w:asciiTheme="minorHAnsi" w:hAnsiTheme="minorHAnsi"/>
          <w:b/>
        </w:rPr>
        <w:t xml:space="preserve"> </w:t>
      </w:r>
    </w:p>
    <w:p w:rsidR="004F5BEB" w:rsidRPr="00FE60E3" w:rsidRDefault="004F5BEB" w:rsidP="004F5BEB">
      <w:pPr>
        <w:pStyle w:val="Standardowytekst"/>
        <w:tabs>
          <w:tab w:val="right" w:pos="-1985"/>
          <w:tab w:val="left" w:pos="567"/>
        </w:tabs>
        <w:rPr>
          <w:rFonts w:asciiTheme="minorHAnsi" w:hAnsiTheme="minorHAnsi"/>
        </w:rPr>
      </w:pPr>
      <w:r w:rsidRPr="00FE60E3">
        <w:rPr>
          <w:rFonts w:asciiTheme="minorHAnsi" w:hAnsiTheme="minorHAnsi"/>
          <w:b/>
        </w:rPr>
        <w:t>1.4.4.</w:t>
      </w:r>
      <w:r w:rsidRPr="00FE60E3">
        <w:rPr>
          <w:rFonts w:asciiTheme="minorHAnsi" w:hAnsiTheme="minorHAnsi"/>
          <w:b/>
        </w:rPr>
        <w:tab/>
      </w:r>
      <w:r w:rsidRPr="00FE60E3">
        <w:rPr>
          <w:rFonts w:asciiTheme="minorHAnsi" w:hAnsiTheme="minorHAnsi"/>
        </w:rPr>
        <w:t>Nasyp niski - nasyp, którego wysokość jest mniejsza niż 1 m.</w:t>
      </w:r>
    </w:p>
    <w:p w:rsidR="004F5BEB" w:rsidRPr="00FE60E3" w:rsidRDefault="004F5BEB" w:rsidP="004F5BEB">
      <w:pPr>
        <w:pStyle w:val="Standardowytekst"/>
        <w:tabs>
          <w:tab w:val="left" w:pos="567"/>
        </w:tabs>
        <w:rPr>
          <w:rFonts w:asciiTheme="minorHAnsi" w:hAnsiTheme="minorHAnsi"/>
        </w:rPr>
      </w:pPr>
      <w:r w:rsidRPr="00FE60E3">
        <w:rPr>
          <w:rFonts w:asciiTheme="minorHAnsi" w:hAnsiTheme="minorHAnsi"/>
          <w:b/>
        </w:rPr>
        <w:t>1.4.5.</w:t>
      </w:r>
      <w:r w:rsidRPr="00FE60E3">
        <w:rPr>
          <w:rFonts w:asciiTheme="minorHAnsi" w:hAnsiTheme="minorHAnsi"/>
          <w:b/>
        </w:rPr>
        <w:tab/>
      </w:r>
      <w:r w:rsidRPr="00FE60E3">
        <w:rPr>
          <w:rFonts w:asciiTheme="minorHAnsi" w:hAnsiTheme="minorHAnsi"/>
        </w:rPr>
        <w:t>Nasyp średni - nasyp, którego wysokość jest zawarta w granicach od 1 do 3 m.</w:t>
      </w:r>
    </w:p>
    <w:p w:rsidR="004F5BEB" w:rsidRPr="00FE60E3" w:rsidRDefault="004F5BEB" w:rsidP="004F5BEB">
      <w:pPr>
        <w:pStyle w:val="Standardowytekst"/>
        <w:tabs>
          <w:tab w:val="left" w:pos="567"/>
        </w:tabs>
        <w:rPr>
          <w:rFonts w:asciiTheme="minorHAnsi" w:hAnsiTheme="minorHAnsi"/>
        </w:rPr>
      </w:pPr>
      <w:r w:rsidRPr="00FE60E3">
        <w:rPr>
          <w:rFonts w:asciiTheme="minorHAnsi" w:hAnsiTheme="minorHAnsi"/>
          <w:b/>
        </w:rPr>
        <w:t>1.4.6.</w:t>
      </w:r>
      <w:r w:rsidRPr="00FE60E3">
        <w:rPr>
          <w:rFonts w:asciiTheme="minorHAnsi" w:hAnsiTheme="minorHAnsi"/>
          <w:b/>
        </w:rPr>
        <w:tab/>
      </w:r>
      <w:r w:rsidRPr="00FE60E3">
        <w:rPr>
          <w:rFonts w:asciiTheme="minorHAnsi" w:hAnsiTheme="minorHAnsi"/>
        </w:rPr>
        <w:t>Nasyp wysoki - nasyp, którego wysokość przekracza 3 m.</w:t>
      </w:r>
    </w:p>
    <w:p w:rsidR="004F5BEB" w:rsidRPr="00FE60E3" w:rsidRDefault="004F5BEB" w:rsidP="004F5BEB">
      <w:pPr>
        <w:pStyle w:val="Standardowytekst"/>
        <w:rPr>
          <w:rFonts w:asciiTheme="minorHAnsi" w:hAnsiTheme="minorHAnsi"/>
        </w:rPr>
      </w:pPr>
      <w:r w:rsidRPr="00FE60E3">
        <w:rPr>
          <w:rFonts w:asciiTheme="minorHAnsi" w:hAnsiTheme="minorHAnsi"/>
          <w:b/>
        </w:rPr>
        <w:t>1.4.7.</w:t>
      </w:r>
      <w:r w:rsidRPr="00FE60E3">
        <w:rPr>
          <w:rFonts w:asciiTheme="minorHAnsi" w:hAnsiTheme="minorHAnsi"/>
        </w:rPr>
        <w:t>Ukop - miejsce pozyskania gruntu do wykonania nasypów, położone w obrębie pasa robót drogowych.</w:t>
      </w:r>
    </w:p>
    <w:p w:rsidR="004F5BEB" w:rsidRPr="00FE60E3" w:rsidRDefault="004F5BEB" w:rsidP="004F5BEB">
      <w:pPr>
        <w:pStyle w:val="Standardowytekst"/>
        <w:rPr>
          <w:rFonts w:asciiTheme="minorHAnsi" w:hAnsiTheme="minorHAnsi"/>
        </w:rPr>
      </w:pPr>
      <w:r w:rsidRPr="00FE60E3">
        <w:rPr>
          <w:rFonts w:asciiTheme="minorHAnsi" w:hAnsiTheme="minorHAnsi"/>
          <w:b/>
        </w:rPr>
        <w:t>1.4.8.</w:t>
      </w:r>
      <w:r w:rsidRPr="00FE60E3">
        <w:rPr>
          <w:rFonts w:asciiTheme="minorHAnsi" w:hAnsiTheme="minorHAnsi"/>
        </w:rPr>
        <w:t xml:space="preserve"> Wskaźnik odkształcenia podłoża - wielkość charakteryzująca stan zagęszczenia gruntu, określona wg wzoru: </w:t>
      </w:r>
    </w:p>
    <w:p w:rsidR="004F5BEB" w:rsidRPr="00FE60E3" w:rsidRDefault="004F5BEB" w:rsidP="004F5BEB">
      <w:pPr>
        <w:pStyle w:val="Standardowytekst"/>
        <w:tabs>
          <w:tab w:val="left" w:pos="426"/>
          <w:tab w:val="left" w:pos="709"/>
        </w:tabs>
        <w:rPr>
          <w:rFonts w:asciiTheme="minorHAnsi" w:hAnsiTheme="minorHAnsi"/>
        </w:rPr>
      </w:pPr>
      <w:r w:rsidRPr="00FE60E3">
        <w:rPr>
          <w:rFonts w:asciiTheme="minorHAnsi" w:hAnsiTheme="minorHAnsi"/>
          <w:position w:val="-26"/>
        </w:rPr>
        <w:object w:dxaOrig="720" w:dyaOrig="600">
          <v:shape id="_x0000_i1028" type="#_x0000_t75" style="width:36pt;height:30pt" o:ole="">
            <v:imagedata r:id="rId12" o:title=""/>
          </v:shape>
          <o:OLEObject Type="Embed" ProgID="Equation.3" ShapeID="_x0000_i1028" DrawAspect="Content" ObjectID="_1533961224" r:id="rId18"/>
        </w:object>
      </w:r>
    </w:p>
    <w:p w:rsidR="004F5BEB" w:rsidRPr="00FE60E3" w:rsidRDefault="004F5BEB" w:rsidP="004F5BEB">
      <w:pPr>
        <w:pStyle w:val="Standardowytekst"/>
        <w:tabs>
          <w:tab w:val="left" w:pos="426"/>
          <w:tab w:val="left" w:pos="709"/>
        </w:tabs>
        <w:rPr>
          <w:rFonts w:asciiTheme="minorHAnsi" w:hAnsiTheme="minorHAnsi"/>
        </w:rPr>
      </w:pPr>
      <w:r w:rsidRPr="00FE60E3">
        <w:rPr>
          <w:rFonts w:asciiTheme="minorHAnsi" w:hAnsiTheme="minorHAnsi"/>
        </w:rPr>
        <w:t>gdzie:</w:t>
      </w:r>
    </w:p>
    <w:p w:rsidR="004F5BEB" w:rsidRPr="00FE60E3" w:rsidRDefault="004F5BEB" w:rsidP="004F5BEB">
      <w:pPr>
        <w:pStyle w:val="Standardowytekst"/>
        <w:tabs>
          <w:tab w:val="left" w:pos="426"/>
          <w:tab w:val="left" w:pos="709"/>
        </w:tabs>
        <w:rPr>
          <w:rFonts w:asciiTheme="minorHAnsi" w:hAnsiTheme="minorHAnsi"/>
        </w:rPr>
      </w:pPr>
      <w:r w:rsidRPr="00FE60E3">
        <w:rPr>
          <w:rFonts w:asciiTheme="minorHAnsi" w:hAnsiTheme="minorHAnsi"/>
          <w:i/>
        </w:rPr>
        <w:t>E</w:t>
      </w:r>
      <w:r w:rsidRPr="00FE60E3">
        <w:rPr>
          <w:rFonts w:asciiTheme="minorHAnsi" w:hAnsiTheme="minorHAnsi"/>
          <w:i/>
          <w:vertAlign w:val="subscript"/>
        </w:rPr>
        <w:t>1</w:t>
      </w:r>
      <w:r w:rsidRPr="00FE60E3">
        <w:rPr>
          <w:rFonts w:asciiTheme="minorHAnsi" w:hAnsiTheme="minorHAnsi"/>
        </w:rPr>
        <w:tab/>
        <w:t>-</w:t>
      </w:r>
      <w:r w:rsidRPr="00FE60E3">
        <w:rPr>
          <w:rFonts w:asciiTheme="minorHAnsi" w:hAnsiTheme="minorHAnsi"/>
        </w:rPr>
        <w:tab/>
        <w:t>moduł odkształcenia podłoża obliczony w pierwotnym cyklu obciążenia statycznego wg normy PN-S-02205:1998(zał B),</w:t>
      </w:r>
    </w:p>
    <w:p w:rsidR="004F5BEB" w:rsidRPr="00FE60E3" w:rsidRDefault="004F5BEB" w:rsidP="004F5BEB">
      <w:pPr>
        <w:pStyle w:val="Standardowytekst"/>
        <w:tabs>
          <w:tab w:val="left" w:pos="426"/>
          <w:tab w:val="left" w:pos="709"/>
        </w:tabs>
        <w:rPr>
          <w:rFonts w:asciiTheme="minorHAnsi" w:hAnsiTheme="minorHAnsi"/>
        </w:rPr>
      </w:pPr>
      <w:r w:rsidRPr="00FE60E3">
        <w:rPr>
          <w:rFonts w:asciiTheme="minorHAnsi" w:hAnsiTheme="minorHAnsi"/>
          <w:i/>
        </w:rPr>
        <w:t>E</w:t>
      </w:r>
      <w:r w:rsidRPr="00FE60E3">
        <w:rPr>
          <w:rFonts w:asciiTheme="minorHAnsi" w:hAnsiTheme="minorHAnsi"/>
          <w:i/>
          <w:vertAlign w:val="subscript"/>
        </w:rPr>
        <w:t>2</w:t>
      </w:r>
      <w:r w:rsidRPr="00FE60E3">
        <w:rPr>
          <w:rFonts w:asciiTheme="minorHAnsi" w:hAnsiTheme="minorHAnsi"/>
        </w:rPr>
        <w:tab/>
        <w:t>-</w:t>
      </w:r>
      <w:r w:rsidRPr="00FE60E3">
        <w:rPr>
          <w:rFonts w:asciiTheme="minorHAnsi" w:hAnsiTheme="minorHAnsi"/>
        </w:rPr>
        <w:tab/>
        <w:t>moduł odkształcenia podłoża obliczony we wtórnym cyklu obciążenia statycznego wg normy PN-S-02205:1998 (zał B)</w:t>
      </w:r>
    </w:p>
    <w:p w:rsidR="004F5BEB" w:rsidRPr="00FE60E3" w:rsidRDefault="004F5BEB" w:rsidP="004F5BEB">
      <w:pPr>
        <w:pStyle w:val="Standardowytekst"/>
        <w:rPr>
          <w:rFonts w:asciiTheme="minorHAnsi" w:hAnsiTheme="minorHAnsi"/>
        </w:rPr>
      </w:pPr>
      <w:r w:rsidRPr="00FE60E3">
        <w:rPr>
          <w:rFonts w:asciiTheme="minorHAnsi" w:hAnsiTheme="minorHAnsi"/>
          <w:b/>
        </w:rPr>
        <w:t xml:space="preserve">1.4.9. </w:t>
      </w:r>
      <w:r w:rsidRPr="00FE60E3">
        <w:rPr>
          <w:rFonts w:asciiTheme="minorHAnsi" w:hAnsiTheme="minorHAnsi"/>
        </w:rPr>
        <w:t>Wskaźnik różnoziarnistości - wielkość charakteryzująca zagęszczalność gruntów niespoistych, określona wg wzoru:</w:t>
      </w:r>
    </w:p>
    <w:p w:rsidR="004F5BEB" w:rsidRPr="00FE60E3" w:rsidRDefault="004F5BEB" w:rsidP="004F5BEB">
      <w:pPr>
        <w:pStyle w:val="Standardowytekst"/>
        <w:rPr>
          <w:rFonts w:asciiTheme="minorHAnsi" w:hAnsiTheme="minorHAnsi"/>
          <w:b/>
        </w:rPr>
      </w:pPr>
      <w:r w:rsidRPr="00FE60E3">
        <w:rPr>
          <w:rFonts w:asciiTheme="minorHAnsi" w:hAnsiTheme="minorHAnsi"/>
          <w:position w:val="-26"/>
        </w:rPr>
        <w:object w:dxaOrig="780" w:dyaOrig="600">
          <v:shape id="_x0000_i1029" type="#_x0000_t75" style="width:39pt;height:30pt" o:ole="">
            <v:imagedata r:id="rId14" o:title=""/>
          </v:shape>
          <o:OLEObject Type="Embed" ProgID="Equation.3" ShapeID="_x0000_i1029" DrawAspect="Content" ObjectID="_1533961225" r:id="rId19"/>
        </w:object>
      </w:r>
    </w:p>
    <w:p w:rsidR="004F5BEB" w:rsidRPr="00FE60E3" w:rsidRDefault="004F5BEB" w:rsidP="004F5BEB">
      <w:pPr>
        <w:pStyle w:val="Standardowytekst"/>
        <w:rPr>
          <w:rFonts w:asciiTheme="minorHAnsi" w:hAnsiTheme="minorHAnsi"/>
        </w:rPr>
      </w:pPr>
      <w:r w:rsidRPr="00FE60E3">
        <w:rPr>
          <w:rFonts w:asciiTheme="minorHAnsi" w:hAnsiTheme="minorHAnsi"/>
        </w:rPr>
        <w:t>gdzie:</w:t>
      </w:r>
    </w:p>
    <w:p w:rsidR="004F5BEB" w:rsidRPr="00FE60E3" w:rsidRDefault="004F5BEB" w:rsidP="004F5BEB">
      <w:pPr>
        <w:pStyle w:val="Standardowytekst"/>
        <w:tabs>
          <w:tab w:val="left" w:pos="426"/>
          <w:tab w:val="left" w:pos="709"/>
        </w:tabs>
        <w:rPr>
          <w:rFonts w:asciiTheme="minorHAnsi" w:hAnsiTheme="minorHAnsi"/>
        </w:rPr>
      </w:pPr>
      <w:r w:rsidRPr="00FE60E3">
        <w:rPr>
          <w:rFonts w:asciiTheme="minorHAnsi" w:hAnsiTheme="minorHAnsi"/>
          <w:i/>
        </w:rPr>
        <w:t>d</w:t>
      </w:r>
      <w:r w:rsidRPr="00FE60E3">
        <w:rPr>
          <w:rFonts w:asciiTheme="minorHAnsi" w:hAnsiTheme="minorHAnsi"/>
          <w:i/>
          <w:vertAlign w:val="subscript"/>
        </w:rPr>
        <w:t>60</w:t>
      </w:r>
      <w:r w:rsidRPr="00FE60E3">
        <w:rPr>
          <w:rFonts w:asciiTheme="minorHAnsi" w:hAnsiTheme="minorHAnsi"/>
        </w:rPr>
        <w:tab/>
        <w:t>-</w:t>
      </w:r>
      <w:r w:rsidRPr="00FE60E3">
        <w:rPr>
          <w:rFonts w:asciiTheme="minorHAnsi" w:hAnsiTheme="minorHAnsi"/>
        </w:rPr>
        <w:tab/>
        <w:t>średnica zastępcza oczka sita, poniżej której w gruncie zawarte jest 60% masy, (mm),</w:t>
      </w:r>
    </w:p>
    <w:p w:rsidR="004F5BEB" w:rsidRPr="00FE60E3" w:rsidRDefault="004F5BEB" w:rsidP="004F5BEB">
      <w:pPr>
        <w:pStyle w:val="Standardowytekst"/>
        <w:tabs>
          <w:tab w:val="left" w:pos="426"/>
          <w:tab w:val="left" w:pos="709"/>
        </w:tabs>
        <w:rPr>
          <w:rFonts w:asciiTheme="minorHAnsi" w:hAnsiTheme="minorHAnsi"/>
        </w:rPr>
      </w:pPr>
      <w:r w:rsidRPr="00FE60E3">
        <w:rPr>
          <w:rFonts w:asciiTheme="minorHAnsi" w:hAnsiTheme="minorHAnsi"/>
          <w:i/>
        </w:rPr>
        <w:t>d</w:t>
      </w:r>
      <w:r w:rsidRPr="00FE60E3">
        <w:rPr>
          <w:rFonts w:asciiTheme="minorHAnsi" w:hAnsiTheme="minorHAnsi"/>
          <w:i/>
          <w:vertAlign w:val="subscript"/>
        </w:rPr>
        <w:t>10</w:t>
      </w:r>
      <w:r w:rsidRPr="00FE60E3">
        <w:rPr>
          <w:rFonts w:asciiTheme="minorHAnsi" w:hAnsiTheme="minorHAnsi"/>
        </w:rPr>
        <w:tab/>
        <w:t>-</w:t>
      </w:r>
      <w:r w:rsidRPr="00FE60E3">
        <w:rPr>
          <w:rFonts w:asciiTheme="minorHAnsi" w:hAnsiTheme="minorHAnsi"/>
        </w:rPr>
        <w:tab/>
        <w:t>średnica zastępcza oczka sita, poniżej  której w gruncie zawarte jest 10% masy, (mm).</w:t>
      </w:r>
    </w:p>
    <w:p w:rsidR="004F5BEB" w:rsidRPr="00FE60E3" w:rsidRDefault="004F5BEB" w:rsidP="004F5BEB">
      <w:pPr>
        <w:pStyle w:val="Standardowytekst"/>
        <w:rPr>
          <w:rFonts w:asciiTheme="minorHAnsi" w:hAnsiTheme="minorHAnsi"/>
        </w:rPr>
      </w:pPr>
      <w:r w:rsidRPr="00FE60E3">
        <w:rPr>
          <w:rFonts w:asciiTheme="minorHAnsi" w:hAnsiTheme="minorHAnsi"/>
          <w:b/>
        </w:rPr>
        <w:t>1.4.10.</w:t>
      </w:r>
      <w:r w:rsidRPr="00FE60E3">
        <w:rPr>
          <w:rFonts w:asciiTheme="minorHAnsi" w:hAnsiTheme="minorHAnsi"/>
        </w:rPr>
        <w:t xml:space="preserve">Wskaźnik zagęszczenia gruntu - wielkość charakteryzująca stan zagęszczenia gruntu, określona wg wzoru: </w:t>
      </w:r>
    </w:p>
    <w:p w:rsidR="004F5BEB" w:rsidRPr="00FE60E3" w:rsidRDefault="004F5BEB" w:rsidP="004F5BEB">
      <w:pPr>
        <w:pStyle w:val="Standardowytekst"/>
        <w:rPr>
          <w:rFonts w:asciiTheme="minorHAnsi" w:hAnsiTheme="minorHAnsi"/>
        </w:rPr>
      </w:pPr>
      <w:r w:rsidRPr="00FE60E3">
        <w:rPr>
          <w:rFonts w:asciiTheme="minorHAnsi" w:hAnsiTheme="minorHAnsi"/>
          <w:position w:val="-26"/>
        </w:rPr>
        <w:object w:dxaOrig="780" w:dyaOrig="600">
          <v:shape id="_x0000_i1030" type="#_x0000_t75" style="width:39pt;height:30pt" o:ole="">
            <v:imagedata r:id="rId16" o:title=""/>
          </v:shape>
          <o:OLEObject Type="Embed" ProgID="Equation.3" ShapeID="_x0000_i1030" DrawAspect="Content" ObjectID="_1533961226" r:id="rId20"/>
        </w:object>
      </w:r>
    </w:p>
    <w:p w:rsidR="004F5BEB" w:rsidRPr="00FE60E3" w:rsidRDefault="004F5BEB" w:rsidP="004F5BEB">
      <w:pPr>
        <w:pStyle w:val="Standardowytekst"/>
        <w:rPr>
          <w:rFonts w:asciiTheme="minorHAnsi" w:hAnsiTheme="minorHAnsi"/>
        </w:rPr>
      </w:pPr>
      <w:r w:rsidRPr="00FE60E3">
        <w:rPr>
          <w:rFonts w:asciiTheme="minorHAnsi" w:hAnsiTheme="minorHAnsi"/>
        </w:rPr>
        <w:t>gdzie:</w:t>
      </w:r>
    </w:p>
    <w:p w:rsidR="004F5BEB" w:rsidRPr="00FE60E3" w:rsidRDefault="004F5BEB" w:rsidP="004F5BEB">
      <w:pPr>
        <w:pStyle w:val="Standardowytekst"/>
        <w:tabs>
          <w:tab w:val="left" w:pos="426"/>
          <w:tab w:val="left" w:pos="709"/>
        </w:tabs>
        <w:ind w:hanging="709"/>
        <w:rPr>
          <w:rFonts w:asciiTheme="minorHAnsi" w:hAnsiTheme="minorHAnsi"/>
        </w:rPr>
      </w:pPr>
      <w:r w:rsidRPr="00FE60E3">
        <w:rPr>
          <w:rFonts w:asciiTheme="minorHAnsi" w:hAnsiTheme="minorHAnsi"/>
          <w:i/>
        </w:rPr>
        <w:tab/>
      </w:r>
      <w:r w:rsidRPr="00FE60E3">
        <w:rPr>
          <w:rFonts w:asciiTheme="minorHAnsi" w:hAnsiTheme="minorHAnsi"/>
          <w:i/>
        </w:rPr>
        <w:sym w:font="Symbol" w:char="F072"/>
      </w:r>
      <w:r w:rsidRPr="00FE60E3">
        <w:rPr>
          <w:rFonts w:asciiTheme="minorHAnsi" w:hAnsiTheme="minorHAnsi"/>
          <w:vertAlign w:val="subscript"/>
        </w:rPr>
        <w:t>d</w:t>
      </w:r>
      <w:r w:rsidRPr="00FE60E3">
        <w:rPr>
          <w:rFonts w:asciiTheme="minorHAnsi" w:hAnsiTheme="minorHAnsi"/>
        </w:rPr>
        <w:tab/>
        <w:t>-</w:t>
      </w:r>
      <w:r w:rsidRPr="00FE60E3">
        <w:rPr>
          <w:rFonts w:asciiTheme="minorHAnsi" w:hAnsiTheme="minorHAnsi"/>
        </w:rPr>
        <w:tab/>
        <w:t>gęstość objętościowa szkieletu zagęszczonego gruntu, zgodnie z PN-B-04481:1988, (g/m</w:t>
      </w:r>
      <w:r w:rsidRPr="00FE60E3">
        <w:rPr>
          <w:rFonts w:asciiTheme="minorHAnsi" w:hAnsiTheme="minorHAnsi"/>
          <w:vertAlign w:val="superscript"/>
        </w:rPr>
        <w:t>3</w:t>
      </w:r>
      <w:r w:rsidRPr="00FE60E3">
        <w:rPr>
          <w:rFonts w:asciiTheme="minorHAnsi" w:hAnsiTheme="minorHAnsi"/>
        </w:rPr>
        <w:t>),</w:t>
      </w:r>
    </w:p>
    <w:p w:rsidR="004F5BEB" w:rsidRPr="00FE60E3" w:rsidRDefault="004F5BEB" w:rsidP="004F5BEB">
      <w:pPr>
        <w:pStyle w:val="Standardowytekst"/>
        <w:tabs>
          <w:tab w:val="left" w:pos="426"/>
          <w:tab w:val="left" w:pos="709"/>
        </w:tabs>
        <w:ind w:hanging="709"/>
        <w:rPr>
          <w:rFonts w:asciiTheme="minorHAnsi" w:hAnsiTheme="minorHAnsi"/>
        </w:rPr>
      </w:pPr>
      <w:r w:rsidRPr="00FE60E3">
        <w:rPr>
          <w:rFonts w:asciiTheme="minorHAnsi" w:hAnsiTheme="minorHAnsi"/>
          <w:i/>
        </w:rPr>
        <w:tab/>
      </w:r>
      <w:r w:rsidRPr="00FE60E3">
        <w:rPr>
          <w:rFonts w:asciiTheme="minorHAnsi" w:hAnsiTheme="minorHAnsi"/>
          <w:i/>
        </w:rPr>
        <w:sym w:font="Symbol" w:char="F072"/>
      </w:r>
      <w:r w:rsidRPr="00FE60E3">
        <w:rPr>
          <w:rFonts w:asciiTheme="minorHAnsi" w:hAnsiTheme="minorHAnsi"/>
          <w:vertAlign w:val="subscript"/>
        </w:rPr>
        <w:t>ds</w:t>
      </w:r>
      <w:r w:rsidRPr="00FE60E3">
        <w:rPr>
          <w:rFonts w:asciiTheme="minorHAnsi" w:hAnsiTheme="minorHAnsi"/>
        </w:rPr>
        <w:tab/>
        <w:t>-</w:t>
      </w:r>
      <w:r w:rsidRPr="00FE60E3">
        <w:rPr>
          <w:rFonts w:asciiTheme="minorHAnsi" w:hAnsiTheme="minorHAnsi"/>
        </w:rPr>
        <w:tab/>
        <w:t>maksymalna gęstość objętościowa szkieletu gruntowego przy wilgotności optymalnej, zgodnie z PN-B-04481:1988, służąca do oceny zagęszczenia gruntu w robotach ziemnych, (g/m</w:t>
      </w:r>
      <w:r w:rsidRPr="00FE60E3">
        <w:rPr>
          <w:rFonts w:asciiTheme="minorHAnsi" w:hAnsiTheme="minorHAnsi"/>
          <w:vertAlign w:val="superscript"/>
        </w:rPr>
        <w:t>3</w:t>
      </w:r>
      <w:r w:rsidRPr="00FE60E3">
        <w:rPr>
          <w:rFonts w:asciiTheme="minorHAnsi" w:hAnsiTheme="minorHAnsi"/>
        </w:rPr>
        <w:t>).</w:t>
      </w:r>
    </w:p>
    <w:p w:rsidR="004F5BEB" w:rsidRPr="00FE60E3" w:rsidRDefault="004F5BEB" w:rsidP="004F5BEB">
      <w:pPr>
        <w:pStyle w:val="Standardowytekst"/>
        <w:tabs>
          <w:tab w:val="right" w:pos="-1985"/>
          <w:tab w:val="left" w:pos="567"/>
        </w:tabs>
        <w:rPr>
          <w:rFonts w:asciiTheme="minorHAnsi" w:hAnsiTheme="minorHAnsi"/>
        </w:rPr>
      </w:pPr>
      <w:r w:rsidRPr="00FE60E3">
        <w:rPr>
          <w:rFonts w:asciiTheme="minorHAnsi" w:hAnsiTheme="minorHAnsi"/>
          <w:b/>
        </w:rPr>
        <w:lastRenderedPageBreak/>
        <w:t>1.4.11.</w:t>
      </w:r>
      <w:r w:rsidRPr="00FE60E3">
        <w:rPr>
          <w:rFonts w:asciiTheme="minorHAnsi" w:hAnsiTheme="minorHAnsi"/>
          <w:b/>
        </w:rPr>
        <w:tab/>
      </w:r>
      <w:r w:rsidRPr="00FE60E3">
        <w:rPr>
          <w:rFonts w:asciiTheme="minorHAnsi" w:hAnsiTheme="minorHAnsi"/>
        </w:rPr>
        <w:t>Wysokość nasypu - różnica rzędnej terenu i rzędnej robót ziemnych, wyznaczonych w osi nasypu.</w:t>
      </w:r>
    </w:p>
    <w:p w:rsidR="004F5BEB" w:rsidRPr="00FE60E3" w:rsidRDefault="004F5BEB" w:rsidP="004F5BEB">
      <w:pPr>
        <w:pStyle w:val="Standardowytekst"/>
        <w:rPr>
          <w:rFonts w:asciiTheme="minorHAnsi" w:hAnsiTheme="minorHAnsi"/>
        </w:rPr>
      </w:pPr>
      <w:r w:rsidRPr="00FE60E3">
        <w:rPr>
          <w:rFonts w:asciiTheme="minorHAnsi" w:hAnsiTheme="minorHAnsi"/>
          <w:b/>
        </w:rPr>
        <w:t xml:space="preserve">1.4.12. </w:t>
      </w:r>
      <w:r w:rsidRPr="00FE60E3">
        <w:rPr>
          <w:rFonts w:asciiTheme="minorHAnsi" w:hAnsiTheme="minorHAnsi"/>
        </w:rPr>
        <w:t>Pozostałe określenia podstawowe są zgodne z obowiązującymi, odpowiednimi polskimi normami i z definicjami podanymi w STWiORB D-M-00.00.00 „Wymagania ogólne” pkt 1.4.</w:t>
      </w:r>
    </w:p>
    <w:p w:rsidR="004F5BEB" w:rsidRPr="00FE60E3" w:rsidRDefault="004F5BEB" w:rsidP="004F5BEB">
      <w:pPr>
        <w:pStyle w:val="Nagwek4"/>
        <w:rPr>
          <w:rFonts w:asciiTheme="minorHAnsi" w:hAnsiTheme="minorHAnsi"/>
        </w:rPr>
      </w:pPr>
      <w:bookmarkStart w:id="265" w:name="_Toc406295850"/>
      <w:bookmarkStart w:id="266" w:name="_Toc407161270"/>
      <w:r w:rsidRPr="00FE60E3">
        <w:rPr>
          <w:rFonts w:asciiTheme="minorHAnsi" w:hAnsiTheme="minorHAnsi"/>
        </w:rPr>
        <w:t>1.5. Ogólne wymagania dotyczące robót</w:t>
      </w:r>
      <w:bookmarkEnd w:id="265"/>
      <w:bookmarkEnd w:id="266"/>
    </w:p>
    <w:p w:rsidR="004F5BEB" w:rsidRPr="00FE60E3" w:rsidRDefault="004F5BEB" w:rsidP="004F5BEB">
      <w:pPr>
        <w:rPr>
          <w:rFonts w:asciiTheme="minorHAnsi" w:hAnsiTheme="minorHAnsi"/>
        </w:rPr>
      </w:pPr>
      <w:r w:rsidRPr="00FE60E3">
        <w:rPr>
          <w:rFonts w:asciiTheme="minorHAnsi" w:hAnsiTheme="minorHAnsi"/>
        </w:rPr>
        <w:t>Ogólne wymagania dotyczące robót podano w STWiORB D-M-00.00.00 pkt 1.5.</w:t>
      </w:r>
    </w:p>
    <w:p w:rsidR="004F5BEB" w:rsidRPr="00FE60E3" w:rsidRDefault="004F5BEB" w:rsidP="004F5BEB">
      <w:pPr>
        <w:pStyle w:val="Nagwek3"/>
        <w:rPr>
          <w:rFonts w:asciiTheme="minorHAnsi" w:hAnsiTheme="minorHAnsi"/>
        </w:rPr>
      </w:pPr>
      <w:bookmarkStart w:id="267" w:name="_Toc406295851"/>
      <w:bookmarkStart w:id="268" w:name="_Toc407161271"/>
      <w:bookmarkStart w:id="269" w:name="_Toc418994946"/>
      <w:bookmarkStart w:id="270" w:name="_Toc418996353"/>
      <w:bookmarkStart w:id="271" w:name="_Toc418996722"/>
      <w:bookmarkStart w:id="272" w:name="_Toc418997109"/>
      <w:bookmarkStart w:id="273" w:name="_Toc418998519"/>
      <w:bookmarkStart w:id="274" w:name="_Toc418998875"/>
      <w:bookmarkStart w:id="275" w:name="_Toc419000120"/>
      <w:r w:rsidRPr="00FE60E3">
        <w:rPr>
          <w:rFonts w:asciiTheme="minorHAnsi" w:hAnsiTheme="minorHAnsi"/>
        </w:rPr>
        <w:t>2. MATERIAŁY (GRUNTY)</w:t>
      </w:r>
      <w:bookmarkEnd w:id="267"/>
      <w:bookmarkEnd w:id="268"/>
      <w:bookmarkEnd w:id="269"/>
      <w:bookmarkEnd w:id="270"/>
      <w:bookmarkEnd w:id="271"/>
      <w:bookmarkEnd w:id="272"/>
      <w:bookmarkEnd w:id="273"/>
      <w:bookmarkEnd w:id="274"/>
      <w:bookmarkEnd w:id="275"/>
    </w:p>
    <w:p w:rsidR="004F5BEB" w:rsidRPr="00FE60E3" w:rsidRDefault="004F5BEB" w:rsidP="004F5BEB">
      <w:pPr>
        <w:pStyle w:val="Nagwek4"/>
        <w:rPr>
          <w:rFonts w:asciiTheme="minorHAnsi" w:hAnsiTheme="minorHAnsi"/>
        </w:rPr>
      </w:pPr>
      <w:bookmarkStart w:id="276" w:name="_Toc406295852"/>
      <w:bookmarkStart w:id="277" w:name="_Toc407161272"/>
      <w:r w:rsidRPr="00FE60E3">
        <w:rPr>
          <w:rFonts w:asciiTheme="minorHAnsi" w:hAnsiTheme="minorHAnsi"/>
        </w:rPr>
        <w:t>2.1. Ogólne wymagania dotyczące materiałów</w:t>
      </w:r>
      <w:bookmarkEnd w:id="276"/>
      <w:bookmarkEnd w:id="277"/>
    </w:p>
    <w:p w:rsidR="004F5BEB" w:rsidRPr="00FE60E3" w:rsidRDefault="004F5BEB" w:rsidP="004F5BEB">
      <w:pPr>
        <w:rPr>
          <w:rFonts w:asciiTheme="minorHAnsi" w:hAnsiTheme="minorHAnsi"/>
        </w:rPr>
      </w:pPr>
      <w:r w:rsidRPr="00FE60E3">
        <w:rPr>
          <w:rFonts w:asciiTheme="minorHAnsi" w:hAnsiTheme="minorHAnsi"/>
        </w:rPr>
        <w:t>Ogólne wymagania dotyczące materiałów, ich pozyskiwania i składowania, podano w STWiORB D-M-00.00.00 pkt 2.</w:t>
      </w:r>
    </w:p>
    <w:p w:rsidR="004F5BEB" w:rsidRPr="00FE60E3" w:rsidRDefault="004F5BEB" w:rsidP="004F5BEB">
      <w:pPr>
        <w:pStyle w:val="Nagwek4"/>
        <w:rPr>
          <w:rFonts w:asciiTheme="minorHAnsi" w:hAnsiTheme="minorHAnsi"/>
        </w:rPr>
      </w:pPr>
      <w:bookmarkStart w:id="278" w:name="_Toc406295853"/>
      <w:bookmarkStart w:id="279" w:name="_Toc407161273"/>
      <w:r w:rsidRPr="00FE60E3">
        <w:rPr>
          <w:rFonts w:asciiTheme="minorHAnsi" w:hAnsiTheme="minorHAnsi"/>
        </w:rPr>
        <w:t xml:space="preserve">2.2. </w:t>
      </w:r>
      <w:bookmarkEnd w:id="278"/>
      <w:bookmarkEnd w:id="279"/>
      <w:r w:rsidRPr="00FE60E3">
        <w:rPr>
          <w:rFonts w:asciiTheme="minorHAnsi" w:hAnsiTheme="minorHAnsi"/>
        </w:rPr>
        <w:t>Grunty i materiały do nasypów</w:t>
      </w:r>
    </w:p>
    <w:p w:rsidR="004F5BEB" w:rsidRPr="00FE60E3" w:rsidRDefault="004F5BEB" w:rsidP="004F5BEB">
      <w:pPr>
        <w:rPr>
          <w:rFonts w:asciiTheme="minorHAnsi" w:hAnsiTheme="minorHAnsi"/>
        </w:rPr>
      </w:pPr>
      <w:r w:rsidRPr="00FE60E3">
        <w:rPr>
          <w:rFonts w:asciiTheme="minorHAnsi" w:hAnsiTheme="minorHAnsi"/>
        </w:rPr>
        <w:t>Grunty i materiały dopuszczone do budowy nasypów powinny spełniać wymagania określone w PN-S-02205 :1998.</w:t>
      </w:r>
    </w:p>
    <w:p w:rsidR="004F5BEB" w:rsidRPr="00FE60E3" w:rsidRDefault="004F5BEB" w:rsidP="004F5BEB">
      <w:pPr>
        <w:rPr>
          <w:rFonts w:asciiTheme="minorHAnsi" w:hAnsiTheme="minorHAnsi"/>
        </w:rPr>
      </w:pPr>
      <w:r w:rsidRPr="00FE60E3">
        <w:rPr>
          <w:rFonts w:asciiTheme="minorHAnsi" w:hAnsiTheme="minorHAnsi"/>
        </w:rPr>
        <w:t>Grunty i materiały do budowy nasypów podaje tablica 1.</w:t>
      </w:r>
    </w:p>
    <w:p w:rsidR="004F5BEB" w:rsidRPr="00FE60E3" w:rsidRDefault="004F5BEB" w:rsidP="004F5BEB">
      <w:pPr>
        <w:rPr>
          <w:rFonts w:asciiTheme="minorHAnsi" w:hAnsiTheme="minorHAnsi"/>
        </w:rPr>
      </w:pPr>
      <w:r w:rsidRPr="00FE60E3">
        <w:rPr>
          <w:rFonts w:asciiTheme="minorHAnsi" w:hAnsiTheme="minorHAnsi"/>
        </w:rPr>
        <w:t xml:space="preserve">Tablica 1. Przydatność gruntów do wykonywania budowli ziemnych wg PN-S-02205 :1998 </w:t>
      </w:r>
    </w:p>
    <w:p w:rsidR="004F5BEB" w:rsidRPr="00FE60E3" w:rsidRDefault="004F5BEB" w:rsidP="004F5BEB">
      <w:pPr>
        <w:rPr>
          <w:rFonts w:asciiTheme="minorHAnsi" w:hAnsiTheme="minorHAnsi"/>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101"/>
        <w:gridCol w:w="2268"/>
        <w:gridCol w:w="2977"/>
        <w:gridCol w:w="3543"/>
      </w:tblGrid>
      <w:tr w:rsidR="004F5BEB" w:rsidRPr="00FE60E3" w:rsidTr="004F5BEB">
        <w:tc>
          <w:tcPr>
            <w:tcW w:w="1101" w:type="dxa"/>
          </w:tcPr>
          <w:p w:rsidR="004F5BEB" w:rsidRPr="00FE60E3" w:rsidRDefault="004F5BEB" w:rsidP="004F5BEB">
            <w:pPr>
              <w:jc w:val="center"/>
              <w:rPr>
                <w:rFonts w:asciiTheme="minorHAnsi" w:hAnsiTheme="minorHAnsi"/>
              </w:rPr>
            </w:pPr>
            <w:r w:rsidRPr="00FE60E3">
              <w:rPr>
                <w:rFonts w:asciiTheme="minorHAnsi" w:hAnsiTheme="minorHAnsi"/>
              </w:rPr>
              <w:t>Przeznaczenie</w:t>
            </w:r>
          </w:p>
        </w:tc>
        <w:tc>
          <w:tcPr>
            <w:tcW w:w="2268" w:type="dxa"/>
          </w:tcPr>
          <w:p w:rsidR="004F5BEB" w:rsidRPr="00FE60E3" w:rsidRDefault="004F5BEB" w:rsidP="004F5BEB">
            <w:pPr>
              <w:jc w:val="center"/>
              <w:rPr>
                <w:rFonts w:asciiTheme="minorHAnsi" w:hAnsiTheme="minorHAnsi"/>
              </w:rPr>
            </w:pPr>
            <w:r w:rsidRPr="00FE60E3">
              <w:rPr>
                <w:rFonts w:asciiTheme="minorHAnsi" w:hAnsiTheme="minorHAnsi"/>
              </w:rPr>
              <w:t>Przydatne</w:t>
            </w:r>
          </w:p>
        </w:tc>
        <w:tc>
          <w:tcPr>
            <w:tcW w:w="2977" w:type="dxa"/>
          </w:tcPr>
          <w:p w:rsidR="004F5BEB" w:rsidRPr="00FE60E3" w:rsidRDefault="004F5BEB" w:rsidP="004F5BEB">
            <w:pPr>
              <w:jc w:val="center"/>
              <w:rPr>
                <w:rFonts w:asciiTheme="minorHAnsi" w:hAnsiTheme="minorHAnsi"/>
              </w:rPr>
            </w:pPr>
            <w:r w:rsidRPr="00FE60E3">
              <w:rPr>
                <w:rFonts w:asciiTheme="minorHAnsi" w:hAnsiTheme="minorHAnsi"/>
              </w:rPr>
              <w:t>Przydatne</w:t>
            </w:r>
          </w:p>
          <w:p w:rsidR="004F5BEB" w:rsidRPr="00FE60E3" w:rsidRDefault="004F5BEB" w:rsidP="004F5BEB">
            <w:pPr>
              <w:jc w:val="center"/>
              <w:rPr>
                <w:rFonts w:asciiTheme="minorHAnsi" w:hAnsiTheme="minorHAnsi"/>
              </w:rPr>
            </w:pPr>
            <w:r w:rsidRPr="00FE60E3">
              <w:rPr>
                <w:rFonts w:asciiTheme="minorHAnsi" w:hAnsiTheme="minorHAnsi"/>
              </w:rPr>
              <w:t>z zastrzeżeniami</w:t>
            </w:r>
          </w:p>
        </w:tc>
        <w:tc>
          <w:tcPr>
            <w:tcW w:w="3543" w:type="dxa"/>
          </w:tcPr>
          <w:p w:rsidR="004F5BEB" w:rsidRPr="00FE60E3" w:rsidRDefault="004F5BEB" w:rsidP="004F5BEB">
            <w:pPr>
              <w:jc w:val="center"/>
              <w:rPr>
                <w:rFonts w:asciiTheme="minorHAnsi" w:hAnsiTheme="minorHAnsi"/>
              </w:rPr>
            </w:pPr>
            <w:r w:rsidRPr="00FE60E3">
              <w:rPr>
                <w:rFonts w:asciiTheme="minorHAnsi" w:hAnsiTheme="minorHAnsi"/>
              </w:rPr>
              <w:t>Treść</w:t>
            </w:r>
          </w:p>
          <w:p w:rsidR="004F5BEB" w:rsidRPr="00FE60E3" w:rsidRDefault="004F5BEB" w:rsidP="004F5BEB">
            <w:pPr>
              <w:jc w:val="center"/>
              <w:rPr>
                <w:rFonts w:asciiTheme="minorHAnsi" w:hAnsiTheme="minorHAnsi"/>
              </w:rPr>
            </w:pPr>
            <w:r w:rsidRPr="00FE60E3">
              <w:rPr>
                <w:rFonts w:asciiTheme="minorHAnsi" w:hAnsiTheme="minorHAnsi"/>
              </w:rPr>
              <w:t>zastrzeżenia</w:t>
            </w:r>
          </w:p>
        </w:tc>
      </w:tr>
      <w:tr w:rsidR="004F5BEB" w:rsidRPr="00FE60E3" w:rsidTr="004F5BEB">
        <w:tc>
          <w:tcPr>
            <w:tcW w:w="1101" w:type="dxa"/>
            <w:vMerge w:val="restart"/>
          </w:tcPr>
          <w:p w:rsidR="004F5BEB" w:rsidRPr="00FE60E3" w:rsidRDefault="004F5BEB" w:rsidP="004F5BEB">
            <w:pPr>
              <w:rPr>
                <w:rFonts w:asciiTheme="minorHAnsi" w:hAnsiTheme="minorHAnsi"/>
              </w:rPr>
            </w:pPr>
            <w:r w:rsidRPr="00FE60E3">
              <w:rPr>
                <w:rFonts w:asciiTheme="minorHAnsi" w:hAnsiTheme="minorHAnsi"/>
              </w:rPr>
              <w:t>Na dolne warstwy nasypów poniżej strefy przemarzania</w:t>
            </w:r>
          </w:p>
        </w:tc>
        <w:tc>
          <w:tcPr>
            <w:tcW w:w="2268" w:type="dxa"/>
            <w:vMerge w:val="restart"/>
          </w:tcPr>
          <w:p w:rsidR="004F5BEB" w:rsidRPr="00FE60E3" w:rsidRDefault="004F5BEB" w:rsidP="004F5BEB">
            <w:pPr>
              <w:rPr>
                <w:rFonts w:asciiTheme="minorHAnsi" w:hAnsiTheme="minorHAnsi"/>
              </w:rPr>
            </w:pPr>
            <w:r w:rsidRPr="00FE60E3">
              <w:rPr>
                <w:rFonts w:asciiTheme="minorHAnsi" w:hAnsiTheme="minorHAnsi"/>
              </w:rPr>
              <w:t>1. Rozdrobnione grunty skaliste twarde oraz grunty kamieniste, zwietrzelinowe, rumosze i otoczaki</w:t>
            </w:r>
          </w:p>
          <w:p w:rsidR="004F5BEB" w:rsidRPr="00FE60E3" w:rsidRDefault="004F5BEB" w:rsidP="004F5BEB">
            <w:pPr>
              <w:rPr>
                <w:rFonts w:asciiTheme="minorHAnsi" w:hAnsiTheme="minorHAnsi"/>
              </w:rPr>
            </w:pPr>
            <w:r w:rsidRPr="00FE60E3">
              <w:rPr>
                <w:rFonts w:asciiTheme="minorHAnsi" w:hAnsiTheme="minorHAnsi"/>
              </w:rPr>
              <w:t>2. Żwiry i pospółki, również gliniaste</w:t>
            </w:r>
          </w:p>
          <w:p w:rsidR="004F5BEB" w:rsidRPr="00FE60E3" w:rsidRDefault="004F5BEB" w:rsidP="004F5BEB">
            <w:pPr>
              <w:rPr>
                <w:rFonts w:asciiTheme="minorHAnsi" w:hAnsiTheme="minorHAnsi"/>
              </w:rPr>
            </w:pPr>
            <w:r w:rsidRPr="00FE60E3">
              <w:rPr>
                <w:rFonts w:asciiTheme="minorHAnsi" w:hAnsiTheme="minorHAnsi"/>
              </w:rPr>
              <w:t>3. Piaski grubo, średnio i drobnoziarniste, naturalne i łamane</w:t>
            </w:r>
          </w:p>
          <w:p w:rsidR="004F5BEB" w:rsidRPr="00FE60E3" w:rsidRDefault="004F5BEB" w:rsidP="004F5BEB">
            <w:pPr>
              <w:rPr>
                <w:rFonts w:asciiTheme="minorHAnsi" w:hAnsiTheme="minorHAnsi"/>
              </w:rPr>
            </w:pPr>
            <w:r w:rsidRPr="00FE60E3">
              <w:rPr>
                <w:rFonts w:asciiTheme="minorHAnsi" w:hAnsiTheme="minorHAnsi"/>
              </w:rPr>
              <w:t>4. Piaski gliniaste z domieszką frakcji żwirowo-kamienistej (morenowe) o wskaźniku różnoziarnistości U</w:t>
            </w:r>
            <w:r w:rsidRPr="00FE60E3">
              <w:rPr>
                <w:rFonts w:asciiTheme="minorHAnsi" w:hAnsiTheme="minorHAnsi"/>
              </w:rPr>
              <w:sym w:font="Symbol" w:char="F0B3"/>
            </w:r>
            <w:r w:rsidRPr="00FE60E3">
              <w:rPr>
                <w:rFonts w:asciiTheme="minorHAnsi" w:hAnsiTheme="minorHAnsi"/>
              </w:rPr>
              <w:t>15</w:t>
            </w:r>
          </w:p>
          <w:p w:rsidR="004F5BEB" w:rsidRPr="00FE60E3" w:rsidRDefault="004F5BEB" w:rsidP="004F5BEB">
            <w:pPr>
              <w:rPr>
                <w:rFonts w:asciiTheme="minorHAnsi" w:hAnsiTheme="minorHAnsi"/>
              </w:rPr>
            </w:pPr>
            <w:r w:rsidRPr="00FE60E3">
              <w:rPr>
                <w:rFonts w:asciiTheme="minorHAnsi" w:hAnsiTheme="minorHAnsi"/>
              </w:rPr>
              <w:t>5. Żużle wielkopiecowe i inne metalurgiczne ze starych zwałów (powyżej 5 lat)</w:t>
            </w:r>
          </w:p>
          <w:p w:rsidR="004F5BEB" w:rsidRPr="00FE60E3" w:rsidRDefault="004F5BEB" w:rsidP="004F5BEB">
            <w:pPr>
              <w:rPr>
                <w:rFonts w:asciiTheme="minorHAnsi" w:hAnsiTheme="minorHAnsi"/>
              </w:rPr>
            </w:pPr>
            <w:r w:rsidRPr="00FE60E3">
              <w:rPr>
                <w:rFonts w:asciiTheme="minorHAnsi" w:hAnsiTheme="minorHAnsi"/>
              </w:rPr>
              <w:t>6. Łupki przywęgłowe przepalone</w:t>
            </w:r>
          </w:p>
          <w:p w:rsidR="004F5BEB" w:rsidRPr="00FE60E3" w:rsidRDefault="004F5BEB" w:rsidP="004F5BEB">
            <w:pPr>
              <w:rPr>
                <w:rFonts w:asciiTheme="minorHAnsi" w:hAnsiTheme="minorHAnsi"/>
              </w:rPr>
            </w:pPr>
            <w:r w:rsidRPr="00FE60E3">
              <w:rPr>
                <w:rFonts w:asciiTheme="minorHAnsi" w:hAnsiTheme="minorHAnsi"/>
              </w:rPr>
              <w:t>7. Wysiewki kamienne o zawartości frakcji iłowej poniżej 2%</w:t>
            </w:r>
          </w:p>
        </w:tc>
        <w:tc>
          <w:tcPr>
            <w:tcW w:w="2977" w:type="dxa"/>
          </w:tcPr>
          <w:p w:rsidR="004F5BEB" w:rsidRPr="00FE60E3" w:rsidRDefault="004F5BEB" w:rsidP="004F5BEB">
            <w:pPr>
              <w:jc w:val="left"/>
              <w:rPr>
                <w:rFonts w:asciiTheme="minorHAnsi" w:hAnsiTheme="minorHAnsi"/>
              </w:rPr>
            </w:pPr>
            <w:r w:rsidRPr="00FE60E3">
              <w:rPr>
                <w:rFonts w:asciiTheme="minorHAnsi" w:hAnsiTheme="minorHAnsi"/>
              </w:rPr>
              <w:t>1.Rozdrobnione grunty skaliste miękkie</w:t>
            </w:r>
          </w:p>
          <w:p w:rsidR="004F5BEB" w:rsidRPr="00FE60E3" w:rsidRDefault="004F5BEB" w:rsidP="004F5BEB">
            <w:pPr>
              <w:jc w:val="left"/>
              <w:rPr>
                <w:rFonts w:asciiTheme="minorHAnsi" w:hAnsiTheme="minorHAnsi"/>
              </w:rPr>
            </w:pPr>
          </w:p>
        </w:tc>
        <w:tc>
          <w:tcPr>
            <w:tcW w:w="3543" w:type="dxa"/>
          </w:tcPr>
          <w:p w:rsidR="004F5BEB" w:rsidRPr="00FE60E3" w:rsidRDefault="004F5BEB" w:rsidP="004F5BEB">
            <w:pPr>
              <w:jc w:val="left"/>
              <w:rPr>
                <w:rFonts w:asciiTheme="minorHAnsi" w:hAnsiTheme="minorHAnsi"/>
              </w:rPr>
            </w:pPr>
            <w:r w:rsidRPr="00FE60E3">
              <w:rPr>
                <w:rFonts w:asciiTheme="minorHAnsi" w:hAnsiTheme="minorHAnsi"/>
              </w:rPr>
              <w:t>- gdy pory w gruncie skalistym będą wypełnione gruntem lub materiałem drobnoziarnistym</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pBdr>
                <w:top w:val="single" w:sz="6" w:space="1" w:color="auto"/>
              </w:pBdr>
              <w:jc w:val="left"/>
              <w:rPr>
                <w:rFonts w:asciiTheme="minorHAnsi" w:hAnsiTheme="minorHAnsi"/>
              </w:rPr>
            </w:pPr>
            <w:r w:rsidRPr="00FE60E3">
              <w:rPr>
                <w:rFonts w:asciiTheme="minorHAnsi" w:hAnsiTheme="minorHAnsi"/>
              </w:rPr>
              <w:t>2.Zwietrzeliny i rumosze gliniaste</w:t>
            </w:r>
          </w:p>
          <w:p w:rsidR="004F5BEB" w:rsidRPr="00FE60E3" w:rsidRDefault="004F5BEB" w:rsidP="004F5BEB">
            <w:pPr>
              <w:jc w:val="left"/>
              <w:rPr>
                <w:rFonts w:asciiTheme="minorHAnsi" w:hAnsiTheme="minorHAnsi"/>
              </w:rPr>
            </w:pPr>
            <w:r w:rsidRPr="00FE60E3">
              <w:rPr>
                <w:rFonts w:asciiTheme="minorHAnsi" w:hAnsiTheme="minorHAnsi"/>
              </w:rPr>
              <w:t>3. Piaski pylaste, piaski gliniaste, pyły piaszczyste i pyły</w:t>
            </w:r>
          </w:p>
        </w:tc>
        <w:tc>
          <w:tcPr>
            <w:tcW w:w="3543" w:type="dxa"/>
          </w:tcPr>
          <w:p w:rsidR="004F5BEB" w:rsidRPr="00FE60E3" w:rsidRDefault="004F5BEB" w:rsidP="004F5BEB">
            <w:pPr>
              <w:pStyle w:val="Tekstpodstawowy25"/>
              <w:ind w:left="0"/>
              <w:jc w:val="left"/>
              <w:rPr>
                <w:rFonts w:asciiTheme="minorHAnsi" w:hAnsiTheme="minorHAnsi"/>
              </w:rPr>
            </w:pPr>
            <w:r w:rsidRPr="00FE60E3">
              <w:rPr>
                <w:rFonts w:asciiTheme="minorHAnsi" w:hAnsiTheme="minorHAnsi"/>
              </w:rPr>
              <w:t>- gdy będą wbudowane w miejsca suche lub zabezpieczone od wód gruntowych i powierzchniowych</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jc w:val="left"/>
              <w:rPr>
                <w:rFonts w:asciiTheme="minorHAnsi" w:hAnsiTheme="minorHAnsi"/>
              </w:rPr>
            </w:pPr>
            <w:r w:rsidRPr="00FE60E3">
              <w:rPr>
                <w:rFonts w:asciiTheme="minorHAnsi" w:hAnsiTheme="minorHAnsi"/>
              </w:rPr>
              <w:t>4. Piaski próchniczne, z wyjątkiem pylastych piasków próchnicznych</w:t>
            </w:r>
          </w:p>
        </w:tc>
        <w:tc>
          <w:tcPr>
            <w:tcW w:w="3543" w:type="dxa"/>
          </w:tcPr>
          <w:p w:rsidR="004F5BEB" w:rsidRPr="00FE60E3" w:rsidRDefault="004F5BEB" w:rsidP="004F5BEB">
            <w:pPr>
              <w:jc w:val="left"/>
              <w:rPr>
                <w:rFonts w:asciiTheme="minorHAnsi" w:hAnsiTheme="minorHAnsi"/>
              </w:rPr>
            </w:pPr>
            <w:r w:rsidRPr="00FE60E3">
              <w:rPr>
                <w:rFonts w:asciiTheme="minorHAnsi" w:hAnsiTheme="minorHAnsi"/>
              </w:rPr>
              <w:t>- do nasypów nie wyższych niż 3 m, zabezpieczonych przed zawilgoceniem</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jc w:val="left"/>
              <w:rPr>
                <w:rFonts w:asciiTheme="minorHAnsi" w:hAnsiTheme="minorHAnsi"/>
              </w:rPr>
            </w:pPr>
            <w:r w:rsidRPr="00FE60E3">
              <w:rPr>
                <w:rFonts w:asciiTheme="minorHAnsi" w:hAnsiTheme="minorHAnsi"/>
              </w:rPr>
              <w:t>5. Gliny piaszczyste, gliny i gliny pylaste oraz inne o w</w:t>
            </w:r>
            <w:r w:rsidRPr="00FE60E3">
              <w:rPr>
                <w:rFonts w:asciiTheme="minorHAnsi" w:hAnsiTheme="minorHAnsi"/>
                <w:vertAlign w:val="subscript"/>
              </w:rPr>
              <w:t>L</w:t>
            </w:r>
            <w:r w:rsidRPr="00FE60E3">
              <w:rPr>
                <w:rFonts w:asciiTheme="minorHAnsi" w:hAnsiTheme="minorHAnsi"/>
              </w:rPr>
              <w:t xml:space="preserve">       </w:t>
            </w:r>
            <w:r w:rsidRPr="00FE60E3">
              <w:rPr>
                <w:rFonts w:asciiTheme="minorHAnsi" w:hAnsiTheme="minorHAnsi"/>
              </w:rPr>
              <w:sym w:font="Symbol" w:char="F03C"/>
            </w:r>
            <w:r w:rsidRPr="00FE60E3">
              <w:rPr>
                <w:rFonts w:asciiTheme="minorHAnsi" w:hAnsiTheme="minorHAnsi"/>
              </w:rPr>
              <w:t xml:space="preserve"> 35%</w:t>
            </w:r>
          </w:p>
        </w:tc>
        <w:tc>
          <w:tcPr>
            <w:tcW w:w="3543" w:type="dxa"/>
          </w:tcPr>
          <w:p w:rsidR="004F5BEB" w:rsidRPr="00FE60E3" w:rsidRDefault="004F5BEB" w:rsidP="004F5BEB">
            <w:pPr>
              <w:rPr>
                <w:rFonts w:asciiTheme="minorHAnsi" w:hAnsiTheme="minorHAnsi"/>
              </w:rPr>
            </w:pPr>
            <w:r w:rsidRPr="00FE60E3">
              <w:rPr>
                <w:rFonts w:asciiTheme="minorHAnsi" w:hAnsiTheme="minorHAnsi"/>
              </w:rPr>
              <w:t>- w miejscach suchych lub przejściowo zawilgoconych</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jc w:val="left"/>
              <w:rPr>
                <w:rFonts w:asciiTheme="minorHAnsi" w:hAnsiTheme="minorHAnsi"/>
              </w:rPr>
            </w:pPr>
            <w:r w:rsidRPr="00FE60E3">
              <w:rPr>
                <w:rFonts w:asciiTheme="minorHAnsi" w:hAnsiTheme="minorHAnsi"/>
              </w:rPr>
              <w:t>6. Gliny piaszczyste zwięzłe, gliny zwięzłe i gliny pylaste zwięzłe oraz inne grunty o granicy płynności w</w:t>
            </w:r>
            <w:r w:rsidRPr="00FE60E3">
              <w:rPr>
                <w:rFonts w:asciiTheme="minorHAnsi" w:hAnsiTheme="minorHAnsi"/>
                <w:vertAlign w:val="subscript"/>
              </w:rPr>
              <w:t>L</w:t>
            </w:r>
            <w:r w:rsidRPr="00FE60E3">
              <w:rPr>
                <w:rFonts w:asciiTheme="minorHAnsi" w:hAnsiTheme="minorHAnsi"/>
              </w:rPr>
              <w:t xml:space="preserve"> od 35 do 60%</w:t>
            </w:r>
          </w:p>
        </w:tc>
        <w:tc>
          <w:tcPr>
            <w:tcW w:w="3543" w:type="dxa"/>
          </w:tcPr>
          <w:p w:rsidR="004F5BEB" w:rsidRPr="00FE60E3" w:rsidRDefault="004F5BEB" w:rsidP="004F5BEB">
            <w:pPr>
              <w:rPr>
                <w:rFonts w:asciiTheme="minorHAnsi" w:hAnsiTheme="minorHAnsi"/>
              </w:rPr>
            </w:pPr>
            <w:r w:rsidRPr="00FE60E3">
              <w:rPr>
                <w:rFonts w:asciiTheme="minorHAnsi" w:hAnsiTheme="minorHAnsi"/>
              </w:rPr>
              <w:t>- do nasypów nie wyższych niż 3 m: zabezpieczonych przed zawilgoceniem lub po ulepszeniu spoiwami</w:t>
            </w:r>
          </w:p>
          <w:p w:rsidR="004F5BEB" w:rsidRPr="00FE60E3" w:rsidRDefault="004F5BEB" w:rsidP="004F5BEB">
            <w:pPr>
              <w:rPr>
                <w:rFonts w:asciiTheme="minorHAnsi" w:hAnsiTheme="minorHAnsi"/>
              </w:rPr>
            </w:pP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rPr>
                <w:rFonts w:asciiTheme="minorHAnsi" w:hAnsiTheme="minorHAnsi"/>
              </w:rPr>
            </w:pPr>
            <w:r w:rsidRPr="00FE60E3">
              <w:rPr>
                <w:rFonts w:asciiTheme="minorHAnsi" w:hAnsiTheme="minorHAnsi"/>
              </w:rPr>
              <w:t>7. Wysiewki kamienne gliniaste o zawartości frakcji iłowej ponad 2%</w:t>
            </w:r>
          </w:p>
        </w:tc>
        <w:tc>
          <w:tcPr>
            <w:tcW w:w="3543" w:type="dxa"/>
          </w:tcPr>
          <w:p w:rsidR="004F5BEB" w:rsidRPr="00FE60E3" w:rsidRDefault="004F5BEB" w:rsidP="004F5BEB">
            <w:pPr>
              <w:rPr>
                <w:rFonts w:asciiTheme="minorHAnsi" w:hAnsiTheme="minorHAnsi"/>
              </w:rPr>
            </w:pPr>
            <w:r w:rsidRPr="00FE60E3">
              <w:rPr>
                <w:rFonts w:asciiTheme="minorHAnsi" w:hAnsiTheme="minorHAnsi"/>
              </w:rPr>
              <w:t>- gdy zwierciadło wody gruntowej znajduje się na głębokości większej od kapilarności biernej gruntu podłoża</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rPr>
                <w:rFonts w:asciiTheme="minorHAnsi" w:hAnsiTheme="minorHAnsi"/>
              </w:rPr>
            </w:pPr>
            <w:r w:rsidRPr="00FE60E3">
              <w:rPr>
                <w:rFonts w:asciiTheme="minorHAnsi" w:hAnsiTheme="minorHAnsi"/>
              </w:rPr>
              <w:t>8. Żużle wielkopiecowe i inne metalurgiczne z nowego studzenia (do 5 lat)</w:t>
            </w:r>
          </w:p>
        </w:tc>
        <w:tc>
          <w:tcPr>
            <w:tcW w:w="3543" w:type="dxa"/>
          </w:tcPr>
          <w:p w:rsidR="004F5BEB" w:rsidRPr="00FE60E3" w:rsidRDefault="004F5BEB" w:rsidP="004F5BEB">
            <w:pPr>
              <w:rPr>
                <w:rFonts w:asciiTheme="minorHAnsi" w:hAnsiTheme="minorHAnsi"/>
              </w:rPr>
            </w:pPr>
            <w:r w:rsidRPr="00FE60E3">
              <w:rPr>
                <w:rFonts w:asciiTheme="minorHAnsi" w:hAnsiTheme="minorHAnsi"/>
              </w:rPr>
              <w:t>- o ograniczonej podatności na rozpad - łączne straty masy do 5%</w:t>
            </w:r>
          </w:p>
          <w:p w:rsidR="004F5BEB" w:rsidRPr="00FE60E3" w:rsidRDefault="004F5BEB" w:rsidP="004F5BEB">
            <w:pPr>
              <w:rPr>
                <w:rFonts w:asciiTheme="minorHAnsi" w:hAnsiTheme="minorHAnsi"/>
              </w:rPr>
            </w:pP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pStyle w:val="Tekstpodstawowy"/>
              <w:spacing w:line="240" w:lineRule="auto"/>
              <w:jc w:val="both"/>
              <w:rPr>
                <w:rFonts w:asciiTheme="minorHAnsi" w:hAnsiTheme="minorHAnsi"/>
                <w:sz w:val="20"/>
              </w:rPr>
            </w:pPr>
            <w:r w:rsidRPr="00FE60E3">
              <w:rPr>
                <w:rFonts w:asciiTheme="minorHAnsi" w:hAnsiTheme="minorHAnsi"/>
                <w:sz w:val="20"/>
              </w:rPr>
              <w:t>9.Iłołupki przywęglowe nieprzepalone</w:t>
            </w:r>
          </w:p>
        </w:tc>
        <w:tc>
          <w:tcPr>
            <w:tcW w:w="3543" w:type="dxa"/>
          </w:tcPr>
          <w:p w:rsidR="004F5BEB" w:rsidRPr="00FE60E3" w:rsidRDefault="004F5BEB" w:rsidP="004F5BEB">
            <w:pPr>
              <w:rPr>
                <w:rFonts w:asciiTheme="minorHAnsi" w:hAnsiTheme="minorHAnsi"/>
              </w:rPr>
            </w:pPr>
            <w:r w:rsidRPr="00FE60E3">
              <w:rPr>
                <w:rFonts w:asciiTheme="minorHAnsi" w:hAnsiTheme="minorHAnsi"/>
              </w:rPr>
              <w:t>- gdy wolne przestrzenie zostaną wypełnione materiałem drobnoziarnistym</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pBdr>
                <w:top w:val="single" w:sz="6" w:space="1" w:color="auto"/>
              </w:pBdr>
              <w:rPr>
                <w:rFonts w:asciiTheme="minorHAnsi" w:hAnsiTheme="minorHAnsi"/>
              </w:rPr>
            </w:pPr>
            <w:r w:rsidRPr="00FE60E3">
              <w:rPr>
                <w:rFonts w:asciiTheme="minorHAnsi" w:hAnsiTheme="minorHAnsi"/>
              </w:rPr>
              <w:t>10. Popioły lotne i mieszaniny popiołowo-żużlowe</w:t>
            </w:r>
          </w:p>
        </w:tc>
        <w:tc>
          <w:tcPr>
            <w:tcW w:w="3543" w:type="dxa"/>
          </w:tcPr>
          <w:p w:rsidR="004F5BEB" w:rsidRPr="00FE60E3" w:rsidRDefault="004F5BEB" w:rsidP="004F5BEB">
            <w:pPr>
              <w:rPr>
                <w:rFonts w:asciiTheme="minorHAnsi" w:hAnsiTheme="minorHAnsi"/>
              </w:rPr>
            </w:pPr>
            <w:r w:rsidRPr="00FE60E3">
              <w:rPr>
                <w:rFonts w:asciiTheme="minorHAnsi" w:hAnsiTheme="minorHAnsi"/>
              </w:rPr>
              <w:t>- gdy zalegają w miejscach suchych lub są izolowane od wody</w:t>
            </w:r>
          </w:p>
        </w:tc>
      </w:tr>
      <w:tr w:rsidR="004F5BEB" w:rsidRPr="00FE60E3" w:rsidTr="004F5BEB">
        <w:tc>
          <w:tcPr>
            <w:tcW w:w="1101" w:type="dxa"/>
            <w:vMerge w:val="restart"/>
          </w:tcPr>
          <w:p w:rsidR="004F5BEB" w:rsidRPr="00FE60E3" w:rsidRDefault="004F5BEB" w:rsidP="004F5BEB">
            <w:pPr>
              <w:rPr>
                <w:rFonts w:asciiTheme="minorHAnsi" w:hAnsiTheme="minorHAnsi"/>
              </w:rPr>
            </w:pPr>
            <w:r w:rsidRPr="00FE60E3">
              <w:rPr>
                <w:rFonts w:asciiTheme="minorHAnsi" w:hAnsiTheme="minorHAnsi"/>
              </w:rPr>
              <w:t>Na górne warstwy nasypów w strefie przemarza-nia</w:t>
            </w:r>
          </w:p>
        </w:tc>
        <w:tc>
          <w:tcPr>
            <w:tcW w:w="2268" w:type="dxa"/>
            <w:vMerge w:val="restart"/>
          </w:tcPr>
          <w:p w:rsidR="004F5BEB" w:rsidRPr="00FE60E3" w:rsidRDefault="004F5BEB" w:rsidP="004F5BEB">
            <w:pPr>
              <w:rPr>
                <w:rFonts w:asciiTheme="minorHAnsi" w:hAnsiTheme="minorHAnsi"/>
              </w:rPr>
            </w:pPr>
            <w:r w:rsidRPr="00FE60E3">
              <w:rPr>
                <w:rFonts w:asciiTheme="minorHAnsi" w:hAnsiTheme="minorHAnsi"/>
              </w:rPr>
              <w:t>1. Żwiry i pospółki</w:t>
            </w:r>
          </w:p>
          <w:p w:rsidR="004F5BEB" w:rsidRPr="00FE60E3" w:rsidRDefault="004F5BEB" w:rsidP="004F5BEB">
            <w:pPr>
              <w:rPr>
                <w:rFonts w:asciiTheme="minorHAnsi" w:hAnsiTheme="minorHAnsi"/>
              </w:rPr>
            </w:pPr>
            <w:r w:rsidRPr="00FE60E3">
              <w:rPr>
                <w:rFonts w:asciiTheme="minorHAnsi" w:hAnsiTheme="minorHAnsi"/>
              </w:rPr>
              <w:t>2. Piaski grubo i średnio-</w:t>
            </w:r>
          </w:p>
          <w:p w:rsidR="004F5BEB" w:rsidRPr="00FE60E3" w:rsidRDefault="004F5BEB" w:rsidP="004F5BEB">
            <w:pPr>
              <w:rPr>
                <w:rFonts w:asciiTheme="minorHAnsi" w:hAnsiTheme="minorHAnsi"/>
              </w:rPr>
            </w:pPr>
            <w:r w:rsidRPr="00FE60E3">
              <w:rPr>
                <w:rFonts w:asciiTheme="minorHAnsi" w:hAnsiTheme="minorHAnsi"/>
              </w:rPr>
              <w:t>ziarniste</w:t>
            </w:r>
          </w:p>
          <w:p w:rsidR="004F5BEB" w:rsidRPr="00FE60E3" w:rsidRDefault="004F5BEB" w:rsidP="004F5BEB">
            <w:pPr>
              <w:rPr>
                <w:rFonts w:asciiTheme="minorHAnsi" w:hAnsiTheme="minorHAnsi"/>
              </w:rPr>
            </w:pPr>
            <w:r w:rsidRPr="00FE60E3">
              <w:rPr>
                <w:rFonts w:asciiTheme="minorHAnsi" w:hAnsiTheme="minorHAnsi"/>
              </w:rPr>
              <w:t>3. Iłołupki przywęglowe przepalone zawierające mniej niż 15% ziarn mniejszych od 0,075 mm</w:t>
            </w:r>
          </w:p>
          <w:p w:rsidR="004F5BEB" w:rsidRPr="00FE60E3" w:rsidRDefault="004F5BEB" w:rsidP="004F5BEB">
            <w:pPr>
              <w:rPr>
                <w:rFonts w:asciiTheme="minorHAnsi" w:hAnsiTheme="minorHAnsi"/>
              </w:rPr>
            </w:pPr>
            <w:r w:rsidRPr="00FE60E3">
              <w:rPr>
                <w:rFonts w:asciiTheme="minorHAnsi" w:hAnsiTheme="minorHAnsi"/>
              </w:rPr>
              <w:lastRenderedPageBreak/>
              <w:t>4. Wysiewki kamienne o uziarnieniu odpowiadającym pospółkom lub żwirom</w:t>
            </w:r>
          </w:p>
        </w:tc>
        <w:tc>
          <w:tcPr>
            <w:tcW w:w="2977" w:type="dxa"/>
          </w:tcPr>
          <w:p w:rsidR="004F5BEB" w:rsidRPr="00FE60E3" w:rsidRDefault="004F5BEB" w:rsidP="004F5BEB">
            <w:pPr>
              <w:rPr>
                <w:rFonts w:asciiTheme="minorHAnsi" w:hAnsiTheme="minorHAnsi"/>
              </w:rPr>
            </w:pPr>
            <w:r w:rsidRPr="00FE60E3">
              <w:rPr>
                <w:rFonts w:asciiTheme="minorHAnsi" w:hAnsiTheme="minorHAnsi"/>
              </w:rPr>
              <w:lastRenderedPageBreak/>
              <w:t>1. Żwiry i pospółki gliniaste</w:t>
            </w:r>
          </w:p>
          <w:p w:rsidR="004F5BEB" w:rsidRPr="00FE60E3" w:rsidRDefault="004F5BEB" w:rsidP="004F5BEB">
            <w:pPr>
              <w:rPr>
                <w:rFonts w:asciiTheme="minorHAnsi" w:hAnsiTheme="minorHAnsi"/>
              </w:rPr>
            </w:pPr>
            <w:r w:rsidRPr="00FE60E3">
              <w:rPr>
                <w:rFonts w:asciiTheme="minorHAnsi" w:hAnsiTheme="minorHAnsi"/>
              </w:rPr>
              <w:t>2. Piaski pylaste i gliniaste</w:t>
            </w:r>
          </w:p>
          <w:p w:rsidR="004F5BEB" w:rsidRPr="00FE60E3" w:rsidRDefault="004F5BEB" w:rsidP="004F5BEB">
            <w:pPr>
              <w:rPr>
                <w:rFonts w:asciiTheme="minorHAnsi" w:hAnsiTheme="minorHAnsi"/>
              </w:rPr>
            </w:pPr>
            <w:r w:rsidRPr="00FE60E3">
              <w:rPr>
                <w:rFonts w:asciiTheme="minorHAnsi" w:hAnsiTheme="minorHAnsi"/>
              </w:rPr>
              <w:t>3. Pyły piaszczyste i pyły</w:t>
            </w:r>
          </w:p>
          <w:p w:rsidR="004F5BEB" w:rsidRPr="00FE60E3" w:rsidRDefault="004F5BEB" w:rsidP="004F5BEB">
            <w:pPr>
              <w:rPr>
                <w:rFonts w:asciiTheme="minorHAnsi" w:hAnsiTheme="minorHAnsi"/>
              </w:rPr>
            </w:pPr>
            <w:r w:rsidRPr="00FE60E3">
              <w:rPr>
                <w:rFonts w:asciiTheme="minorHAnsi" w:hAnsiTheme="minorHAnsi"/>
              </w:rPr>
              <w:t>4. Gliny o granicy płynności mniejszej niż 35%</w:t>
            </w:r>
          </w:p>
          <w:p w:rsidR="004F5BEB" w:rsidRPr="00FE60E3" w:rsidRDefault="004F5BEB" w:rsidP="004F5BEB">
            <w:pPr>
              <w:rPr>
                <w:rFonts w:asciiTheme="minorHAnsi" w:hAnsiTheme="minorHAnsi"/>
              </w:rPr>
            </w:pPr>
            <w:r w:rsidRPr="00FE60E3">
              <w:rPr>
                <w:rFonts w:asciiTheme="minorHAnsi" w:hAnsiTheme="minorHAnsi"/>
              </w:rPr>
              <w:t>5. Mieszaniny popiołowo-żużlowe z węgla kamiennego</w:t>
            </w:r>
          </w:p>
          <w:p w:rsidR="004F5BEB" w:rsidRPr="00FE60E3" w:rsidRDefault="004F5BEB" w:rsidP="004F5BEB">
            <w:pPr>
              <w:rPr>
                <w:rFonts w:asciiTheme="minorHAnsi" w:hAnsiTheme="minorHAnsi"/>
              </w:rPr>
            </w:pPr>
            <w:r w:rsidRPr="00FE60E3">
              <w:rPr>
                <w:rFonts w:asciiTheme="minorHAnsi" w:hAnsiTheme="minorHAnsi"/>
              </w:rPr>
              <w:lastRenderedPageBreak/>
              <w:t xml:space="preserve">6. Wysiewki kamienne gliniaste o zawartości frakcji iłowej </w:t>
            </w:r>
            <w:r w:rsidRPr="00FE60E3">
              <w:rPr>
                <w:rFonts w:asciiTheme="minorHAnsi" w:hAnsiTheme="minorHAnsi"/>
              </w:rPr>
              <w:sym w:font="Symbol" w:char="F03E"/>
            </w:r>
            <w:r w:rsidRPr="00FE60E3">
              <w:rPr>
                <w:rFonts w:asciiTheme="minorHAnsi" w:hAnsiTheme="minorHAnsi"/>
              </w:rPr>
              <w:t>2%</w:t>
            </w:r>
          </w:p>
        </w:tc>
        <w:tc>
          <w:tcPr>
            <w:tcW w:w="3543" w:type="dxa"/>
          </w:tcPr>
          <w:p w:rsidR="004F5BEB" w:rsidRPr="00FE60E3" w:rsidRDefault="004F5BEB" w:rsidP="004F5BEB">
            <w:pPr>
              <w:rPr>
                <w:rFonts w:asciiTheme="minorHAnsi" w:hAnsiTheme="minorHAnsi"/>
              </w:rPr>
            </w:pPr>
            <w:r w:rsidRPr="00FE60E3">
              <w:rPr>
                <w:rFonts w:asciiTheme="minorHAnsi" w:hAnsiTheme="minorHAnsi"/>
              </w:rPr>
              <w:lastRenderedPageBreak/>
              <w:t>- pod warunkiem ulepszenia tych gruntów spoiwami, takimi jak: cement, wapno, aktywne popioły itp</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rPr>
                <w:rFonts w:asciiTheme="minorHAnsi" w:hAnsiTheme="minorHAnsi"/>
              </w:rPr>
            </w:pPr>
            <w:r w:rsidRPr="00FE60E3">
              <w:rPr>
                <w:rFonts w:asciiTheme="minorHAnsi" w:hAnsiTheme="minorHAnsi"/>
              </w:rPr>
              <w:t>7. Żużle wielkopiecowe i inne metalurgiczne</w:t>
            </w:r>
          </w:p>
        </w:tc>
        <w:tc>
          <w:tcPr>
            <w:tcW w:w="3543" w:type="dxa"/>
          </w:tcPr>
          <w:p w:rsidR="004F5BEB" w:rsidRPr="00FE60E3" w:rsidRDefault="004F5BEB" w:rsidP="004F5BEB">
            <w:pPr>
              <w:pBdr>
                <w:top w:val="single" w:sz="6" w:space="1" w:color="auto"/>
              </w:pBdr>
              <w:rPr>
                <w:rFonts w:asciiTheme="minorHAnsi" w:hAnsiTheme="minorHAnsi"/>
              </w:rPr>
            </w:pPr>
            <w:r w:rsidRPr="00FE60E3">
              <w:rPr>
                <w:rFonts w:asciiTheme="minorHAnsi" w:hAnsiTheme="minorHAnsi"/>
              </w:rPr>
              <w:t>- drobnoziarniste i  nierozpadowe: straty masy do 1%</w:t>
            </w:r>
          </w:p>
        </w:tc>
      </w:tr>
      <w:tr w:rsidR="004F5BEB" w:rsidRPr="00FE60E3" w:rsidTr="004F5BEB">
        <w:tc>
          <w:tcPr>
            <w:tcW w:w="1101" w:type="dxa"/>
            <w:vMerge/>
          </w:tcPr>
          <w:p w:rsidR="004F5BEB" w:rsidRPr="00FE60E3" w:rsidRDefault="004F5BEB" w:rsidP="004F5BEB">
            <w:pPr>
              <w:rPr>
                <w:rFonts w:asciiTheme="minorHAnsi" w:hAnsiTheme="minorHAnsi"/>
              </w:rPr>
            </w:pPr>
          </w:p>
        </w:tc>
        <w:tc>
          <w:tcPr>
            <w:tcW w:w="2268" w:type="dxa"/>
            <w:vMerge/>
          </w:tcPr>
          <w:p w:rsidR="004F5BEB" w:rsidRPr="00FE60E3" w:rsidRDefault="004F5BEB" w:rsidP="004F5BEB">
            <w:pPr>
              <w:rPr>
                <w:rFonts w:asciiTheme="minorHAnsi" w:hAnsiTheme="minorHAnsi"/>
              </w:rPr>
            </w:pPr>
          </w:p>
        </w:tc>
        <w:tc>
          <w:tcPr>
            <w:tcW w:w="2977" w:type="dxa"/>
          </w:tcPr>
          <w:p w:rsidR="004F5BEB" w:rsidRPr="00FE60E3" w:rsidRDefault="004F5BEB" w:rsidP="004F5BEB">
            <w:pPr>
              <w:jc w:val="left"/>
              <w:rPr>
                <w:rFonts w:asciiTheme="minorHAnsi" w:hAnsiTheme="minorHAnsi"/>
              </w:rPr>
            </w:pPr>
            <w:r w:rsidRPr="00FE60E3">
              <w:rPr>
                <w:rFonts w:asciiTheme="minorHAnsi" w:hAnsiTheme="minorHAnsi"/>
              </w:rPr>
              <w:t>8. Piaski drobnoziarniste</w:t>
            </w:r>
          </w:p>
        </w:tc>
        <w:tc>
          <w:tcPr>
            <w:tcW w:w="3543" w:type="dxa"/>
          </w:tcPr>
          <w:p w:rsidR="004F5BEB" w:rsidRPr="00FE60E3" w:rsidRDefault="004F5BEB" w:rsidP="004F5BEB">
            <w:pPr>
              <w:rPr>
                <w:rFonts w:asciiTheme="minorHAnsi" w:hAnsiTheme="minorHAnsi"/>
              </w:rPr>
            </w:pPr>
            <w:r w:rsidRPr="00FE60E3">
              <w:rPr>
                <w:rFonts w:asciiTheme="minorHAnsi" w:hAnsiTheme="minorHAnsi"/>
              </w:rPr>
              <w:t>- o wskaźniku nośności w</w:t>
            </w:r>
            <w:r w:rsidRPr="00FE60E3">
              <w:rPr>
                <w:rFonts w:asciiTheme="minorHAnsi" w:hAnsiTheme="minorHAnsi"/>
                <w:vertAlign w:val="subscript"/>
              </w:rPr>
              <w:t>noś</w:t>
            </w:r>
            <w:r w:rsidRPr="00FE60E3">
              <w:rPr>
                <w:rFonts w:asciiTheme="minorHAnsi" w:hAnsiTheme="minorHAnsi"/>
              </w:rPr>
              <w:sym w:font="Symbol" w:char="F0B3"/>
            </w:r>
            <w:r w:rsidRPr="00FE60E3">
              <w:rPr>
                <w:rFonts w:asciiTheme="minorHAnsi" w:hAnsiTheme="minorHAnsi"/>
              </w:rPr>
              <w:t>10</w:t>
            </w:r>
          </w:p>
        </w:tc>
      </w:tr>
      <w:tr w:rsidR="004F5BEB" w:rsidRPr="00FE60E3" w:rsidTr="004F5BEB">
        <w:tc>
          <w:tcPr>
            <w:tcW w:w="1101" w:type="dxa"/>
          </w:tcPr>
          <w:p w:rsidR="004F5BEB" w:rsidRPr="00FE60E3" w:rsidRDefault="004F5BEB" w:rsidP="004F5BEB">
            <w:pPr>
              <w:rPr>
                <w:rFonts w:asciiTheme="minorHAnsi" w:hAnsiTheme="minorHAnsi"/>
              </w:rPr>
            </w:pPr>
            <w:r w:rsidRPr="00FE60E3">
              <w:rPr>
                <w:rFonts w:asciiTheme="minorHAnsi" w:hAnsiTheme="minorHAnsi"/>
              </w:rPr>
              <w:t>W wykopach i miejscach zerowych do głębokości przemarzania</w:t>
            </w:r>
          </w:p>
        </w:tc>
        <w:tc>
          <w:tcPr>
            <w:tcW w:w="2268" w:type="dxa"/>
          </w:tcPr>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Grunty niewysadzinowe</w:t>
            </w:r>
          </w:p>
        </w:tc>
        <w:tc>
          <w:tcPr>
            <w:tcW w:w="2977" w:type="dxa"/>
          </w:tcPr>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Grunty wątpliwe i wysadzinowe</w:t>
            </w:r>
          </w:p>
        </w:tc>
        <w:tc>
          <w:tcPr>
            <w:tcW w:w="3543" w:type="dxa"/>
          </w:tcPr>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 gdy są ulepszane spoiwami (cementem, wapnem, aktywnymi popiołami itp.)</w:t>
            </w:r>
          </w:p>
        </w:tc>
      </w:tr>
    </w:tbl>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Wymagania w zakresie przydatności iłow stosowanych do nasypów:</w:t>
      </w:r>
    </w:p>
    <w:p w:rsidR="004F5BEB" w:rsidRPr="00FE60E3" w:rsidRDefault="004F5BEB" w:rsidP="004F5BEB">
      <w:pPr>
        <w:pStyle w:val="Teksttreci0"/>
        <w:shd w:val="clear" w:color="auto" w:fill="auto"/>
        <w:spacing w:before="0" w:after="240" w:line="240" w:lineRule="auto"/>
        <w:ind w:left="20" w:right="20" w:firstLine="0"/>
        <w:jc w:val="both"/>
        <w:rPr>
          <w:rFonts w:asciiTheme="minorHAnsi" w:hAnsiTheme="minorHAnsi"/>
          <w:sz w:val="20"/>
          <w:szCs w:val="20"/>
        </w:rPr>
      </w:pPr>
      <w:r w:rsidRPr="00FE60E3">
        <w:rPr>
          <w:rFonts w:asciiTheme="minorHAnsi" w:hAnsiTheme="minorHAnsi"/>
          <w:sz w:val="20"/>
          <w:szCs w:val="20"/>
        </w:rPr>
        <w:t xml:space="preserve">Do górnych i dolnych warstw nasypów należy stosować grunty  spełniające wymagania. PN-S-02205:1998. </w:t>
      </w:r>
    </w:p>
    <w:p w:rsidR="004F5BEB" w:rsidRPr="00FE60E3" w:rsidRDefault="004F5BEB" w:rsidP="004F5BEB">
      <w:pPr>
        <w:pStyle w:val="Teksttreci0"/>
        <w:shd w:val="clear" w:color="auto" w:fill="auto"/>
        <w:spacing w:before="0" w:after="240" w:line="240" w:lineRule="auto"/>
        <w:ind w:left="20" w:right="20" w:firstLine="0"/>
        <w:jc w:val="both"/>
        <w:rPr>
          <w:rFonts w:asciiTheme="minorHAnsi" w:hAnsiTheme="minorHAnsi"/>
          <w:sz w:val="20"/>
          <w:szCs w:val="20"/>
        </w:rPr>
      </w:pPr>
      <w:r w:rsidRPr="00FE60E3">
        <w:rPr>
          <w:rFonts w:asciiTheme="minorHAnsi" w:hAnsiTheme="minorHAnsi"/>
          <w:sz w:val="20"/>
          <w:szCs w:val="20"/>
        </w:rPr>
        <w:t>Nie należy wykorzystywać do budowy górnych i dolnych warstw nasypów iłów i innych gruntów spoistych o granicy płynności &gt; 60% oraz gruntów organicznych (o zawartości części organicznych I</w:t>
      </w:r>
      <w:r w:rsidRPr="00FE60E3">
        <w:rPr>
          <w:rFonts w:asciiTheme="minorHAnsi" w:hAnsiTheme="minorHAnsi"/>
          <w:sz w:val="20"/>
          <w:szCs w:val="20"/>
          <w:vertAlign w:val="subscript"/>
        </w:rPr>
        <w:t>om</w:t>
      </w:r>
      <w:r w:rsidRPr="00FE60E3">
        <w:rPr>
          <w:rFonts w:asciiTheme="minorHAnsi" w:hAnsiTheme="minorHAnsi"/>
          <w:sz w:val="20"/>
          <w:szCs w:val="20"/>
        </w:rPr>
        <w:t xml:space="preserve"> &gt;2%), za wyjątkiem piasków próchnicznych o I</w:t>
      </w:r>
      <w:r w:rsidRPr="00FE60E3">
        <w:rPr>
          <w:rFonts w:asciiTheme="minorHAnsi" w:hAnsiTheme="minorHAnsi"/>
          <w:sz w:val="20"/>
          <w:szCs w:val="20"/>
          <w:vertAlign w:val="subscript"/>
        </w:rPr>
        <w:t>om</w:t>
      </w:r>
      <w:r w:rsidRPr="00FE60E3">
        <w:rPr>
          <w:rFonts w:asciiTheme="minorHAnsi" w:hAnsiTheme="minorHAnsi"/>
          <w:sz w:val="20"/>
          <w:szCs w:val="20"/>
        </w:rPr>
        <w:t xml:space="preserve"> ≤ 5%,. </w:t>
      </w:r>
    </w:p>
    <w:p w:rsidR="004F5BEB" w:rsidRPr="00FE60E3" w:rsidRDefault="004F5BEB" w:rsidP="004F5BEB">
      <w:pPr>
        <w:pStyle w:val="Teksttreci0"/>
        <w:shd w:val="clear" w:color="auto" w:fill="auto"/>
        <w:spacing w:before="0" w:after="240" w:line="240" w:lineRule="auto"/>
        <w:ind w:left="20" w:right="20" w:firstLine="0"/>
        <w:jc w:val="both"/>
        <w:rPr>
          <w:rFonts w:asciiTheme="minorHAnsi" w:hAnsiTheme="minorHAnsi"/>
          <w:sz w:val="20"/>
          <w:szCs w:val="20"/>
        </w:rPr>
      </w:pPr>
      <w:r w:rsidRPr="00FE60E3">
        <w:rPr>
          <w:rFonts w:asciiTheme="minorHAnsi" w:hAnsiTheme="minorHAnsi"/>
          <w:sz w:val="20"/>
          <w:szCs w:val="20"/>
        </w:rPr>
        <w:t>Nie należy również wykorzystywać gruntów trudno zagęszczalnych, których maksymalna gęstość objętościowa szkieletu jest mniejsza niż 1,6 g/cm</w:t>
      </w:r>
      <w:r w:rsidRPr="00FE60E3">
        <w:rPr>
          <w:rFonts w:asciiTheme="minorHAnsi" w:hAnsiTheme="minorHAnsi"/>
          <w:sz w:val="20"/>
          <w:szCs w:val="20"/>
          <w:vertAlign w:val="superscript"/>
        </w:rPr>
        <w:t>3</w:t>
      </w:r>
      <w:r w:rsidRPr="00FE60E3">
        <w:rPr>
          <w:rFonts w:asciiTheme="minorHAnsi" w:hAnsiTheme="minorHAnsi"/>
          <w:sz w:val="20"/>
          <w:szCs w:val="20"/>
        </w:rPr>
        <w:t xml:space="preserve"> (nie dotyczy to żużli i popiołów). Wskaźnik różnoziarnistości gruntu winien wynosić nie mniej niż 3.</w:t>
      </w:r>
    </w:p>
    <w:p w:rsidR="004F5BEB" w:rsidRPr="00FE60E3" w:rsidRDefault="004F5BEB" w:rsidP="004F5BEB">
      <w:pPr>
        <w:pStyle w:val="Teksttreci0"/>
        <w:shd w:val="clear" w:color="auto" w:fill="auto"/>
        <w:spacing w:before="0" w:after="240" w:line="240" w:lineRule="auto"/>
        <w:ind w:left="20" w:right="20" w:firstLine="0"/>
        <w:jc w:val="both"/>
        <w:rPr>
          <w:rFonts w:asciiTheme="minorHAnsi" w:hAnsiTheme="minorHAnsi"/>
          <w:sz w:val="20"/>
          <w:szCs w:val="20"/>
        </w:rPr>
      </w:pPr>
      <w:r w:rsidRPr="00FE60E3">
        <w:rPr>
          <w:rFonts w:asciiTheme="minorHAnsi" w:hAnsiTheme="minorHAnsi"/>
          <w:sz w:val="20"/>
          <w:szCs w:val="20"/>
        </w:rPr>
        <w:t>W przypadku wbudowywania w strefie do 50 cm poniżej powierzchni robót ziemnych piasków drobnoziarnistych powinny one mieć wskaźnik nośności W</w:t>
      </w:r>
      <w:r w:rsidRPr="00FE60E3">
        <w:rPr>
          <w:rFonts w:asciiTheme="minorHAnsi" w:hAnsiTheme="minorHAnsi"/>
          <w:sz w:val="20"/>
          <w:szCs w:val="20"/>
          <w:vertAlign w:val="subscript"/>
        </w:rPr>
        <w:t>noś</w:t>
      </w:r>
      <w:r w:rsidRPr="00FE60E3">
        <w:rPr>
          <w:rFonts w:asciiTheme="minorHAnsi" w:hAnsiTheme="minorHAnsi"/>
          <w:sz w:val="20"/>
          <w:szCs w:val="20"/>
        </w:rPr>
        <w:t xml:space="preserve">≥10. </w:t>
      </w:r>
    </w:p>
    <w:p w:rsidR="004F5BEB" w:rsidRPr="00FE60E3" w:rsidRDefault="004F5BEB" w:rsidP="004F5BEB">
      <w:pPr>
        <w:pStyle w:val="Teksttreci0"/>
        <w:shd w:val="clear" w:color="auto" w:fill="auto"/>
        <w:spacing w:before="0" w:after="216" w:line="240" w:lineRule="auto"/>
        <w:ind w:firstLine="0"/>
        <w:rPr>
          <w:rFonts w:asciiTheme="minorHAnsi" w:hAnsiTheme="minorHAnsi"/>
          <w:sz w:val="20"/>
          <w:szCs w:val="20"/>
        </w:rPr>
      </w:pPr>
      <w:r w:rsidRPr="00FE60E3">
        <w:rPr>
          <w:rFonts w:asciiTheme="minorHAnsi" w:hAnsiTheme="minorHAnsi"/>
          <w:sz w:val="20"/>
          <w:szCs w:val="20"/>
        </w:rPr>
        <w:t>Gdzie:</w:t>
      </w:r>
    </w:p>
    <w:p w:rsidR="004F5BEB" w:rsidRPr="00FE60E3" w:rsidRDefault="004F5BEB" w:rsidP="004F5BEB">
      <w:pPr>
        <w:pStyle w:val="Teksttreci0"/>
        <w:shd w:val="clear" w:color="auto" w:fill="auto"/>
        <w:spacing w:before="0" w:after="0" w:line="240" w:lineRule="auto"/>
        <w:ind w:firstLine="0"/>
        <w:rPr>
          <w:rFonts w:asciiTheme="minorHAnsi" w:hAnsiTheme="minorHAnsi"/>
          <w:sz w:val="20"/>
          <w:szCs w:val="20"/>
        </w:rPr>
      </w:pPr>
      <w:r w:rsidRPr="00FE60E3">
        <w:rPr>
          <w:rFonts w:asciiTheme="minorHAnsi" w:hAnsiTheme="minorHAnsi"/>
          <w:sz w:val="20"/>
          <w:szCs w:val="20"/>
        </w:rPr>
        <w:t>W</w:t>
      </w:r>
      <w:r w:rsidRPr="00FE60E3">
        <w:rPr>
          <w:rFonts w:asciiTheme="minorHAnsi" w:hAnsiTheme="minorHAnsi"/>
          <w:sz w:val="20"/>
          <w:szCs w:val="20"/>
          <w:vertAlign w:val="subscript"/>
        </w:rPr>
        <w:t xml:space="preserve">noś </w:t>
      </w:r>
      <w:r w:rsidRPr="00FE60E3">
        <w:rPr>
          <w:rFonts w:asciiTheme="minorHAnsi" w:hAnsiTheme="minorHAnsi"/>
          <w:sz w:val="20"/>
          <w:szCs w:val="20"/>
        </w:rPr>
        <w:t>=  P/Pp*100</w:t>
      </w:r>
    </w:p>
    <w:p w:rsidR="004F5BEB" w:rsidRPr="00FE60E3" w:rsidRDefault="004F5BEB" w:rsidP="004F5BEB">
      <w:pPr>
        <w:pStyle w:val="Teksttreci0"/>
        <w:shd w:val="clear" w:color="auto" w:fill="auto"/>
        <w:spacing w:before="0" w:after="0" w:line="240" w:lineRule="auto"/>
        <w:ind w:firstLine="0"/>
        <w:rPr>
          <w:rFonts w:asciiTheme="minorHAnsi" w:hAnsiTheme="minorHAnsi"/>
          <w:sz w:val="20"/>
          <w:szCs w:val="20"/>
        </w:rPr>
      </w:pPr>
      <w:r w:rsidRPr="00FE60E3">
        <w:rPr>
          <w:rFonts w:asciiTheme="minorHAnsi" w:hAnsiTheme="minorHAnsi"/>
          <w:sz w:val="20"/>
          <w:szCs w:val="20"/>
        </w:rPr>
        <w:t>w którym:</w:t>
      </w:r>
    </w:p>
    <w:p w:rsidR="004F5BEB" w:rsidRPr="00FE60E3" w:rsidRDefault="004F5BEB" w:rsidP="004F5BEB">
      <w:pPr>
        <w:pStyle w:val="Teksttreci0"/>
        <w:shd w:val="clear" w:color="auto" w:fill="auto"/>
        <w:spacing w:before="0" w:after="0" w:line="240" w:lineRule="auto"/>
        <w:ind w:right="20" w:firstLine="0"/>
        <w:jc w:val="both"/>
        <w:rPr>
          <w:rFonts w:asciiTheme="minorHAnsi" w:hAnsiTheme="minorHAnsi"/>
          <w:sz w:val="20"/>
          <w:szCs w:val="20"/>
        </w:rPr>
      </w:pPr>
      <w:r w:rsidRPr="00FE60E3">
        <w:rPr>
          <w:rFonts w:asciiTheme="minorHAnsi" w:hAnsiTheme="minorHAnsi"/>
          <w:sz w:val="20"/>
          <w:szCs w:val="20"/>
        </w:rPr>
        <w:t>P - ciśnienie, jakie jest potrzebne, aby zagłębić trzpień o przekroju 20 cm</w:t>
      </w:r>
      <w:r w:rsidRPr="00FE60E3">
        <w:rPr>
          <w:rFonts w:asciiTheme="minorHAnsi" w:hAnsiTheme="minorHAnsi"/>
          <w:sz w:val="20"/>
          <w:szCs w:val="20"/>
          <w:vertAlign w:val="superscript"/>
        </w:rPr>
        <w:t>2</w:t>
      </w:r>
      <w:r w:rsidRPr="00FE60E3">
        <w:rPr>
          <w:rFonts w:asciiTheme="minorHAnsi" w:hAnsiTheme="minorHAnsi"/>
          <w:sz w:val="20"/>
          <w:szCs w:val="20"/>
        </w:rPr>
        <w:t xml:space="preserve"> w odpowiednio przygotowaną próbkę gruntu na głębokość 2,5 mm lub 5,0 mm, w megapaskalach;</w:t>
      </w:r>
    </w:p>
    <w:p w:rsidR="004F5BEB" w:rsidRPr="00FE60E3" w:rsidRDefault="004F5BEB" w:rsidP="004F5BEB">
      <w:pPr>
        <w:pStyle w:val="Teksttreci0"/>
        <w:shd w:val="clear" w:color="auto" w:fill="auto"/>
        <w:spacing w:before="0" w:after="120" w:line="240" w:lineRule="auto"/>
        <w:ind w:firstLine="0"/>
        <w:jc w:val="both"/>
        <w:rPr>
          <w:rFonts w:asciiTheme="minorHAnsi" w:hAnsiTheme="minorHAnsi"/>
          <w:sz w:val="20"/>
          <w:szCs w:val="20"/>
        </w:rPr>
      </w:pPr>
      <w:r w:rsidRPr="00FE60E3">
        <w:rPr>
          <w:rFonts w:asciiTheme="minorHAnsi" w:hAnsiTheme="minorHAnsi"/>
          <w:sz w:val="20"/>
          <w:szCs w:val="20"/>
        </w:rPr>
        <w:t>Pp - ciśnienie porównawcze, które przy wgłębieniu trzpienia na 2,5 mm wynosi 7 MN/m , a przy wgłębieniu na 5,0 mm wynosi 10 MN/ m</w:t>
      </w:r>
      <w:r w:rsidRPr="00FE60E3">
        <w:rPr>
          <w:rFonts w:asciiTheme="minorHAnsi" w:hAnsiTheme="minorHAnsi"/>
          <w:sz w:val="20"/>
          <w:szCs w:val="20"/>
          <w:vertAlign w:val="superscript"/>
        </w:rPr>
        <w:t>2</w:t>
      </w:r>
      <w:r w:rsidRPr="00FE60E3">
        <w:rPr>
          <w:rFonts w:asciiTheme="minorHAnsi" w:hAnsiTheme="minorHAnsi"/>
          <w:sz w:val="20"/>
          <w:szCs w:val="20"/>
        </w:rPr>
        <w:t>.</w:t>
      </w:r>
    </w:p>
    <w:p w:rsidR="004F5BEB" w:rsidRPr="00FE60E3" w:rsidRDefault="004F5BEB" w:rsidP="004F5BEB">
      <w:pPr>
        <w:pStyle w:val="Teksttreci0"/>
        <w:shd w:val="clear" w:color="auto" w:fill="auto"/>
        <w:spacing w:before="0" w:after="263" w:line="240" w:lineRule="auto"/>
        <w:ind w:right="1600" w:firstLine="0"/>
        <w:rPr>
          <w:rFonts w:asciiTheme="minorHAnsi" w:hAnsiTheme="minorHAnsi"/>
          <w:sz w:val="20"/>
          <w:szCs w:val="20"/>
        </w:rPr>
      </w:pPr>
      <w:r w:rsidRPr="00FE60E3">
        <w:rPr>
          <w:rFonts w:asciiTheme="minorHAnsi" w:hAnsiTheme="minorHAnsi"/>
          <w:sz w:val="20"/>
          <w:szCs w:val="20"/>
        </w:rPr>
        <w:t>Metoda badania przedstawiona jest w normie PN-S-02205:1998, aneks A</w:t>
      </w:r>
      <w:r w:rsidRPr="00FE60E3">
        <w:rPr>
          <w:rFonts w:asciiTheme="minorHAnsi" w:hAnsiTheme="minorHAnsi"/>
          <w:sz w:val="20"/>
          <w:szCs w:val="20"/>
          <w:vertAlign w:val="subscript"/>
        </w:rPr>
        <w:t>1</w:t>
      </w:r>
      <w:r w:rsidRPr="00FE60E3">
        <w:rPr>
          <w:rFonts w:asciiTheme="minorHAnsi" w:hAnsiTheme="minorHAnsi"/>
          <w:sz w:val="20"/>
          <w:szCs w:val="20"/>
        </w:rPr>
        <w:t>.</w:t>
      </w:r>
    </w:p>
    <w:p w:rsidR="004F5BEB" w:rsidRPr="00FE60E3" w:rsidRDefault="004F5BEB" w:rsidP="004F5BEB">
      <w:pPr>
        <w:pStyle w:val="Teksttreci0"/>
        <w:shd w:val="clear" w:color="auto" w:fill="auto"/>
        <w:spacing w:before="0" w:after="300" w:line="240" w:lineRule="auto"/>
        <w:ind w:left="20" w:right="20" w:firstLine="0"/>
        <w:jc w:val="both"/>
        <w:rPr>
          <w:rFonts w:asciiTheme="minorHAnsi" w:hAnsiTheme="minorHAnsi"/>
          <w:sz w:val="20"/>
          <w:szCs w:val="20"/>
        </w:rPr>
      </w:pPr>
      <w:r w:rsidRPr="00FE60E3">
        <w:rPr>
          <w:rFonts w:asciiTheme="minorHAnsi" w:hAnsiTheme="minorHAnsi"/>
          <w:sz w:val="20"/>
          <w:szCs w:val="20"/>
        </w:rPr>
        <w:t>Górna warstwa nasypu grubości 50 cm winna być wykonana z materiału niewysadzinowego o następujących parametrach:</w:t>
      </w:r>
    </w:p>
    <w:p w:rsidR="004F5BEB" w:rsidRPr="00FE60E3" w:rsidRDefault="004F5BEB" w:rsidP="004F5BEB">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rFonts w:asciiTheme="minorHAnsi" w:hAnsiTheme="minorHAnsi"/>
        </w:rPr>
      </w:pPr>
      <w:r w:rsidRPr="00FE60E3">
        <w:rPr>
          <w:rFonts w:asciiTheme="minorHAnsi" w:hAnsiTheme="minorHAnsi"/>
        </w:rPr>
        <w:t xml:space="preserve">-zawartość cząstek &lt; 0,075 mm &lt; 15%; </w:t>
      </w:r>
    </w:p>
    <w:p w:rsidR="004F5BEB" w:rsidRPr="00FE60E3" w:rsidRDefault="004F5BEB" w:rsidP="004F5BEB">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rFonts w:asciiTheme="minorHAnsi" w:hAnsiTheme="minorHAnsi"/>
        </w:rPr>
      </w:pPr>
      <w:r w:rsidRPr="00FE60E3">
        <w:rPr>
          <w:rFonts w:asciiTheme="minorHAnsi" w:hAnsiTheme="minorHAnsi"/>
        </w:rPr>
        <w:t>-kapilarności biernej H</w:t>
      </w:r>
      <w:r w:rsidRPr="00FE60E3">
        <w:rPr>
          <w:rFonts w:asciiTheme="minorHAnsi" w:hAnsiTheme="minorHAnsi"/>
          <w:vertAlign w:val="subscript"/>
        </w:rPr>
        <w:t>kb</w:t>
      </w:r>
      <w:r w:rsidRPr="00FE60E3">
        <w:rPr>
          <w:rFonts w:asciiTheme="minorHAnsi" w:hAnsiTheme="minorHAnsi"/>
        </w:rPr>
        <w:t xml:space="preserve"> &lt; 1,0 m; </w:t>
      </w:r>
    </w:p>
    <w:p w:rsidR="004F5BEB" w:rsidRPr="00FE60E3" w:rsidRDefault="004F5BEB" w:rsidP="004F5BEB">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rFonts w:asciiTheme="minorHAnsi" w:hAnsiTheme="minorHAnsi"/>
        </w:rPr>
      </w:pPr>
      <w:r w:rsidRPr="00FE60E3">
        <w:rPr>
          <w:rFonts w:asciiTheme="minorHAnsi" w:hAnsiTheme="minorHAnsi"/>
        </w:rPr>
        <w:t xml:space="preserve">-wskaźniku piaskowym WP &gt; 35; </w:t>
      </w:r>
    </w:p>
    <w:p w:rsidR="004F5BEB" w:rsidRPr="00FE60E3" w:rsidRDefault="004F5BEB" w:rsidP="004F5BEB">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rPr>
          <w:rFonts w:asciiTheme="minorHAnsi" w:hAnsiTheme="minorHAnsi"/>
        </w:rPr>
      </w:pPr>
      <w:r w:rsidRPr="00FE60E3">
        <w:rPr>
          <w:rFonts w:asciiTheme="minorHAnsi" w:hAnsiTheme="minorHAnsi"/>
        </w:rPr>
        <w:t>-wskaźniku różnoziarnistości U</w:t>
      </w:r>
      <w:r w:rsidRPr="00FE60E3">
        <w:rPr>
          <w:rFonts w:asciiTheme="minorHAnsi" w:hAnsiTheme="minorHAnsi"/>
          <w:vertAlign w:val="subscript"/>
        </w:rPr>
        <w:t>d 60</w:t>
      </w:r>
      <w:r w:rsidRPr="00FE60E3">
        <w:rPr>
          <w:rFonts w:asciiTheme="minorHAnsi" w:hAnsiTheme="minorHAnsi"/>
        </w:rPr>
        <w:t>-</w:t>
      </w:r>
      <w:r w:rsidRPr="00FE60E3">
        <w:rPr>
          <w:rFonts w:asciiTheme="minorHAnsi" w:hAnsiTheme="minorHAnsi"/>
          <w:vertAlign w:val="subscript"/>
        </w:rPr>
        <w:t xml:space="preserve">10 </w:t>
      </w:r>
      <w:r w:rsidRPr="00FE60E3">
        <w:rPr>
          <w:rFonts w:asciiTheme="minorHAnsi" w:hAnsiTheme="minorHAnsi"/>
        </w:rPr>
        <w:t xml:space="preserve">≥ 5 </w:t>
      </w:r>
    </w:p>
    <w:p w:rsidR="004F5BEB" w:rsidRPr="00FE60E3" w:rsidRDefault="004F5BEB" w:rsidP="004F5BEB">
      <w:pPr>
        <w:tabs>
          <w:tab w:val="left" w:pos="1"/>
          <w:tab w:val="left" w:pos="336"/>
          <w:tab w:val="left" w:pos="732"/>
          <w:tab w:val="left" w:pos="1020"/>
          <w:tab w:val="left" w:pos="1356"/>
          <w:tab w:val="left" w:pos="1698"/>
          <w:tab w:val="left" w:pos="2040"/>
          <w:tab w:val="left" w:pos="2376"/>
          <w:tab w:val="left" w:pos="2718"/>
          <w:tab w:val="left" w:pos="3060"/>
          <w:tab w:val="left" w:pos="3402"/>
          <w:tab w:val="left" w:pos="5664"/>
        </w:tabs>
        <w:spacing w:after="360"/>
        <w:rPr>
          <w:rFonts w:asciiTheme="minorHAnsi" w:hAnsiTheme="minorHAnsi"/>
        </w:rPr>
      </w:pPr>
      <w:r w:rsidRPr="00FE60E3">
        <w:rPr>
          <w:rFonts w:asciiTheme="minorHAnsi" w:hAnsiTheme="minorHAnsi"/>
        </w:rPr>
        <w:t>-współczynniku filtracji k</w:t>
      </w:r>
      <w:r w:rsidRPr="00FE60E3">
        <w:rPr>
          <w:rFonts w:asciiTheme="minorHAnsi" w:hAnsiTheme="minorHAnsi"/>
          <w:vertAlign w:val="subscript"/>
        </w:rPr>
        <w:t xml:space="preserve">10 </w:t>
      </w:r>
      <w:r w:rsidRPr="00FE60E3">
        <w:rPr>
          <w:rFonts w:asciiTheme="minorHAnsi" w:hAnsiTheme="minorHAnsi"/>
        </w:rPr>
        <w:t>&gt; 6x10</w:t>
      </w:r>
      <w:r w:rsidRPr="00FE60E3">
        <w:rPr>
          <w:rFonts w:asciiTheme="minorHAnsi" w:hAnsiTheme="minorHAnsi"/>
          <w:vertAlign w:val="superscript"/>
        </w:rPr>
        <w:t>-5</w:t>
      </w:r>
      <w:r w:rsidRPr="00FE60E3">
        <w:rPr>
          <w:rFonts w:asciiTheme="minorHAnsi" w:hAnsiTheme="minorHAnsi"/>
        </w:rPr>
        <w:t xml:space="preserve"> m/s.</w:t>
      </w:r>
    </w:p>
    <w:p w:rsidR="004F5BEB" w:rsidRPr="00FE60E3" w:rsidRDefault="004F5BEB" w:rsidP="004F5BEB">
      <w:pPr>
        <w:rPr>
          <w:rFonts w:asciiTheme="minorHAnsi" w:hAnsiTheme="minorHAnsi"/>
        </w:rPr>
      </w:pPr>
      <w:r w:rsidRPr="00FE60E3">
        <w:rPr>
          <w:rFonts w:asciiTheme="minorHAnsi" w:hAnsiTheme="minorHAnsi"/>
        </w:rPr>
        <w:t xml:space="preserve">W przypadku braku wymaganego materiału należy górną warstwę ulepszyć spoiwem (cementem, wapnem lub aktywnymi popiołami), grubość warstwy i sposób ulepszenia powinny być zgodne z dokumentacją projektową i PN-S-02205:1998 Roboty ziemne.  </w:t>
      </w:r>
    </w:p>
    <w:p w:rsidR="004F5BEB" w:rsidRPr="00FE60E3" w:rsidRDefault="004F5BEB" w:rsidP="004F5BEB">
      <w:pPr>
        <w:rPr>
          <w:rFonts w:asciiTheme="minorHAnsi" w:hAnsiTheme="minorHAnsi"/>
        </w:rPr>
      </w:pPr>
    </w:p>
    <w:p w:rsidR="004F5BEB" w:rsidRPr="00FE60E3" w:rsidRDefault="004F5BEB" w:rsidP="004F5BEB">
      <w:pPr>
        <w:pStyle w:val="Teksttreci0"/>
        <w:shd w:val="clear" w:color="auto" w:fill="auto"/>
        <w:spacing w:before="0" w:after="240" w:line="240" w:lineRule="auto"/>
        <w:ind w:left="20" w:right="20" w:firstLine="0"/>
        <w:jc w:val="both"/>
        <w:rPr>
          <w:rFonts w:asciiTheme="minorHAnsi" w:hAnsiTheme="minorHAnsi"/>
          <w:sz w:val="20"/>
          <w:szCs w:val="20"/>
        </w:rPr>
      </w:pPr>
      <w:r w:rsidRPr="00FE60E3">
        <w:rPr>
          <w:rFonts w:asciiTheme="minorHAnsi" w:hAnsiTheme="minorHAnsi"/>
          <w:sz w:val="20"/>
          <w:szCs w:val="20"/>
        </w:rPr>
        <w:t>Grunty wbudowywane w górną warstwę nasypu powinny one mieć wskaźnik nośności W</w:t>
      </w:r>
      <w:r w:rsidRPr="00FE60E3">
        <w:rPr>
          <w:rFonts w:asciiTheme="minorHAnsi" w:hAnsiTheme="minorHAnsi"/>
          <w:sz w:val="20"/>
          <w:szCs w:val="20"/>
          <w:vertAlign w:val="subscript"/>
        </w:rPr>
        <w:t>noś</w:t>
      </w:r>
      <w:r w:rsidRPr="00FE60E3">
        <w:rPr>
          <w:rFonts w:asciiTheme="minorHAnsi" w:hAnsiTheme="minorHAnsi"/>
          <w:sz w:val="20"/>
          <w:szCs w:val="20"/>
        </w:rPr>
        <w:t xml:space="preserve">≥10. </w:t>
      </w:r>
    </w:p>
    <w:p w:rsidR="004F5BEB" w:rsidRPr="00FE60E3" w:rsidRDefault="004F5BEB" w:rsidP="004F5BEB">
      <w:pPr>
        <w:pStyle w:val="Teksttreci0"/>
        <w:shd w:val="clear" w:color="auto" w:fill="auto"/>
        <w:spacing w:before="0" w:after="216" w:line="240" w:lineRule="auto"/>
        <w:ind w:firstLine="0"/>
        <w:rPr>
          <w:rFonts w:asciiTheme="minorHAnsi" w:hAnsiTheme="minorHAnsi"/>
          <w:sz w:val="20"/>
          <w:szCs w:val="20"/>
        </w:rPr>
      </w:pPr>
      <w:r w:rsidRPr="00FE60E3">
        <w:rPr>
          <w:rFonts w:asciiTheme="minorHAnsi" w:hAnsiTheme="minorHAnsi"/>
          <w:sz w:val="20"/>
          <w:szCs w:val="20"/>
        </w:rPr>
        <w:lastRenderedPageBreak/>
        <w:t>Gdzie:</w:t>
      </w:r>
    </w:p>
    <w:p w:rsidR="004F5BEB" w:rsidRPr="00FE60E3" w:rsidRDefault="004F5BEB" w:rsidP="004F5BEB">
      <w:pPr>
        <w:pStyle w:val="Teksttreci0"/>
        <w:shd w:val="clear" w:color="auto" w:fill="auto"/>
        <w:spacing w:before="0" w:after="0" w:line="240" w:lineRule="auto"/>
        <w:ind w:firstLine="0"/>
        <w:rPr>
          <w:rFonts w:asciiTheme="minorHAnsi" w:hAnsiTheme="minorHAnsi"/>
          <w:sz w:val="20"/>
          <w:szCs w:val="20"/>
        </w:rPr>
      </w:pPr>
      <w:r w:rsidRPr="00FE60E3">
        <w:rPr>
          <w:rFonts w:asciiTheme="minorHAnsi" w:hAnsiTheme="minorHAnsi"/>
          <w:sz w:val="20"/>
          <w:szCs w:val="20"/>
        </w:rPr>
        <w:t>W</w:t>
      </w:r>
      <w:r w:rsidRPr="00FE60E3">
        <w:rPr>
          <w:rFonts w:asciiTheme="minorHAnsi" w:hAnsiTheme="minorHAnsi"/>
          <w:sz w:val="20"/>
          <w:szCs w:val="20"/>
          <w:vertAlign w:val="subscript"/>
        </w:rPr>
        <w:t xml:space="preserve">noś </w:t>
      </w:r>
      <w:r w:rsidRPr="00FE60E3">
        <w:rPr>
          <w:rFonts w:asciiTheme="minorHAnsi" w:hAnsiTheme="minorHAnsi"/>
          <w:sz w:val="20"/>
          <w:szCs w:val="20"/>
        </w:rPr>
        <w:t>=  P/Pp*100</w:t>
      </w:r>
    </w:p>
    <w:p w:rsidR="004F5BEB" w:rsidRPr="00FE60E3" w:rsidRDefault="004F5BEB" w:rsidP="004F5BEB">
      <w:pPr>
        <w:pStyle w:val="Teksttreci0"/>
        <w:shd w:val="clear" w:color="auto" w:fill="auto"/>
        <w:spacing w:before="0" w:after="0" w:line="240" w:lineRule="auto"/>
        <w:ind w:firstLine="0"/>
        <w:rPr>
          <w:rFonts w:asciiTheme="minorHAnsi" w:hAnsiTheme="minorHAnsi"/>
          <w:sz w:val="20"/>
          <w:szCs w:val="20"/>
        </w:rPr>
      </w:pPr>
      <w:r w:rsidRPr="00FE60E3">
        <w:rPr>
          <w:rFonts w:asciiTheme="minorHAnsi" w:hAnsiTheme="minorHAnsi"/>
          <w:sz w:val="20"/>
          <w:szCs w:val="20"/>
        </w:rPr>
        <w:t>w którym:</w:t>
      </w:r>
    </w:p>
    <w:p w:rsidR="004F5BEB" w:rsidRPr="00FE60E3" w:rsidRDefault="004F5BEB" w:rsidP="004F5BEB">
      <w:pPr>
        <w:pStyle w:val="Teksttreci0"/>
        <w:shd w:val="clear" w:color="auto" w:fill="auto"/>
        <w:spacing w:before="0" w:after="0" w:line="240" w:lineRule="auto"/>
        <w:ind w:right="20" w:firstLine="0"/>
        <w:jc w:val="both"/>
        <w:rPr>
          <w:rFonts w:asciiTheme="minorHAnsi" w:hAnsiTheme="minorHAnsi"/>
          <w:sz w:val="20"/>
          <w:szCs w:val="20"/>
        </w:rPr>
      </w:pPr>
      <w:r w:rsidRPr="00FE60E3">
        <w:rPr>
          <w:rFonts w:asciiTheme="minorHAnsi" w:hAnsiTheme="minorHAnsi"/>
          <w:sz w:val="20"/>
          <w:szCs w:val="20"/>
        </w:rPr>
        <w:t>P - ciśnienie, jakie jest potrzebne, aby zagłębić trzpień o przekroju 20 cm</w:t>
      </w:r>
      <w:r w:rsidRPr="00FE60E3">
        <w:rPr>
          <w:rFonts w:asciiTheme="minorHAnsi" w:hAnsiTheme="minorHAnsi"/>
          <w:sz w:val="20"/>
          <w:szCs w:val="20"/>
          <w:vertAlign w:val="superscript"/>
        </w:rPr>
        <w:t>2</w:t>
      </w:r>
      <w:r w:rsidRPr="00FE60E3">
        <w:rPr>
          <w:rFonts w:asciiTheme="minorHAnsi" w:hAnsiTheme="minorHAnsi"/>
          <w:sz w:val="20"/>
          <w:szCs w:val="20"/>
        </w:rPr>
        <w:t xml:space="preserve"> w odpowiednio przygotowaną próbkę gruntu na głębokość 2,5 mm lub 5,0 mm, w megapaskalach;</w:t>
      </w:r>
    </w:p>
    <w:p w:rsidR="004F5BEB" w:rsidRPr="00FE60E3" w:rsidRDefault="004F5BEB" w:rsidP="004F5BEB">
      <w:pPr>
        <w:pStyle w:val="Teksttreci0"/>
        <w:shd w:val="clear" w:color="auto" w:fill="auto"/>
        <w:spacing w:before="0" w:after="120" w:line="240" w:lineRule="auto"/>
        <w:ind w:firstLine="0"/>
        <w:jc w:val="both"/>
        <w:rPr>
          <w:rFonts w:asciiTheme="minorHAnsi" w:hAnsiTheme="minorHAnsi"/>
          <w:sz w:val="20"/>
          <w:szCs w:val="20"/>
        </w:rPr>
      </w:pPr>
      <w:r w:rsidRPr="00FE60E3">
        <w:rPr>
          <w:rFonts w:asciiTheme="minorHAnsi" w:hAnsiTheme="minorHAnsi"/>
          <w:sz w:val="20"/>
          <w:szCs w:val="20"/>
        </w:rPr>
        <w:t>Pp - ciśnienie porównawcze, które przy wgłębieniu trzpienia na 2,5 mm wynosi 7 MN/m , a przy wgłębieniu na 5,0 mm wynosi 10 MN/ m</w:t>
      </w:r>
      <w:r w:rsidRPr="00FE60E3">
        <w:rPr>
          <w:rFonts w:asciiTheme="minorHAnsi" w:hAnsiTheme="minorHAnsi"/>
          <w:sz w:val="20"/>
          <w:szCs w:val="20"/>
          <w:vertAlign w:val="superscript"/>
        </w:rPr>
        <w:t>2</w:t>
      </w:r>
      <w:r w:rsidRPr="00FE60E3">
        <w:rPr>
          <w:rFonts w:asciiTheme="minorHAnsi" w:hAnsiTheme="minorHAnsi"/>
          <w:sz w:val="20"/>
          <w:szCs w:val="20"/>
        </w:rPr>
        <w:t>.</w:t>
      </w:r>
    </w:p>
    <w:p w:rsidR="004F5BEB" w:rsidRPr="00FE60E3" w:rsidRDefault="004F5BEB" w:rsidP="004F5BEB">
      <w:pPr>
        <w:pStyle w:val="Teksttreci0"/>
        <w:shd w:val="clear" w:color="auto" w:fill="auto"/>
        <w:spacing w:before="0" w:after="263" w:line="240" w:lineRule="auto"/>
        <w:ind w:right="1600" w:firstLine="0"/>
        <w:rPr>
          <w:rFonts w:asciiTheme="minorHAnsi" w:hAnsiTheme="minorHAnsi"/>
          <w:sz w:val="20"/>
          <w:szCs w:val="20"/>
        </w:rPr>
      </w:pPr>
      <w:r w:rsidRPr="00FE60E3">
        <w:rPr>
          <w:rFonts w:asciiTheme="minorHAnsi" w:hAnsiTheme="minorHAnsi"/>
          <w:sz w:val="20"/>
          <w:szCs w:val="20"/>
        </w:rPr>
        <w:t>Metoda badania przedstawiona jest w normie PN-S-02205:1998, aneks A</w:t>
      </w:r>
      <w:r w:rsidRPr="00FE60E3">
        <w:rPr>
          <w:rFonts w:asciiTheme="minorHAnsi" w:hAnsiTheme="minorHAnsi"/>
          <w:sz w:val="20"/>
          <w:szCs w:val="20"/>
          <w:vertAlign w:val="subscript"/>
        </w:rPr>
        <w:t>1</w:t>
      </w:r>
      <w:r w:rsidRPr="00FE60E3">
        <w:rPr>
          <w:rFonts w:asciiTheme="minorHAnsi" w:hAnsiTheme="minorHAnsi"/>
          <w:sz w:val="20"/>
          <w:szCs w:val="20"/>
        </w:rPr>
        <w:t>.</w:t>
      </w:r>
    </w:p>
    <w:p w:rsidR="004F5BEB" w:rsidRPr="00FE60E3" w:rsidRDefault="004F5BEB" w:rsidP="004F5BEB">
      <w:pPr>
        <w:rPr>
          <w:rFonts w:asciiTheme="minorHAnsi" w:hAnsiTheme="minorHAnsi"/>
        </w:rPr>
      </w:pPr>
    </w:p>
    <w:p w:rsidR="004F5BEB" w:rsidRPr="00FE60E3" w:rsidRDefault="004F5BEB" w:rsidP="004F5BEB">
      <w:pPr>
        <w:pStyle w:val="Nagwek3"/>
        <w:rPr>
          <w:rFonts w:asciiTheme="minorHAnsi" w:hAnsiTheme="minorHAnsi"/>
        </w:rPr>
      </w:pPr>
      <w:bookmarkStart w:id="280" w:name="_Toc406295857"/>
      <w:bookmarkStart w:id="281" w:name="_Toc407161277"/>
      <w:bookmarkStart w:id="282" w:name="_Toc418994947"/>
      <w:bookmarkStart w:id="283" w:name="_Toc418996354"/>
      <w:bookmarkStart w:id="284" w:name="_Toc418996723"/>
      <w:bookmarkStart w:id="285" w:name="_Toc418997110"/>
      <w:bookmarkStart w:id="286" w:name="_Toc418998520"/>
      <w:bookmarkStart w:id="287" w:name="_Toc418998876"/>
      <w:bookmarkStart w:id="288" w:name="_Toc419000121"/>
      <w:r w:rsidRPr="00FE60E3">
        <w:rPr>
          <w:rFonts w:asciiTheme="minorHAnsi" w:hAnsiTheme="minorHAnsi"/>
        </w:rPr>
        <w:t>3. SPRZĘT</w:t>
      </w:r>
      <w:bookmarkEnd w:id="280"/>
      <w:bookmarkEnd w:id="281"/>
      <w:bookmarkEnd w:id="282"/>
      <w:bookmarkEnd w:id="283"/>
      <w:bookmarkEnd w:id="284"/>
      <w:bookmarkEnd w:id="285"/>
      <w:bookmarkEnd w:id="286"/>
      <w:bookmarkEnd w:id="287"/>
      <w:bookmarkEnd w:id="288"/>
    </w:p>
    <w:p w:rsidR="004F5BEB" w:rsidRPr="00FE60E3" w:rsidRDefault="004F5BEB" w:rsidP="004F5BEB">
      <w:pPr>
        <w:pStyle w:val="Nagwek4"/>
        <w:rPr>
          <w:rFonts w:asciiTheme="minorHAnsi" w:hAnsiTheme="minorHAnsi"/>
        </w:rPr>
      </w:pPr>
      <w:bookmarkStart w:id="289" w:name="_Toc406295858"/>
      <w:bookmarkStart w:id="290" w:name="_Toc407161278"/>
      <w:r w:rsidRPr="00FE60E3">
        <w:rPr>
          <w:rFonts w:asciiTheme="minorHAnsi" w:hAnsiTheme="minorHAnsi"/>
        </w:rPr>
        <w:t>3.1. Ogólne wymagania dotyczące sprzętu</w:t>
      </w:r>
      <w:bookmarkEnd w:id="289"/>
      <w:bookmarkEnd w:id="290"/>
    </w:p>
    <w:p w:rsidR="004F5BEB" w:rsidRPr="00FE60E3" w:rsidRDefault="004F5BEB" w:rsidP="004F5BEB">
      <w:pPr>
        <w:rPr>
          <w:rFonts w:asciiTheme="minorHAnsi" w:hAnsiTheme="minorHAnsi"/>
        </w:rPr>
      </w:pPr>
      <w:r w:rsidRPr="00FE60E3">
        <w:rPr>
          <w:rFonts w:asciiTheme="minorHAnsi" w:hAnsiTheme="minorHAnsi"/>
        </w:rPr>
        <w:t>Ogólne wymagania i ustalenia dotyczące sprzętu określono w STWiORB D-M-00.00.00 pkt 3.</w:t>
      </w:r>
    </w:p>
    <w:p w:rsidR="004F5BEB" w:rsidRPr="00FE60E3" w:rsidRDefault="004F5BEB" w:rsidP="004F5BEB">
      <w:pPr>
        <w:pStyle w:val="Nagwek4"/>
        <w:rPr>
          <w:rFonts w:asciiTheme="minorHAnsi" w:hAnsiTheme="minorHAnsi"/>
        </w:rPr>
      </w:pPr>
      <w:bookmarkStart w:id="291" w:name="_Toc406295859"/>
      <w:bookmarkStart w:id="292" w:name="_Toc407161279"/>
      <w:r w:rsidRPr="00FE60E3">
        <w:rPr>
          <w:rFonts w:asciiTheme="minorHAnsi" w:hAnsiTheme="minorHAnsi"/>
        </w:rPr>
        <w:t>3.2. Dobór sprzętu zagęszczającego</w:t>
      </w:r>
      <w:bookmarkEnd w:id="291"/>
      <w:bookmarkEnd w:id="292"/>
    </w:p>
    <w:p w:rsidR="004F5BEB" w:rsidRPr="00FE60E3" w:rsidRDefault="004F5BEB" w:rsidP="004F5BEB">
      <w:pPr>
        <w:rPr>
          <w:rFonts w:asciiTheme="minorHAnsi" w:hAnsiTheme="minorHAnsi"/>
        </w:rPr>
      </w:pPr>
      <w:r w:rsidRPr="00FE60E3">
        <w:rPr>
          <w:rFonts w:asciiTheme="minorHAnsi" w:hAnsiTheme="minorHAnsi"/>
        </w:rPr>
        <w:t>W tablicy 2 podano, dla różnych rodzajów gruntów, orientacyjne dane przy doborze sprzętu zagęszczającego. Sprzęt do zagęszczania powinien być zatwierdzony przez Inżyniera.</w:t>
      </w:r>
    </w:p>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 xml:space="preserve">Tablica 2. Orientacyjne dane przy doborze sprzętu zagęszczającego </w:t>
      </w:r>
    </w:p>
    <w:tbl>
      <w:tblPr>
        <w:tblW w:w="98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tblPr>
      <w:tblGrid>
        <w:gridCol w:w="2622"/>
        <w:gridCol w:w="993"/>
        <w:gridCol w:w="1133"/>
        <w:gridCol w:w="1134"/>
        <w:gridCol w:w="1134"/>
        <w:gridCol w:w="1134"/>
        <w:gridCol w:w="850"/>
        <w:gridCol w:w="851"/>
      </w:tblGrid>
      <w:tr w:rsidR="004F5BEB" w:rsidRPr="00FE60E3" w:rsidTr="004F5BEB">
        <w:trPr>
          <w:cantSplit/>
          <w:trHeight w:val="283"/>
        </w:trPr>
        <w:tc>
          <w:tcPr>
            <w:tcW w:w="2622" w:type="dxa"/>
            <w:tcBorders>
              <w:bottom w:val="nil"/>
            </w:tcBorders>
          </w:tcPr>
          <w:p w:rsidR="004F5BEB" w:rsidRPr="00FE60E3" w:rsidRDefault="004F5BEB" w:rsidP="004F5BEB">
            <w:pPr>
              <w:pStyle w:val="StylIwony"/>
              <w:spacing w:before="0" w:after="0"/>
              <w:rPr>
                <w:rFonts w:asciiTheme="minorHAnsi" w:hAnsiTheme="minorHAnsi"/>
                <w:sz w:val="20"/>
              </w:rPr>
            </w:pPr>
            <w:bookmarkStart w:id="293" w:name="_Toc406295860"/>
          </w:p>
          <w:p w:rsidR="004F5BEB" w:rsidRPr="00FE60E3" w:rsidRDefault="004F5BEB" w:rsidP="004F5BEB">
            <w:pPr>
              <w:pStyle w:val="StylIwony"/>
              <w:spacing w:before="0" w:after="0"/>
              <w:rPr>
                <w:rFonts w:asciiTheme="minorHAnsi" w:hAnsiTheme="minorHAnsi"/>
                <w:sz w:val="20"/>
              </w:rPr>
            </w:pPr>
          </w:p>
        </w:tc>
        <w:tc>
          <w:tcPr>
            <w:tcW w:w="6378" w:type="dxa"/>
            <w:gridSpan w:val="6"/>
            <w:tcBorders>
              <w:bottom w:val="single" w:sz="6" w:space="0" w:color="auto"/>
              <w:right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Rodzaje gruntu</w:t>
            </w:r>
          </w:p>
        </w:tc>
        <w:tc>
          <w:tcPr>
            <w:tcW w:w="851" w:type="dxa"/>
            <w:tcBorders>
              <w:top w:val="single" w:sz="6" w:space="0" w:color="auto"/>
              <w:left w:val="single" w:sz="6" w:space="0" w:color="auto"/>
              <w:bottom w:val="nil"/>
              <w:right w:val="single" w:sz="6" w:space="0" w:color="auto"/>
            </w:tcBorders>
          </w:tcPr>
          <w:p w:rsidR="004F5BEB" w:rsidRPr="00FE60E3" w:rsidRDefault="004F5BEB" w:rsidP="004F5BEB">
            <w:pPr>
              <w:pStyle w:val="StylIwony"/>
              <w:spacing w:before="0" w:after="0"/>
              <w:rPr>
                <w:rFonts w:asciiTheme="minorHAnsi" w:hAnsiTheme="minorHAnsi"/>
                <w:sz w:val="20"/>
              </w:rPr>
            </w:pPr>
          </w:p>
        </w:tc>
      </w:tr>
      <w:tr w:rsidR="004F5BEB" w:rsidRPr="00FE60E3" w:rsidTr="004F5BEB">
        <w:trPr>
          <w:cantSplit/>
          <w:trHeight w:val="180"/>
        </w:trPr>
        <w:tc>
          <w:tcPr>
            <w:tcW w:w="2622" w:type="dxa"/>
            <w:tcBorders>
              <w:top w:val="nil"/>
              <w:bottom w:val="nil"/>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Rodzaje</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urządzeń</w:t>
            </w:r>
          </w:p>
        </w:tc>
        <w:tc>
          <w:tcPr>
            <w:tcW w:w="2126" w:type="dxa"/>
            <w:gridSpan w:val="2"/>
            <w:tcBorders>
              <w:top w:val="single" w:sz="6" w:space="0" w:color="auto"/>
              <w:bottom w:val="nil"/>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niespoiste: piaski, żwiry, pospółki</w:t>
            </w:r>
          </w:p>
        </w:tc>
        <w:tc>
          <w:tcPr>
            <w:tcW w:w="2268" w:type="dxa"/>
            <w:gridSpan w:val="2"/>
            <w:tcBorders>
              <w:top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spoiste: pyły gliny, iły</w:t>
            </w:r>
          </w:p>
        </w:tc>
        <w:tc>
          <w:tcPr>
            <w:tcW w:w="1984" w:type="dxa"/>
            <w:gridSpan w:val="2"/>
            <w:tcBorders>
              <w:top w:val="single" w:sz="6" w:space="0" w:color="auto"/>
              <w:bottom w:val="single" w:sz="6" w:space="0" w:color="auto"/>
              <w:right w:val="nil"/>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xml:space="preserve">gruboziarniste </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i kamieniste</w:t>
            </w:r>
          </w:p>
        </w:tc>
        <w:tc>
          <w:tcPr>
            <w:tcW w:w="851" w:type="dxa"/>
            <w:tcBorders>
              <w:top w:val="nil"/>
              <w:left w:val="single" w:sz="6" w:space="0" w:color="auto"/>
              <w:bottom w:val="nil"/>
              <w:right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Uwagi o przydat-</w:t>
            </w:r>
          </w:p>
        </w:tc>
      </w:tr>
      <w:tr w:rsidR="004F5BEB" w:rsidRPr="00FE60E3" w:rsidTr="004F5BEB">
        <w:trPr>
          <w:cantSplit/>
        </w:trPr>
        <w:tc>
          <w:tcPr>
            <w:tcW w:w="2622" w:type="dxa"/>
            <w:tcBorders>
              <w:top w:val="nil"/>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zagęszczających</w:t>
            </w:r>
          </w:p>
        </w:tc>
        <w:tc>
          <w:tcPr>
            <w:tcW w:w="993" w:type="dxa"/>
            <w:tcBorders>
              <w:top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grubość warstwy</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m ]</w:t>
            </w:r>
          </w:p>
        </w:tc>
        <w:tc>
          <w:tcPr>
            <w:tcW w:w="1133" w:type="dxa"/>
            <w:tcBorders>
              <w:top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liczba przejść</w:t>
            </w:r>
          </w:p>
          <w:p w:rsidR="004F5BEB" w:rsidRPr="00FE60E3" w:rsidRDefault="004F5BEB" w:rsidP="004F5BEB">
            <w:pPr>
              <w:pStyle w:val="StylIwony"/>
              <w:spacing w:before="0" w:after="0"/>
              <w:rPr>
                <w:rFonts w:asciiTheme="minorHAnsi" w:hAnsiTheme="minorHAnsi"/>
                <w:sz w:val="20"/>
                <w:vertAlign w:val="superscript"/>
              </w:rPr>
            </w:pPr>
            <w:r w:rsidRPr="00FE60E3">
              <w:rPr>
                <w:rFonts w:asciiTheme="minorHAnsi" w:hAnsiTheme="minorHAnsi"/>
                <w:sz w:val="20"/>
              </w:rPr>
              <w:t>n ***</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grubość warstwy</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m ]</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liczba przejść</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n ***</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grubość warstwy</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m ]</w:t>
            </w:r>
          </w:p>
        </w:tc>
        <w:tc>
          <w:tcPr>
            <w:tcW w:w="850" w:type="dxa"/>
            <w:tcBorders>
              <w:right w:val="nil"/>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liczba przejść</w:t>
            </w:r>
          </w:p>
          <w:p w:rsidR="004F5BEB" w:rsidRPr="00FE60E3" w:rsidRDefault="004F5BEB" w:rsidP="004F5BEB">
            <w:pPr>
              <w:pStyle w:val="StylIwony"/>
              <w:spacing w:before="0" w:after="0"/>
              <w:rPr>
                <w:rFonts w:asciiTheme="minorHAnsi" w:hAnsiTheme="minorHAnsi"/>
                <w:sz w:val="20"/>
                <w:vertAlign w:val="superscript"/>
              </w:rPr>
            </w:pPr>
            <w:r w:rsidRPr="00FE60E3">
              <w:rPr>
                <w:rFonts w:asciiTheme="minorHAnsi" w:hAnsiTheme="minorHAnsi"/>
                <w:sz w:val="20"/>
              </w:rPr>
              <w:t>n ***</w:t>
            </w:r>
          </w:p>
        </w:tc>
        <w:tc>
          <w:tcPr>
            <w:tcW w:w="851" w:type="dxa"/>
            <w:tcBorders>
              <w:top w:val="nil"/>
              <w:left w:val="single" w:sz="6" w:space="0" w:color="auto"/>
              <w:bottom w:val="single" w:sz="6" w:space="0" w:color="auto"/>
              <w:right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ności maszyn</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xml:space="preserve">Walce statyczne </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xml:space="preserve"> gładkie *</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0,1 do 0,2</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8</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0,1 do 0,2</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8</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0,3</w:t>
            </w:r>
          </w:p>
        </w:tc>
        <w:tc>
          <w:tcPr>
            <w:tcW w:w="850" w:type="dxa"/>
            <w:tcBorders>
              <w:right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8</w:t>
            </w:r>
          </w:p>
        </w:tc>
        <w:tc>
          <w:tcPr>
            <w:tcW w:w="851" w:type="dxa"/>
            <w:tcBorders>
              <w:top w:val="nil"/>
              <w:left w:val="single" w:sz="6" w:space="0" w:color="auto"/>
              <w:right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1)</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vertAlign w:val="superscript"/>
              </w:rPr>
            </w:pPr>
            <w:r w:rsidRPr="00FE60E3">
              <w:rPr>
                <w:rFonts w:asciiTheme="minorHAnsi" w:hAnsiTheme="minorHAnsi"/>
                <w:sz w:val="20"/>
              </w:rPr>
              <w:t>Walce statyczne okołkowane *</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0,3</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8 do 12</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0,3</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8 do 12</w:t>
            </w:r>
          </w:p>
        </w:tc>
        <w:tc>
          <w:tcPr>
            <w:tcW w:w="851" w:type="dxa"/>
            <w:tcBorders>
              <w:right w:val="single" w:sz="6" w:space="0" w:color="auto"/>
            </w:tcBorders>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2)</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Walce statyczne ogumione *</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0,5</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6 do 8</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0,4</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6 do 10</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t>
            </w:r>
          </w:p>
        </w:tc>
        <w:tc>
          <w:tcPr>
            <w:tcW w:w="851"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xml:space="preserve">Walce wibracyjne gładkie ** </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0,4 do 0,7</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8</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0,4</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4</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0,3 do 0,6</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5</w:t>
            </w:r>
          </w:p>
        </w:tc>
        <w:tc>
          <w:tcPr>
            <w:tcW w:w="851"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Walce wibracyjne okołkowane **</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0,3 do 0,6</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6</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0,4</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6 do 10</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0,4</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6 do 10</w:t>
            </w:r>
          </w:p>
        </w:tc>
        <w:tc>
          <w:tcPr>
            <w:tcW w:w="851"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5)</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xml:space="preserve">Zagęszczarki </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wibracyjne **</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0,3 do 0,5</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8</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0,5</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8</w:t>
            </w:r>
          </w:p>
        </w:tc>
        <w:tc>
          <w:tcPr>
            <w:tcW w:w="851"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6)</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Ubijaki szybkouderzające</w:t>
            </w:r>
          </w:p>
        </w:tc>
        <w:tc>
          <w:tcPr>
            <w:tcW w:w="99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0,4</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2 do4</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0,1 do 0,3</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5</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0,2 do 0,4</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4</w:t>
            </w:r>
          </w:p>
        </w:tc>
        <w:tc>
          <w:tcPr>
            <w:tcW w:w="851"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6)</w:t>
            </w:r>
          </w:p>
        </w:tc>
      </w:tr>
      <w:tr w:rsidR="004F5BEB" w:rsidRPr="00FE60E3" w:rsidTr="004F5BEB">
        <w:tc>
          <w:tcPr>
            <w:tcW w:w="2622"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Ubijaki o masie od 1 do 10 Mg zrzucane z wysokości od 5 do 10 m</w:t>
            </w:r>
          </w:p>
        </w:tc>
        <w:tc>
          <w:tcPr>
            <w:tcW w:w="993" w:type="dxa"/>
          </w:tcPr>
          <w:p w:rsidR="004F5BEB" w:rsidRPr="00FE60E3" w:rsidRDefault="004F5BEB" w:rsidP="004F5BEB">
            <w:pPr>
              <w:pStyle w:val="StylIwony"/>
              <w:spacing w:before="0" w:after="0"/>
              <w:rPr>
                <w:rFonts w:asciiTheme="minorHAnsi" w:hAnsiTheme="minorHAnsi"/>
                <w:sz w:val="20"/>
              </w:rPr>
            </w:pP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2,0 do 8,0</w:t>
            </w:r>
          </w:p>
        </w:tc>
        <w:tc>
          <w:tcPr>
            <w:tcW w:w="1133"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10 uderzeń w punkt</w:t>
            </w:r>
          </w:p>
        </w:tc>
        <w:tc>
          <w:tcPr>
            <w:tcW w:w="1134" w:type="dxa"/>
          </w:tcPr>
          <w:p w:rsidR="004F5BEB" w:rsidRPr="00FE60E3" w:rsidRDefault="004F5BEB" w:rsidP="004F5BEB">
            <w:pPr>
              <w:pStyle w:val="StylIwony"/>
              <w:spacing w:before="0" w:after="0"/>
              <w:rPr>
                <w:rFonts w:asciiTheme="minorHAnsi" w:hAnsiTheme="minorHAnsi"/>
                <w:sz w:val="20"/>
              </w:rPr>
            </w:pP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1,0 do 4,0</w:t>
            </w:r>
          </w:p>
        </w:tc>
        <w:tc>
          <w:tcPr>
            <w:tcW w:w="1134"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6 uderzeń w punkt</w:t>
            </w:r>
          </w:p>
        </w:tc>
        <w:tc>
          <w:tcPr>
            <w:tcW w:w="1134" w:type="dxa"/>
          </w:tcPr>
          <w:p w:rsidR="004F5BEB" w:rsidRPr="00FE60E3" w:rsidRDefault="004F5BEB" w:rsidP="004F5BEB">
            <w:pPr>
              <w:pStyle w:val="StylIwony"/>
              <w:spacing w:before="0" w:after="0"/>
              <w:rPr>
                <w:rFonts w:asciiTheme="minorHAnsi" w:hAnsiTheme="minorHAnsi"/>
                <w:sz w:val="20"/>
              </w:rPr>
            </w:pP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1,0 do 5,0</w:t>
            </w:r>
          </w:p>
        </w:tc>
        <w:tc>
          <w:tcPr>
            <w:tcW w:w="850" w:type="dxa"/>
          </w:tcPr>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do 6 uderzeń w punkt</w:t>
            </w:r>
          </w:p>
        </w:tc>
        <w:tc>
          <w:tcPr>
            <w:tcW w:w="851" w:type="dxa"/>
          </w:tcPr>
          <w:p w:rsidR="004F5BEB" w:rsidRPr="00FE60E3" w:rsidRDefault="004F5BEB" w:rsidP="004F5BEB">
            <w:pPr>
              <w:pStyle w:val="StylIwony"/>
              <w:spacing w:before="0" w:after="0"/>
              <w:rPr>
                <w:rFonts w:asciiTheme="minorHAnsi" w:hAnsiTheme="minorHAnsi"/>
                <w:sz w:val="20"/>
              </w:rPr>
            </w:pPr>
          </w:p>
        </w:tc>
      </w:tr>
    </w:tbl>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Walce statyczne są mało przydatne w gruntach kamienistych.</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xml:space="preserve">**) Wibracyjnie należy zagęszczać warstwy grubości </w:t>
      </w:r>
      <w:r w:rsidRPr="00FE60E3">
        <w:rPr>
          <w:rFonts w:asciiTheme="minorHAnsi" w:hAnsiTheme="minorHAnsi"/>
          <w:sz w:val="20"/>
        </w:rPr>
        <w:sym w:font="Symbol" w:char="F0B3"/>
      </w:r>
      <w:r w:rsidRPr="00FE60E3">
        <w:rPr>
          <w:rFonts w:asciiTheme="minorHAnsi" w:hAnsiTheme="minorHAnsi"/>
          <w:sz w:val="20"/>
        </w:rPr>
        <w:t xml:space="preserve"> 15 cm, cieńsze warstwy należy zagęszczać statycznie.</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 Wartości orientacyjne, właściwe należy ustalić na odcinku doświadczalnym.</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Uwagi: 1) Do zagęszczania górnych warstw podłoża. Zalecane do codziennego wygładzania (przywałowania) gruntów spoistych w miejscu pobrania i w nasypie.</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2) Nie nadają się do gruntów nawodnionych.</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3) Mało przydatne w gruntach spoistych.</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4) Do gruntów spoistych przydatne są walce średnie i ciężkie, do gruntów kamienistych -  walce bardzo ciężkie.</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t>5) Zalecane do piasków pylastych i gliniastych, pospółek gliniastych i glin piaszczystych.</w:t>
      </w:r>
    </w:p>
    <w:p w:rsidR="004F5BEB" w:rsidRPr="00FE60E3" w:rsidRDefault="004F5BEB" w:rsidP="004F5BEB">
      <w:pPr>
        <w:pStyle w:val="StylIwony"/>
        <w:spacing w:before="0" w:after="0"/>
        <w:rPr>
          <w:rFonts w:asciiTheme="minorHAnsi" w:hAnsiTheme="minorHAnsi"/>
          <w:sz w:val="20"/>
        </w:rPr>
      </w:pPr>
      <w:r w:rsidRPr="00FE60E3">
        <w:rPr>
          <w:rFonts w:asciiTheme="minorHAnsi" w:hAnsiTheme="minorHAnsi"/>
          <w:sz w:val="20"/>
        </w:rPr>
        <w:lastRenderedPageBreak/>
        <w:t>6) Zalecane do zasypek wąskich przekopów</w:t>
      </w:r>
    </w:p>
    <w:p w:rsidR="004F5BEB" w:rsidRPr="00FE60E3" w:rsidRDefault="004F5BEB" w:rsidP="004F5BEB">
      <w:pPr>
        <w:pStyle w:val="Nagwek3"/>
        <w:rPr>
          <w:rFonts w:asciiTheme="minorHAnsi" w:hAnsiTheme="minorHAnsi"/>
        </w:rPr>
      </w:pPr>
      <w:bookmarkStart w:id="294" w:name="_Toc407161280"/>
      <w:bookmarkStart w:id="295" w:name="_Toc418994948"/>
      <w:bookmarkStart w:id="296" w:name="_Toc418996355"/>
      <w:bookmarkStart w:id="297" w:name="_Toc418996724"/>
      <w:bookmarkStart w:id="298" w:name="_Toc418997111"/>
      <w:bookmarkStart w:id="299" w:name="_Toc418998521"/>
      <w:bookmarkStart w:id="300" w:name="_Toc418998877"/>
      <w:bookmarkStart w:id="301" w:name="_Toc419000122"/>
      <w:r w:rsidRPr="00FE60E3">
        <w:rPr>
          <w:rFonts w:asciiTheme="minorHAnsi" w:hAnsiTheme="minorHAnsi"/>
        </w:rPr>
        <w:t>4. TRANSPORT</w:t>
      </w:r>
      <w:bookmarkEnd w:id="293"/>
      <w:bookmarkEnd w:id="294"/>
      <w:bookmarkEnd w:id="295"/>
      <w:bookmarkEnd w:id="296"/>
      <w:bookmarkEnd w:id="297"/>
      <w:bookmarkEnd w:id="298"/>
      <w:bookmarkEnd w:id="299"/>
      <w:bookmarkEnd w:id="300"/>
      <w:bookmarkEnd w:id="301"/>
    </w:p>
    <w:p w:rsidR="004F5BEB" w:rsidRPr="00FE60E3" w:rsidRDefault="004F5BEB" w:rsidP="004F5BEB">
      <w:pPr>
        <w:rPr>
          <w:rFonts w:asciiTheme="minorHAnsi" w:hAnsiTheme="minorHAnsi"/>
        </w:rPr>
      </w:pPr>
      <w:r w:rsidRPr="00FE60E3">
        <w:rPr>
          <w:rFonts w:asciiTheme="minorHAnsi" w:hAnsiTheme="minorHAnsi"/>
        </w:rPr>
        <w:t>Ogólne wymagania dotyczące transportu podano w STWiORB D-M-00.00.00 pkt 4.</w:t>
      </w:r>
    </w:p>
    <w:p w:rsidR="004F5BEB" w:rsidRPr="00FE60E3" w:rsidRDefault="004F5BEB" w:rsidP="004F5BEB">
      <w:pPr>
        <w:pStyle w:val="Nagwek3"/>
        <w:rPr>
          <w:rFonts w:asciiTheme="minorHAnsi" w:hAnsiTheme="minorHAnsi"/>
        </w:rPr>
      </w:pPr>
      <w:bookmarkStart w:id="302" w:name="_Toc406295861"/>
      <w:bookmarkStart w:id="303" w:name="_Toc407161281"/>
      <w:bookmarkStart w:id="304" w:name="_Toc418994949"/>
      <w:bookmarkStart w:id="305" w:name="_Toc418996356"/>
      <w:bookmarkStart w:id="306" w:name="_Toc418996725"/>
      <w:bookmarkStart w:id="307" w:name="_Toc418997112"/>
      <w:bookmarkStart w:id="308" w:name="_Toc418998522"/>
      <w:bookmarkStart w:id="309" w:name="_Toc418998878"/>
      <w:bookmarkStart w:id="310" w:name="_Toc419000123"/>
      <w:r w:rsidRPr="00FE60E3">
        <w:rPr>
          <w:rFonts w:asciiTheme="minorHAnsi" w:hAnsiTheme="minorHAnsi"/>
        </w:rPr>
        <w:t>5. WYKONANIE ROBÓT</w:t>
      </w:r>
      <w:bookmarkEnd w:id="302"/>
      <w:bookmarkEnd w:id="303"/>
      <w:bookmarkEnd w:id="304"/>
      <w:bookmarkEnd w:id="305"/>
      <w:bookmarkEnd w:id="306"/>
      <w:bookmarkEnd w:id="307"/>
      <w:bookmarkEnd w:id="308"/>
      <w:bookmarkEnd w:id="309"/>
      <w:bookmarkEnd w:id="310"/>
    </w:p>
    <w:p w:rsidR="004F5BEB" w:rsidRPr="00FE60E3" w:rsidRDefault="004F5BEB" w:rsidP="004F5BEB">
      <w:pPr>
        <w:pStyle w:val="Nagwek4"/>
        <w:rPr>
          <w:rFonts w:asciiTheme="minorHAnsi" w:hAnsiTheme="minorHAnsi"/>
        </w:rPr>
      </w:pPr>
      <w:bookmarkStart w:id="311" w:name="_Toc406295862"/>
      <w:bookmarkStart w:id="312" w:name="_Toc407161282"/>
      <w:r w:rsidRPr="00FE60E3">
        <w:rPr>
          <w:rFonts w:asciiTheme="minorHAnsi" w:hAnsiTheme="minorHAnsi"/>
        </w:rPr>
        <w:t>5.1. Ogólne zasady wykonania robót</w:t>
      </w:r>
      <w:bookmarkEnd w:id="311"/>
      <w:bookmarkEnd w:id="312"/>
    </w:p>
    <w:p w:rsidR="004F5BEB" w:rsidRPr="00FE60E3" w:rsidRDefault="004F5BEB" w:rsidP="004F5BEB">
      <w:pPr>
        <w:rPr>
          <w:rFonts w:asciiTheme="minorHAnsi" w:hAnsiTheme="minorHAnsi"/>
        </w:rPr>
      </w:pPr>
      <w:r w:rsidRPr="00FE60E3">
        <w:rPr>
          <w:rFonts w:asciiTheme="minorHAnsi" w:hAnsiTheme="minorHAnsi"/>
        </w:rPr>
        <w:t>Ogólne zasady wykonania robót podano w STWiORB D-M-00.00.00 pkt 5.</w:t>
      </w:r>
    </w:p>
    <w:p w:rsidR="004F5BEB" w:rsidRPr="00FE60E3" w:rsidRDefault="004F5BEB" w:rsidP="004F5BEB">
      <w:pPr>
        <w:pStyle w:val="Nagwek4"/>
        <w:rPr>
          <w:rFonts w:asciiTheme="minorHAnsi" w:hAnsiTheme="minorHAnsi"/>
        </w:rPr>
      </w:pPr>
      <w:bookmarkStart w:id="313" w:name="_Toc406295863"/>
      <w:bookmarkStart w:id="314" w:name="_Toc407161283"/>
      <w:r w:rsidRPr="00FE60E3">
        <w:rPr>
          <w:rFonts w:asciiTheme="minorHAnsi" w:hAnsiTheme="minorHAnsi"/>
        </w:rPr>
        <w:t>5.2. Ukop i dokop</w:t>
      </w:r>
      <w:bookmarkEnd w:id="313"/>
      <w:bookmarkEnd w:id="314"/>
    </w:p>
    <w:p w:rsidR="004F5BEB" w:rsidRPr="00FE60E3" w:rsidRDefault="004F5BEB" w:rsidP="004F5BEB">
      <w:pPr>
        <w:keepNext/>
        <w:rPr>
          <w:rFonts w:asciiTheme="minorHAnsi" w:hAnsiTheme="minorHAnsi"/>
        </w:rPr>
      </w:pPr>
      <w:r w:rsidRPr="00FE60E3">
        <w:rPr>
          <w:rFonts w:asciiTheme="minorHAnsi" w:hAnsiTheme="minorHAnsi"/>
          <w:b/>
        </w:rPr>
        <w:t xml:space="preserve">5.2.1. </w:t>
      </w:r>
      <w:r w:rsidRPr="00FE60E3">
        <w:rPr>
          <w:rFonts w:asciiTheme="minorHAnsi" w:hAnsiTheme="minorHAnsi"/>
        </w:rPr>
        <w:t>Miejsce ukopu lub dokopu</w:t>
      </w:r>
    </w:p>
    <w:p w:rsidR="004F5BEB" w:rsidRPr="00FE60E3" w:rsidRDefault="004F5BEB" w:rsidP="004F5BEB">
      <w:pPr>
        <w:rPr>
          <w:rFonts w:asciiTheme="minorHAnsi" w:hAnsiTheme="minorHAnsi"/>
        </w:rPr>
      </w:pPr>
      <w:r w:rsidRPr="00FE60E3">
        <w:rPr>
          <w:rFonts w:asciiTheme="minorHAnsi" w:hAnsiTheme="minorHAnsi"/>
        </w:rPr>
        <w:t>Miejsce ukopu lub dokopu powinno być wskazane w dokumentacji projektowej, w innych dokumentach kontraktowych lub przez Inżyniera. Jeżeli miejsce to zostało wybrane przez Wykonawcę, musi być ono zaakceptowane przez Inżyniera.</w:t>
      </w:r>
    </w:p>
    <w:p w:rsidR="004F5BEB" w:rsidRPr="00FE60E3" w:rsidRDefault="004F5BEB" w:rsidP="004F5BEB">
      <w:pPr>
        <w:rPr>
          <w:rFonts w:asciiTheme="minorHAnsi" w:hAnsiTheme="minorHAnsi"/>
        </w:rPr>
      </w:pPr>
      <w:r w:rsidRPr="00FE60E3">
        <w:rPr>
          <w:rFonts w:asciiTheme="minorHAnsi" w:hAnsiTheme="minorHAnsi"/>
        </w:rPr>
        <w:t>Miejsce ukopu lub dokopu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rsidR="004F5BEB" w:rsidRPr="00FE60E3" w:rsidRDefault="004F5BEB" w:rsidP="004F5BEB">
      <w:pPr>
        <w:rPr>
          <w:rFonts w:asciiTheme="minorHAnsi" w:hAnsiTheme="minorHAnsi"/>
        </w:rPr>
      </w:pPr>
      <w:r w:rsidRPr="00FE60E3">
        <w:rPr>
          <w:rFonts w:asciiTheme="minorHAnsi" w:hAnsiTheme="minorHAnsi"/>
          <w:b/>
        </w:rPr>
        <w:t xml:space="preserve">5.2.2. </w:t>
      </w:r>
      <w:r w:rsidRPr="00FE60E3">
        <w:rPr>
          <w:rFonts w:asciiTheme="minorHAnsi" w:hAnsiTheme="minorHAnsi"/>
        </w:rPr>
        <w:t>Zasady prowadzenia robót w ukopie i dokopie</w:t>
      </w:r>
    </w:p>
    <w:p w:rsidR="004F5BEB" w:rsidRPr="00FE60E3" w:rsidRDefault="004F5BEB" w:rsidP="004F5BEB">
      <w:pPr>
        <w:rPr>
          <w:rFonts w:asciiTheme="minorHAnsi" w:hAnsiTheme="minorHAnsi"/>
        </w:rPr>
      </w:pPr>
      <w:r w:rsidRPr="00FE60E3">
        <w:rPr>
          <w:rFonts w:asciiTheme="minorHAnsi" w:hAnsiTheme="minorHAnsi"/>
        </w:rPr>
        <w:t>Pozyskiwanie gruntu z ukopu lub dokopu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rsidR="004F5BEB" w:rsidRPr="00FE60E3" w:rsidRDefault="004F5BEB" w:rsidP="004F5BEB">
      <w:pPr>
        <w:rPr>
          <w:rFonts w:asciiTheme="minorHAnsi" w:hAnsiTheme="minorHAnsi"/>
        </w:rPr>
      </w:pPr>
      <w:r w:rsidRPr="00FE60E3">
        <w:rPr>
          <w:rFonts w:asciiTheme="minorHAnsi" w:hAnsiTheme="minorHAnsi"/>
        </w:rPr>
        <w:t>Grunty nieprzydatne do budowy nasypów nie powinny być odspajane, chyba że wymaga tego dostęp do gruntu przeznaczonego do przewiezienia z dokopu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rsidR="004F5BEB" w:rsidRPr="00FE60E3" w:rsidRDefault="004F5BEB" w:rsidP="004F5BEB">
      <w:pPr>
        <w:rPr>
          <w:rFonts w:asciiTheme="minorHAnsi" w:hAnsiTheme="minorHAnsi"/>
        </w:rPr>
      </w:pPr>
      <w:r w:rsidRPr="00FE60E3">
        <w:rPr>
          <w:rFonts w:asciiTheme="minorHAnsi" w:hAnsiTheme="minorHAnsi"/>
        </w:rPr>
        <w:t>Dno ukopu należy wykonać ze spadkiem od 2 do 3% w kierunku możliwego spływu wody. O ile to konieczne, ukop (dokop) należy odwodnić przez wykonanie rowu odpływowego.</w:t>
      </w:r>
    </w:p>
    <w:p w:rsidR="004F5BEB" w:rsidRPr="00FE60E3" w:rsidRDefault="004F5BEB" w:rsidP="004F5BEB">
      <w:pPr>
        <w:rPr>
          <w:rFonts w:asciiTheme="minorHAnsi" w:hAnsiTheme="minorHAnsi"/>
        </w:rPr>
      </w:pPr>
      <w:r w:rsidRPr="00FE60E3">
        <w:rPr>
          <w:rFonts w:asciiTheme="minorHAnsi" w:hAnsiTheme="minorHAnsi"/>
        </w:rPr>
        <w:t>Jeżeli ukop jest zlokalizowany na zboczu, nie może on naruszać stateczności zbocza.</w:t>
      </w:r>
    </w:p>
    <w:p w:rsidR="004F5BEB" w:rsidRPr="00FE60E3" w:rsidRDefault="004F5BEB" w:rsidP="004F5BEB">
      <w:pPr>
        <w:rPr>
          <w:rFonts w:asciiTheme="minorHAnsi" w:hAnsiTheme="minorHAnsi"/>
        </w:rPr>
      </w:pPr>
      <w:r w:rsidRPr="00FE60E3">
        <w:rPr>
          <w:rFonts w:asciiTheme="minorHAnsi" w:hAnsiTheme="minorHAnsi"/>
        </w:rPr>
        <w:t>Dno i skarpy ukopu po zakończeniu jego eksploatacji powinny być tak ukształtowane, aby harmonizowały z otaczającym terenem. Na dnie i skarpach ukopu należy przeprowadzić rekultywację według odrębnej dokumentacji projektowej.</w:t>
      </w:r>
    </w:p>
    <w:p w:rsidR="004F5BEB" w:rsidRPr="00FE60E3" w:rsidRDefault="004F5BEB" w:rsidP="004F5BEB">
      <w:pPr>
        <w:pStyle w:val="Nagwek4"/>
        <w:rPr>
          <w:rFonts w:asciiTheme="minorHAnsi" w:hAnsiTheme="minorHAnsi"/>
        </w:rPr>
      </w:pPr>
      <w:bookmarkStart w:id="315" w:name="_Toc406295864"/>
      <w:bookmarkStart w:id="316" w:name="_Toc407161284"/>
      <w:r w:rsidRPr="00FE60E3">
        <w:rPr>
          <w:rFonts w:asciiTheme="minorHAnsi" w:hAnsiTheme="minorHAnsi"/>
        </w:rPr>
        <w:t>5.3. Wykonanie nasypów</w:t>
      </w:r>
      <w:bookmarkEnd w:id="315"/>
      <w:bookmarkEnd w:id="316"/>
    </w:p>
    <w:p w:rsidR="004F5BEB" w:rsidRPr="00FE60E3" w:rsidRDefault="004F5BEB" w:rsidP="004F5BEB">
      <w:pPr>
        <w:rPr>
          <w:rFonts w:asciiTheme="minorHAnsi" w:hAnsiTheme="minorHAnsi"/>
        </w:rPr>
      </w:pPr>
      <w:r w:rsidRPr="00FE60E3">
        <w:rPr>
          <w:rFonts w:asciiTheme="minorHAnsi" w:hAnsiTheme="minorHAnsi"/>
          <w:b/>
        </w:rPr>
        <w:t xml:space="preserve">5.3.1. </w:t>
      </w:r>
      <w:r w:rsidRPr="00FE60E3">
        <w:rPr>
          <w:rFonts w:asciiTheme="minorHAnsi" w:hAnsiTheme="minorHAnsi"/>
        </w:rPr>
        <w:t>Przygotowanie podłoża w obrębie podstawy nasypu</w:t>
      </w:r>
    </w:p>
    <w:p w:rsidR="004F5BEB" w:rsidRPr="00FE60E3" w:rsidRDefault="004F5BEB" w:rsidP="004F5BEB">
      <w:pPr>
        <w:rPr>
          <w:rFonts w:asciiTheme="minorHAnsi" w:hAnsiTheme="minorHAnsi"/>
        </w:rPr>
      </w:pPr>
      <w:r w:rsidRPr="00FE60E3">
        <w:rPr>
          <w:rFonts w:asciiTheme="minorHAnsi" w:hAnsiTheme="minorHAnsi"/>
        </w:rPr>
        <w:t>Przed przystąpieniem do budowy nasypu należy w obrębie jego podstawy zakończyć zdjęcie humusu i darniny zgodnie z  STWiORB D-01.02.02 .</w:t>
      </w:r>
    </w:p>
    <w:p w:rsidR="004F5BEB" w:rsidRPr="00FE60E3" w:rsidRDefault="004F5BEB" w:rsidP="004F5BEB">
      <w:pPr>
        <w:rPr>
          <w:rFonts w:asciiTheme="minorHAnsi" w:hAnsiTheme="minorHAnsi"/>
        </w:rPr>
      </w:pPr>
      <w:r w:rsidRPr="00FE60E3">
        <w:rPr>
          <w:rFonts w:asciiTheme="minorHAnsi" w:hAnsiTheme="minorHAnsi"/>
          <w:b/>
        </w:rPr>
        <w:t xml:space="preserve">5.3.1.1. </w:t>
      </w:r>
      <w:r w:rsidRPr="00FE60E3">
        <w:rPr>
          <w:rFonts w:asciiTheme="minorHAnsi" w:hAnsiTheme="minorHAnsi"/>
        </w:rPr>
        <w:t>Wycięcie stopni w zboczu</w:t>
      </w:r>
    </w:p>
    <w:p w:rsidR="004F5BEB" w:rsidRPr="00FE60E3" w:rsidRDefault="004F5BEB" w:rsidP="004F5BEB">
      <w:pPr>
        <w:rPr>
          <w:rFonts w:asciiTheme="minorHAnsi" w:hAnsiTheme="minorHAnsi"/>
        </w:rPr>
      </w:pPr>
      <w:r w:rsidRPr="00FE60E3">
        <w:rPr>
          <w:rFonts w:asciiTheme="minorHAnsi" w:hAnsiTheme="minorHAnsi"/>
        </w:rPr>
        <w:t xml:space="preserve">Jeżeli pochylenie poprzeczne terenu w stosunku do osi nasypu jest większe niż 1:5 należy, dla zabezpieczenia przed zsuwaniem się nasypu, wykonać w zboczu stopnie o spadku górnej powierzchni, wynoszącym około  4%  </w:t>
      </w:r>
      <w:r w:rsidRPr="00FE60E3">
        <w:rPr>
          <w:rFonts w:asciiTheme="minorHAnsi" w:hAnsiTheme="minorHAnsi"/>
        </w:rPr>
        <w:sym w:font="Symbol" w:char="F0B1"/>
      </w:r>
      <w:r w:rsidRPr="00FE60E3">
        <w:rPr>
          <w:rFonts w:asciiTheme="minorHAnsi" w:hAnsiTheme="minorHAnsi"/>
        </w:rPr>
        <w:t xml:space="preserve"> 1% i szerokości od 1,0 do 2,5 m.</w:t>
      </w:r>
    </w:p>
    <w:p w:rsidR="004F5BEB" w:rsidRPr="00FE60E3" w:rsidRDefault="004F5BEB" w:rsidP="004F5BEB">
      <w:pPr>
        <w:keepNext/>
        <w:rPr>
          <w:rFonts w:asciiTheme="minorHAnsi" w:hAnsiTheme="minorHAnsi"/>
        </w:rPr>
      </w:pPr>
      <w:r w:rsidRPr="00FE60E3">
        <w:rPr>
          <w:rFonts w:asciiTheme="minorHAnsi" w:hAnsiTheme="minorHAnsi"/>
          <w:b/>
        </w:rPr>
        <w:t xml:space="preserve">5.3.1.2. </w:t>
      </w:r>
      <w:r w:rsidRPr="00FE60E3">
        <w:rPr>
          <w:rFonts w:asciiTheme="minorHAnsi" w:hAnsiTheme="minorHAnsi"/>
        </w:rPr>
        <w:t>Zagęszczenie gruntu i nośność w podłożu nasypu</w:t>
      </w:r>
    </w:p>
    <w:p w:rsidR="004F5BEB" w:rsidRPr="00FE60E3" w:rsidRDefault="004F5BEB" w:rsidP="004F5BEB">
      <w:pPr>
        <w:rPr>
          <w:rFonts w:asciiTheme="minorHAnsi" w:hAnsiTheme="minorHAnsi"/>
        </w:rPr>
      </w:pPr>
      <w:r w:rsidRPr="00FE60E3">
        <w:rPr>
          <w:rFonts w:asciiTheme="minorHAnsi" w:hAnsiTheme="minorHAnsi"/>
        </w:rPr>
        <w:t>Wykonawca powinien skontrolować wskaźnik zagęszczenia gruntów rodzimych, zalegających w strefie podłoża nasypu, do głębokości 0,5 m od powierzchni terenu wg normy BN-77/8931-12 Dopuszcza się stosowanie wszystkich metod określonych normą BN-77/8931-12. Jeżeli wartość wskaźnika zagęszczenia jest mniejsza niż określona w tablicy 3, Wykonawca powinien dogęścić podłoże tak, aby powyższe wymaganie zostało spełnione.</w:t>
      </w:r>
    </w:p>
    <w:p w:rsidR="004F5BEB" w:rsidRPr="00FE60E3" w:rsidRDefault="004F5BEB" w:rsidP="004F5BEB">
      <w:pPr>
        <w:rPr>
          <w:rFonts w:asciiTheme="minorHAnsi" w:hAnsiTheme="minorHAnsi"/>
        </w:rPr>
      </w:pPr>
      <w:r w:rsidRPr="00FE60E3">
        <w:rPr>
          <w:rFonts w:asciiTheme="minorHAnsi" w:hAnsiTheme="minorHAnsi"/>
        </w:rPr>
        <w:t xml:space="preserve">Dla warstw leżących poniżej 0,2 m badanie zagęszczenia przeprowadzić należy poprzez oznaczenie wskaźnika odkształcenia oznaczonego wg PN-02205:1998. Grunt przy pomiarze zagęszczenia metodą obciążenia płytą VSS uznaje się za należycie zagęszczony, gdy wskaźnik odkształcenia nie przekracza 2,2. </w:t>
      </w:r>
    </w:p>
    <w:p w:rsidR="004F5BEB" w:rsidRPr="00FE60E3" w:rsidRDefault="004F5BEB" w:rsidP="004F5BEB">
      <w:pPr>
        <w:rPr>
          <w:rFonts w:asciiTheme="minorHAnsi" w:hAnsiTheme="minorHAnsi"/>
        </w:rPr>
      </w:pPr>
      <w:r w:rsidRPr="00FE60E3">
        <w:rPr>
          <w:rFonts w:asciiTheme="minorHAnsi" w:hAnsiTheme="minorHAnsi"/>
        </w:rPr>
        <w:lastRenderedPageBreak/>
        <w:t>Jeżeli wartości wskaźnika zagęszczenia określone powyżej nie mogą być osiągnięte przez bezpośrednie zagęszczanie podłoża, to należy podjąć środki w celu ulepszenia gruntu podłoża, umożliwiające uzyskanie wymaganych wartości wskaźnika zagęszczenia. Sposób ulepszenia proponuje Wykonawca i podlega on akceptacji Inżyniera oraz Projektanta</w:t>
      </w:r>
    </w:p>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Tablica 3. Minimalne wartości wskaźnika zagęszczenia dla podłoża nasypów do głębokości 0,5 m od powierzchni terenu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480"/>
        <w:gridCol w:w="1843"/>
        <w:gridCol w:w="1843"/>
      </w:tblGrid>
      <w:tr w:rsidR="004F5BEB" w:rsidRPr="00FE60E3" w:rsidTr="004F5BEB">
        <w:trPr>
          <w:trHeight w:val="960"/>
        </w:trPr>
        <w:tc>
          <w:tcPr>
            <w:tcW w:w="2480" w:type="dxa"/>
          </w:tcPr>
          <w:p w:rsidR="004F5BEB" w:rsidRPr="00FE60E3" w:rsidRDefault="004F5BEB" w:rsidP="004F5BEB">
            <w:pPr>
              <w:rPr>
                <w:rFonts w:asciiTheme="minorHAnsi" w:hAnsiTheme="minorHAnsi"/>
              </w:rPr>
            </w:pPr>
            <w:r w:rsidRPr="00FE60E3">
              <w:rPr>
                <w:rFonts w:asciiTheme="minorHAnsi" w:hAnsiTheme="minorHAnsi"/>
              </w:rPr>
              <w:t>Nasypy o wysokości,</w:t>
            </w:r>
          </w:p>
          <w:p w:rsidR="004F5BEB" w:rsidRPr="00FE60E3" w:rsidRDefault="004F5BEB" w:rsidP="004F5BEB">
            <w:pPr>
              <w:rPr>
                <w:rFonts w:asciiTheme="minorHAnsi" w:hAnsiTheme="minorHAnsi"/>
              </w:rPr>
            </w:pPr>
            <w:r w:rsidRPr="00FE60E3">
              <w:rPr>
                <w:rFonts w:asciiTheme="minorHAnsi" w:hAnsiTheme="minorHAnsi"/>
              </w:rPr>
              <w:t>m</w:t>
            </w:r>
          </w:p>
        </w:tc>
        <w:tc>
          <w:tcPr>
            <w:tcW w:w="1843" w:type="dxa"/>
          </w:tcPr>
          <w:p w:rsidR="004F5BEB" w:rsidRPr="00FE60E3" w:rsidRDefault="004F5BEB" w:rsidP="004F5BEB">
            <w:pPr>
              <w:rPr>
                <w:rFonts w:asciiTheme="minorHAnsi" w:hAnsiTheme="minorHAnsi"/>
              </w:rPr>
            </w:pPr>
            <w:r w:rsidRPr="00FE60E3">
              <w:rPr>
                <w:rFonts w:asciiTheme="minorHAnsi" w:hAnsiTheme="minorHAnsi"/>
              </w:rPr>
              <w:t>Minimalna wartość I</w:t>
            </w:r>
            <w:r w:rsidRPr="00FE60E3">
              <w:rPr>
                <w:rFonts w:asciiTheme="minorHAnsi" w:hAnsiTheme="minorHAnsi"/>
                <w:vertAlign w:val="subscript"/>
              </w:rPr>
              <w:t>s</w:t>
            </w:r>
            <w:r w:rsidRPr="00FE60E3">
              <w:rPr>
                <w:rFonts w:asciiTheme="minorHAnsi" w:hAnsiTheme="minorHAnsi"/>
              </w:rPr>
              <w:t xml:space="preserve"> </w:t>
            </w:r>
          </w:p>
        </w:tc>
        <w:tc>
          <w:tcPr>
            <w:tcW w:w="1843" w:type="dxa"/>
          </w:tcPr>
          <w:p w:rsidR="004F5BEB" w:rsidRPr="00FE60E3" w:rsidRDefault="004F5BEB" w:rsidP="004F5BEB">
            <w:pPr>
              <w:rPr>
                <w:rFonts w:asciiTheme="minorHAnsi" w:hAnsiTheme="minorHAnsi"/>
              </w:rPr>
            </w:pPr>
            <w:r w:rsidRPr="00FE60E3">
              <w:rPr>
                <w:rFonts w:asciiTheme="minorHAnsi" w:hAnsiTheme="minorHAnsi"/>
              </w:rPr>
              <w:t>Minimalna wartość E</w:t>
            </w:r>
            <w:r w:rsidRPr="00FE60E3">
              <w:rPr>
                <w:rFonts w:asciiTheme="minorHAnsi" w:hAnsiTheme="minorHAnsi"/>
                <w:vertAlign w:val="subscript"/>
              </w:rPr>
              <w:t>2</w:t>
            </w:r>
            <w:r w:rsidRPr="00FE60E3">
              <w:rPr>
                <w:rFonts w:asciiTheme="minorHAnsi" w:hAnsiTheme="minorHAnsi"/>
              </w:rPr>
              <w:t xml:space="preserve"> [MPa]</w:t>
            </w:r>
          </w:p>
        </w:tc>
      </w:tr>
      <w:tr w:rsidR="004F5BEB" w:rsidRPr="00FE60E3" w:rsidTr="004F5BEB">
        <w:tc>
          <w:tcPr>
            <w:tcW w:w="2480" w:type="dxa"/>
          </w:tcPr>
          <w:p w:rsidR="004F5BEB" w:rsidRPr="00FE60E3" w:rsidRDefault="004F5BEB" w:rsidP="004F5BEB">
            <w:pPr>
              <w:rPr>
                <w:rFonts w:asciiTheme="minorHAnsi" w:hAnsiTheme="minorHAnsi"/>
              </w:rPr>
            </w:pPr>
            <w:r w:rsidRPr="00FE60E3">
              <w:rPr>
                <w:rFonts w:asciiTheme="minorHAnsi" w:hAnsiTheme="minorHAnsi"/>
              </w:rPr>
              <w:t xml:space="preserve">do 2 </w:t>
            </w:r>
          </w:p>
        </w:tc>
        <w:tc>
          <w:tcPr>
            <w:tcW w:w="1843" w:type="dxa"/>
          </w:tcPr>
          <w:p w:rsidR="004F5BEB" w:rsidRPr="00FE60E3" w:rsidRDefault="004F5BEB" w:rsidP="004F5BEB">
            <w:pPr>
              <w:rPr>
                <w:rFonts w:asciiTheme="minorHAnsi" w:hAnsiTheme="minorHAnsi"/>
              </w:rPr>
            </w:pPr>
            <w:r w:rsidRPr="00FE60E3">
              <w:rPr>
                <w:rFonts w:asciiTheme="minorHAnsi" w:hAnsiTheme="minorHAnsi"/>
              </w:rPr>
              <w:t>0,97</w:t>
            </w:r>
          </w:p>
        </w:tc>
        <w:tc>
          <w:tcPr>
            <w:tcW w:w="1843" w:type="dxa"/>
          </w:tcPr>
          <w:p w:rsidR="004F5BEB" w:rsidRPr="00FE60E3" w:rsidRDefault="004F5BEB" w:rsidP="004F5BEB">
            <w:pPr>
              <w:jc w:val="right"/>
              <w:rPr>
                <w:rFonts w:asciiTheme="minorHAnsi" w:hAnsiTheme="minorHAnsi"/>
              </w:rPr>
            </w:pPr>
            <w:r w:rsidRPr="00FE60E3">
              <w:rPr>
                <w:rFonts w:asciiTheme="minorHAnsi" w:hAnsiTheme="minorHAnsi"/>
              </w:rPr>
              <w:t>30</w:t>
            </w:r>
          </w:p>
        </w:tc>
      </w:tr>
      <w:tr w:rsidR="004F5BEB" w:rsidRPr="00FE60E3" w:rsidTr="004F5BEB">
        <w:tc>
          <w:tcPr>
            <w:tcW w:w="2480" w:type="dxa"/>
          </w:tcPr>
          <w:p w:rsidR="004F5BEB" w:rsidRPr="00FE60E3" w:rsidRDefault="004F5BEB" w:rsidP="004F5BEB">
            <w:pPr>
              <w:rPr>
                <w:rFonts w:asciiTheme="minorHAnsi" w:hAnsiTheme="minorHAnsi"/>
              </w:rPr>
            </w:pPr>
            <w:r w:rsidRPr="00FE60E3">
              <w:rPr>
                <w:rFonts w:asciiTheme="minorHAnsi" w:hAnsiTheme="minorHAnsi"/>
              </w:rPr>
              <w:t xml:space="preserve">ponad 2 </w:t>
            </w:r>
          </w:p>
        </w:tc>
        <w:tc>
          <w:tcPr>
            <w:tcW w:w="1843" w:type="dxa"/>
          </w:tcPr>
          <w:p w:rsidR="004F5BEB" w:rsidRPr="00FE60E3" w:rsidRDefault="004F5BEB" w:rsidP="004F5BEB">
            <w:pPr>
              <w:rPr>
                <w:rFonts w:asciiTheme="minorHAnsi" w:hAnsiTheme="minorHAnsi"/>
              </w:rPr>
            </w:pPr>
            <w:r w:rsidRPr="00FE60E3">
              <w:rPr>
                <w:rFonts w:asciiTheme="minorHAnsi" w:hAnsiTheme="minorHAnsi"/>
              </w:rPr>
              <w:t>0,97</w:t>
            </w:r>
          </w:p>
        </w:tc>
        <w:tc>
          <w:tcPr>
            <w:tcW w:w="1843" w:type="dxa"/>
          </w:tcPr>
          <w:p w:rsidR="004F5BEB" w:rsidRPr="00FE60E3" w:rsidRDefault="004F5BEB" w:rsidP="004F5BEB">
            <w:pPr>
              <w:jc w:val="right"/>
              <w:rPr>
                <w:rFonts w:asciiTheme="minorHAnsi" w:hAnsiTheme="minorHAnsi"/>
              </w:rPr>
            </w:pPr>
            <w:r w:rsidRPr="00FE60E3">
              <w:rPr>
                <w:rFonts w:asciiTheme="minorHAnsi" w:hAnsiTheme="minorHAnsi"/>
              </w:rPr>
              <w:t>40</w:t>
            </w:r>
          </w:p>
        </w:tc>
      </w:tr>
    </w:tbl>
    <w:p w:rsidR="004F5BEB" w:rsidRPr="00FE60E3" w:rsidRDefault="004F5BEB" w:rsidP="004F5BEB">
      <w:pPr>
        <w:rPr>
          <w:rFonts w:asciiTheme="minorHAnsi" w:hAnsiTheme="minorHAnsi"/>
        </w:rPr>
      </w:pPr>
      <w:r w:rsidRPr="00FE60E3">
        <w:rPr>
          <w:rFonts w:asciiTheme="minorHAnsi" w:hAnsiTheme="minorHAnsi"/>
        </w:rPr>
        <w:tab/>
      </w:r>
    </w:p>
    <w:p w:rsidR="004F5BEB" w:rsidRPr="00FE60E3" w:rsidRDefault="004F5BEB" w:rsidP="004F5BEB">
      <w:pPr>
        <w:rPr>
          <w:rFonts w:asciiTheme="minorHAnsi" w:hAnsiTheme="minorHAnsi"/>
        </w:rPr>
      </w:pPr>
      <w:r w:rsidRPr="00FE60E3">
        <w:rPr>
          <w:rFonts w:asciiTheme="minorHAnsi" w:hAnsiTheme="minorHAnsi"/>
        </w:rPr>
        <w:t>Dodatkowo można sprawdzić nośność warstwy gruntu podłoża nasypu na podstawie pomiaru wtórnego modułu odkształcenia E</w:t>
      </w:r>
      <w:r w:rsidRPr="00FE60E3">
        <w:rPr>
          <w:rFonts w:asciiTheme="minorHAnsi" w:hAnsiTheme="minorHAnsi"/>
          <w:vertAlign w:val="subscript"/>
        </w:rPr>
        <w:t>2</w:t>
      </w:r>
      <w:r w:rsidRPr="00FE60E3">
        <w:rPr>
          <w:rFonts w:asciiTheme="minorHAnsi" w:hAnsiTheme="minorHAnsi"/>
        </w:rPr>
        <w:t xml:space="preserve"> zgodnie z PN-02205:1998 rysunek 3.</w:t>
      </w:r>
    </w:p>
    <w:p w:rsidR="004F5BEB" w:rsidRPr="00FE60E3" w:rsidRDefault="004F5BEB" w:rsidP="004F5BEB">
      <w:pPr>
        <w:rPr>
          <w:rFonts w:asciiTheme="minorHAnsi" w:hAnsiTheme="minorHAnsi"/>
        </w:rPr>
      </w:pPr>
      <w:r w:rsidRPr="00FE60E3">
        <w:rPr>
          <w:rFonts w:asciiTheme="minorHAnsi" w:hAnsiTheme="minorHAnsi"/>
        </w:rPr>
        <w:t>Za zgodą Inżyniera dopuszcza się prowadzenie badań przy zastosowaniu metod alternatywnych – w szczególności lekkiej płyty dynamicznej ZFG-02 lub lekkiej sondy wbijanej SD-10 zgodnie z Instrukcją Badań Podłoża Gruntowego Budowli Mostowych i Drogowych Część 2 Załącznik, Warszawa 1998. Korelacji pomiędzy wynikami uzyskanymi przy pomocy metod alternatywnych, a wymaganiami niniejszej SST należy dokonać zgodnie z instrukcjami producentów urządzeń alternatywnych</w:t>
      </w:r>
    </w:p>
    <w:p w:rsidR="004F5BEB" w:rsidRPr="00FE60E3" w:rsidRDefault="004F5BEB" w:rsidP="004F5BEB">
      <w:pPr>
        <w:rPr>
          <w:rFonts w:asciiTheme="minorHAnsi" w:hAnsiTheme="minorHAnsi"/>
        </w:rPr>
      </w:pPr>
      <w:r w:rsidRPr="00FE60E3">
        <w:rPr>
          <w:rFonts w:asciiTheme="minorHAnsi" w:hAnsiTheme="minorHAnsi"/>
        </w:rPr>
        <w:t>Podczas zagęszczania gruntu wilgotność naturalna gruntu nie powinna się różnić od wilgotności optymalnej o ±2% dla gruntów niespoistych i od 0 do -2% dla gruntów mało i średnio spoistych. Pomiaru wilgotności naturalnej gruntu należy dokonać w oparciu o normę PKN-CEN ISO/TS 17892-1</w:t>
      </w:r>
    </w:p>
    <w:p w:rsidR="004F5BEB" w:rsidRPr="00FE60E3" w:rsidRDefault="004F5BEB" w:rsidP="004F5BEB">
      <w:pPr>
        <w:rPr>
          <w:rFonts w:asciiTheme="minorHAnsi" w:hAnsiTheme="minorHAnsi"/>
        </w:rPr>
      </w:pPr>
      <w:r w:rsidRPr="00FE60E3">
        <w:rPr>
          <w:rFonts w:asciiTheme="minorHAnsi" w:hAnsiTheme="minorHAnsi"/>
        </w:rPr>
        <w:t>W przypadku przekroczenia wymaganej wilgotności należy odczekać do naturalnego osuszenia gruntu, bądź zastosować inne środki zaakceptowane przez Inżyniera</w:t>
      </w:r>
    </w:p>
    <w:p w:rsidR="004F5BEB" w:rsidRPr="00FE60E3" w:rsidRDefault="004F5BEB" w:rsidP="004F5BEB">
      <w:pPr>
        <w:rPr>
          <w:rFonts w:asciiTheme="minorHAnsi" w:hAnsiTheme="minorHAnsi"/>
        </w:rPr>
      </w:pPr>
      <w:r w:rsidRPr="00FE60E3">
        <w:rPr>
          <w:rFonts w:asciiTheme="minorHAnsi" w:hAnsiTheme="minorHAnsi"/>
          <w:b/>
        </w:rPr>
        <w:t xml:space="preserve">5.3.1.3. </w:t>
      </w:r>
      <w:r w:rsidRPr="00FE60E3">
        <w:rPr>
          <w:rFonts w:asciiTheme="minorHAnsi" w:hAnsiTheme="minorHAnsi"/>
        </w:rPr>
        <w:t>Spulchnienie gruntów w podłożu nasypów</w:t>
      </w:r>
    </w:p>
    <w:p w:rsidR="004F5BEB" w:rsidRPr="00FE60E3" w:rsidRDefault="004F5BEB" w:rsidP="004F5BEB">
      <w:pPr>
        <w:rPr>
          <w:rFonts w:asciiTheme="minorHAnsi" w:hAnsiTheme="minorHAnsi"/>
        </w:rPr>
      </w:pPr>
      <w:r w:rsidRPr="00FE60E3">
        <w:rPr>
          <w:rFonts w:asciiTheme="minorHAnsi" w:hAnsiTheme="minorHAnsi"/>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rsidR="004F5BEB" w:rsidRPr="00FE60E3" w:rsidRDefault="004F5BEB" w:rsidP="004F5BEB">
      <w:pPr>
        <w:keepNext/>
        <w:rPr>
          <w:rFonts w:asciiTheme="minorHAnsi" w:hAnsiTheme="minorHAnsi"/>
        </w:rPr>
      </w:pPr>
      <w:r w:rsidRPr="00FE60E3">
        <w:rPr>
          <w:rFonts w:asciiTheme="minorHAnsi" w:hAnsiTheme="minorHAnsi"/>
          <w:b/>
        </w:rPr>
        <w:t xml:space="preserve">5.3.2. </w:t>
      </w:r>
      <w:r w:rsidRPr="00FE60E3">
        <w:rPr>
          <w:rFonts w:asciiTheme="minorHAnsi" w:hAnsiTheme="minorHAnsi"/>
        </w:rPr>
        <w:t>Wybór gruntów i materiałów do wykonania nasypów</w:t>
      </w:r>
    </w:p>
    <w:p w:rsidR="004F5BEB" w:rsidRPr="00FE60E3" w:rsidRDefault="004F5BEB" w:rsidP="004F5BEB">
      <w:pPr>
        <w:rPr>
          <w:rFonts w:asciiTheme="minorHAnsi" w:hAnsiTheme="minorHAnsi"/>
        </w:rPr>
      </w:pPr>
      <w:r w:rsidRPr="00FE60E3">
        <w:rPr>
          <w:rFonts w:asciiTheme="minorHAnsi" w:hAnsiTheme="minorHAnsi"/>
        </w:rPr>
        <w:t>Wybór gruntów i materiałów do wykonania nasypów powinien być dokonany z uwzględnieniem zasad podanych w pkcie 2.</w:t>
      </w:r>
    </w:p>
    <w:p w:rsidR="004F5BEB" w:rsidRPr="00FE60E3" w:rsidRDefault="004F5BEB" w:rsidP="004F5BEB">
      <w:pPr>
        <w:rPr>
          <w:rFonts w:asciiTheme="minorHAnsi" w:hAnsiTheme="minorHAnsi"/>
        </w:rPr>
      </w:pPr>
      <w:r w:rsidRPr="00FE60E3">
        <w:rPr>
          <w:rFonts w:asciiTheme="minorHAnsi" w:hAnsiTheme="minorHAnsi"/>
          <w:b/>
        </w:rPr>
        <w:t xml:space="preserve">5.3.3. </w:t>
      </w:r>
      <w:r w:rsidRPr="00FE60E3">
        <w:rPr>
          <w:rFonts w:asciiTheme="minorHAnsi" w:hAnsiTheme="minorHAnsi"/>
        </w:rPr>
        <w:t>Zasady wykonania nasypów</w:t>
      </w:r>
    </w:p>
    <w:p w:rsidR="004F5BEB" w:rsidRPr="00FE60E3" w:rsidRDefault="004F5BEB" w:rsidP="004F5BEB">
      <w:pPr>
        <w:rPr>
          <w:rFonts w:asciiTheme="minorHAnsi" w:hAnsiTheme="minorHAnsi"/>
        </w:rPr>
      </w:pPr>
      <w:r w:rsidRPr="00FE60E3">
        <w:rPr>
          <w:rFonts w:asciiTheme="minorHAnsi" w:hAnsiTheme="minorHAnsi"/>
          <w:b/>
        </w:rPr>
        <w:t xml:space="preserve">5.3.3.1. </w:t>
      </w:r>
      <w:r w:rsidRPr="00FE60E3">
        <w:rPr>
          <w:rFonts w:asciiTheme="minorHAnsi" w:hAnsiTheme="minorHAnsi"/>
        </w:rPr>
        <w:t>Ogólne zasady wykonywania nasypów</w:t>
      </w:r>
    </w:p>
    <w:p w:rsidR="004F5BEB" w:rsidRPr="00FE60E3" w:rsidRDefault="004F5BEB" w:rsidP="004F5BEB">
      <w:pPr>
        <w:rPr>
          <w:rFonts w:asciiTheme="minorHAnsi" w:hAnsiTheme="minorHAnsi"/>
        </w:rPr>
      </w:pPr>
      <w:r w:rsidRPr="00FE60E3">
        <w:rPr>
          <w:rFonts w:asciiTheme="minorHAnsi" w:hAnsiTheme="minorHAnsi"/>
        </w:rPr>
        <w:t>Nasypy powinny być wznoszone przy zachowaniu przekroju poprzecznego i profilu podłużnego, które określono w dokumentacji projektowej, z uwzględnieniem ewentualnych zmian wprowadzonych zawczasu przez Inżyniera.</w:t>
      </w:r>
    </w:p>
    <w:p w:rsidR="004F5BEB" w:rsidRPr="00FE60E3" w:rsidRDefault="004F5BEB" w:rsidP="004F5BEB">
      <w:pPr>
        <w:rPr>
          <w:rFonts w:asciiTheme="minorHAnsi" w:hAnsiTheme="minorHAnsi"/>
        </w:rPr>
      </w:pPr>
      <w:r w:rsidRPr="00FE60E3">
        <w:rPr>
          <w:rFonts w:asciiTheme="minorHAnsi" w:hAnsiTheme="minorHAnsi"/>
        </w:rPr>
        <w:t>W celu zapewnienia stateczności nasypu i jego równomiernego osiadania należy przestrzegać następujących zasad:</w:t>
      </w:r>
    </w:p>
    <w:p w:rsidR="004F5BEB" w:rsidRPr="00FE60E3" w:rsidRDefault="004F5BEB" w:rsidP="00790883">
      <w:pPr>
        <w:numPr>
          <w:ilvl w:val="0"/>
          <w:numId w:val="43"/>
        </w:numPr>
        <w:rPr>
          <w:rFonts w:asciiTheme="minorHAnsi" w:hAnsiTheme="minorHAnsi"/>
        </w:rPr>
      </w:pPr>
      <w:r w:rsidRPr="00FE60E3">
        <w:rPr>
          <w:rFonts w:asciiTheme="minorHAnsi" w:hAnsiTheme="minorHAnsi"/>
        </w:rPr>
        <w:t>Nasypy należy wykonywać metodą warstwową, z gruntów spełniających wymagania określone w pkt 2.2 niniejszej STWiORB. Nasypy powinny być wznoszone równomiernie na całej szerokości.</w:t>
      </w:r>
    </w:p>
    <w:p w:rsidR="004F5BEB" w:rsidRPr="00FE60E3" w:rsidRDefault="004F5BEB" w:rsidP="00790883">
      <w:pPr>
        <w:numPr>
          <w:ilvl w:val="0"/>
          <w:numId w:val="43"/>
        </w:numPr>
        <w:rPr>
          <w:rFonts w:asciiTheme="minorHAnsi" w:hAnsiTheme="minorHAnsi"/>
        </w:rPr>
      </w:pPr>
      <w:r w:rsidRPr="00FE60E3">
        <w:rPr>
          <w:rFonts w:asciiTheme="minorHAnsi" w:hAnsiTheme="minorHAnsi"/>
        </w:rPr>
        <w:t>Grubość warstwy w stanie luźnym powinna być odpowiednio dobrana w zależności od rodzaju gruntu i sprzętu używanego do zagęszczania. Grubość warstwy nie powinna przekraczać 30 cm. Przystąpienie do wbudowania kolejnej warstwy nasypu może nastąpić dopiero po stwierdzeniu przez Inżyniera prawidłowego wykonania warstwy poprzedniej.</w:t>
      </w:r>
    </w:p>
    <w:p w:rsidR="004F5BEB" w:rsidRPr="00FE60E3" w:rsidRDefault="004F5BEB" w:rsidP="00790883">
      <w:pPr>
        <w:numPr>
          <w:ilvl w:val="0"/>
          <w:numId w:val="43"/>
        </w:numPr>
        <w:rPr>
          <w:rFonts w:asciiTheme="minorHAnsi" w:hAnsiTheme="minorHAnsi"/>
        </w:rPr>
      </w:pPr>
      <w:r w:rsidRPr="00FE60E3">
        <w:rPr>
          <w:rFonts w:asciiTheme="minorHAnsi" w:hAnsiTheme="minorHAnsi"/>
        </w:rPr>
        <w:t>Grunty o różnych właściwościach należy wbudowywać w oddzielnych warstwach, o jednakowej grubości na całej szerokości nasypu. Grunty spoiste należy wbudowywać w dolne, a grunty niespoiste w górne warstwy nasypu.</w:t>
      </w:r>
    </w:p>
    <w:p w:rsidR="004F5BEB" w:rsidRPr="00FE60E3" w:rsidRDefault="004F5BEB" w:rsidP="00790883">
      <w:pPr>
        <w:numPr>
          <w:ilvl w:val="0"/>
          <w:numId w:val="43"/>
        </w:numPr>
        <w:rPr>
          <w:rFonts w:asciiTheme="minorHAnsi" w:hAnsiTheme="minorHAnsi"/>
        </w:rPr>
      </w:pPr>
      <w:r w:rsidRPr="00FE60E3">
        <w:rPr>
          <w:rFonts w:asciiTheme="minorHAnsi" w:hAnsiTheme="minorHAnsi"/>
        </w:rPr>
        <w:t>Warstwy gruntu przepuszczalnego należy wbudowywać poziomo, a warstwy gruntu mało przepuszczalnego (o współczynniku k</w:t>
      </w:r>
      <w:r w:rsidRPr="00FE60E3">
        <w:rPr>
          <w:rFonts w:asciiTheme="minorHAnsi" w:hAnsiTheme="minorHAnsi"/>
          <w:vertAlign w:val="subscript"/>
        </w:rPr>
        <w:t>10</w:t>
      </w:r>
      <w:r w:rsidRPr="00FE60E3">
        <w:rPr>
          <w:rFonts w:asciiTheme="minorHAnsi" w:hAnsiTheme="minorHAnsi"/>
          <w:position w:val="-4"/>
        </w:rPr>
        <w:object w:dxaOrig="180" w:dyaOrig="220">
          <v:shape id="_x0000_i1031" type="#_x0000_t75" style="width:9pt;height:11.25pt" o:ole="">
            <v:imagedata r:id="rId21" o:title=""/>
          </v:shape>
          <o:OLEObject Type="Embed" ProgID="Equation.3" ShapeID="_x0000_i1031" DrawAspect="Content" ObjectID="_1533961227" r:id="rId22"/>
        </w:object>
      </w:r>
      <w:r w:rsidRPr="00FE60E3">
        <w:rPr>
          <w:rFonts w:asciiTheme="minorHAnsi" w:hAnsiTheme="minorHAnsi"/>
        </w:rPr>
        <w:t xml:space="preserve">5,2 m/dobę) ze spadkiem górnej powierzchni około 4% </w:t>
      </w:r>
      <w:r w:rsidRPr="00FE60E3">
        <w:rPr>
          <w:rFonts w:asciiTheme="minorHAnsi" w:hAnsiTheme="minorHAnsi"/>
        </w:rPr>
        <w:sym w:font="Symbol" w:char="F0B1"/>
      </w:r>
      <w:r w:rsidRPr="00FE60E3">
        <w:rPr>
          <w:rFonts w:asciiTheme="minorHAnsi" w:hAnsiTheme="minorHAnsi"/>
        </w:rPr>
        <w:t xml:space="preserve"> 1%. Kiedy nasyp jest budowany w terenie płaskim spadek powinien być obustronny, gdy nasyp jest budowany na zboczu spadek powinien być jednostronny, zgodny z jego pochyleniem. Ukształtowanie powierzchni warstwy powinno uniemożliwiać lokalne gromadzenie się wody.</w:t>
      </w:r>
    </w:p>
    <w:p w:rsidR="004F5BEB" w:rsidRPr="00FE60E3" w:rsidRDefault="004F5BEB" w:rsidP="00790883">
      <w:pPr>
        <w:numPr>
          <w:ilvl w:val="0"/>
          <w:numId w:val="43"/>
        </w:numPr>
        <w:rPr>
          <w:rFonts w:asciiTheme="minorHAnsi" w:hAnsiTheme="minorHAnsi"/>
        </w:rPr>
      </w:pPr>
      <w:r w:rsidRPr="00FE60E3">
        <w:rPr>
          <w:rFonts w:asciiTheme="minorHAnsi" w:hAnsiTheme="minorHAnsi"/>
        </w:rPr>
        <w:t xml:space="preserve">Jeżeli w okresie zimowym następuje przerwa w wykonywaniu nasypu, a górna powierzchnia jest wykonana z gruntu spoistego, to jej spadki porzeczne powinny być ukształtowane ku osi nasypu, a woda odprowadzona </w:t>
      </w:r>
      <w:r w:rsidRPr="00FE60E3">
        <w:rPr>
          <w:rFonts w:asciiTheme="minorHAnsi" w:hAnsiTheme="minorHAnsi"/>
        </w:rPr>
        <w:lastRenderedPageBreak/>
        <w:t>poza nasyp z zastosowaniem ścieku. Takie ukształtowanie górnej powierzchni gruntu spoistego zapobiega powstaniu potencjalnych powierzchni poślizgu w gruncie tworzącym nasyp.</w:t>
      </w:r>
    </w:p>
    <w:p w:rsidR="004F5BEB" w:rsidRPr="00FE60E3" w:rsidRDefault="004F5BEB" w:rsidP="00790883">
      <w:pPr>
        <w:numPr>
          <w:ilvl w:val="0"/>
          <w:numId w:val="43"/>
        </w:numPr>
        <w:rPr>
          <w:rFonts w:asciiTheme="minorHAnsi" w:hAnsiTheme="minorHAnsi"/>
        </w:rPr>
      </w:pPr>
      <w:r w:rsidRPr="00FE60E3">
        <w:rPr>
          <w:rFonts w:asciiTheme="minorHAnsi" w:hAnsiTheme="minorHAnsi"/>
        </w:rPr>
        <w:t>Górną warstwę nasypu, o grubości co najmniej 0,5 m należy wykonać z gruntów niewysadzinowych, o wskaźniku wodoprzepuszczalności k</w:t>
      </w:r>
      <w:r w:rsidRPr="00FE60E3">
        <w:rPr>
          <w:rFonts w:asciiTheme="minorHAnsi" w:hAnsiTheme="minorHAnsi"/>
          <w:vertAlign w:val="subscript"/>
        </w:rPr>
        <w:t xml:space="preserve">10 </w:t>
      </w:r>
      <w:r w:rsidRPr="00FE60E3">
        <w:rPr>
          <w:rFonts w:asciiTheme="minorHAnsi" w:hAnsiTheme="minorHAnsi"/>
        </w:rPr>
        <w:sym w:font="Symbol" w:char="F0B3"/>
      </w:r>
      <w:r w:rsidRPr="00FE60E3">
        <w:rPr>
          <w:rFonts w:asciiTheme="minorHAnsi" w:hAnsiTheme="minorHAnsi"/>
        </w:rPr>
        <w:t xml:space="preserve"> 5,2</w:t>
      </w:r>
      <w:r w:rsidRPr="00FE60E3">
        <w:rPr>
          <w:rFonts w:asciiTheme="minorHAnsi" w:hAnsiTheme="minorHAnsi"/>
          <w:vertAlign w:val="superscript"/>
        </w:rPr>
        <w:t xml:space="preserve"> </w:t>
      </w:r>
      <w:r w:rsidRPr="00FE60E3">
        <w:rPr>
          <w:rFonts w:asciiTheme="minorHAnsi" w:hAnsiTheme="minorHAnsi"/>
        </w:rPr>
        <w:t xml:space="preserve">m/dobę i wskaźniku różnoziarnistości U </w:t>
      </w:r>
      <w:r w:rsidRPr="00FE60E3">
        <w:rPr>
          <w:rFonts w:asciiTheme="minorHAnsi" w:hAnsiTheme="minorHAnsi"/>
        </w:rPr>
        <w:sym w:font="Symbol" w:char="F0B3"/>
      </w:r>
      <w:r w:rsidRPr="00FE60E3">
        <w:rPr>
          <w:rFonts w:asciiTheme="minorHAnsi" w:hAnsiTheme="minorHAnsi"/>
        </w:rPr>
        <w:t xml:space="preserve"> 5, kapilarności biernej H</w:t>
      </w:r>
      <w:r w:rsidRPr="00FE60E3">
        <w:rPr>
          <w:rFonts w:asciiTheme="minorHAnsi" w:hAnsiTheme="minorHAnsi"/>
          <w:vertAlign w:val="subscript"/>
        </w:rPr>
        <w:t>kb</w:t>
      </w:r>
      <w:r w:rsidRPr="00FE60E3">
        <w:rPr>
          <w:rFonts w:asciiTheme="minorHAnsi" w:hAnsiTheme="minorHAnsi"/>
        </w:rPr>
        <w:t xml:space="preserve"> ≤1,0 m, wskaźniku piaskowym WP ≥35,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 Minimalny wtórny moduł odkształcenia na górnej warstwie nasypu, po jego ewentualnym ulepszeniu nie powinien być mniejszy od 120 MPa. Zagęszczenie winno odpowiadać wymaganiom podanym w tabeli 4. </w:t>
      </w:r>
    </w:p>
    <w:p w:rsidR="004F5BEB" w:rsidRPr="00FE60E3" w:rsidRDefault="004F5BEB" w:rsidP="004F5BEB">
      <w:pPr>
        <w:ind w:left="283"/>
        <w:rPr>
          <w:rFonts w:asciiTheme="minorHAnsi" w:hAnsiTheme="minorHAnsi"/>
        </w:rPr>
      </w:pPr>
      <w:r w:rsidRPr="00FE60E3">
        <w:rPr>
          <w:rFonts w:asciiTheme="minorHAnsi" w:hAnsiTheme="minorHAnsi"/>
        </w:rPr>
        <w:t>Badania zakresie wysadzinowości należy wykonać zgodnie z Katalogiem Typowych Konstrukcji Nawierzchni w zakresie:</w:t>
      </w:r>
    </w:p>
    <w:p w:rsidR="004F5BEB" w:rsidRPr="00FE60E3" w:rsidRDefault="004F5BEB" w:rsidP="00790883">
      <w:pPr>
        <w:numPr>
          <w:ilvl w:val="0"/>
          <w:numId w:val="48"/>
        </w:numPr>
        <w:rPr>
          <w:rFonts w:asciiTheme="minorHAnsi" w:hAnsiTheme="minorHAnsi"/>
        </w:rPr>
      </w:pPr>
      <w:r w:rsidRPr="00FE60E3">
        <w:rPr>
          <w:rFonts w:asciiTheme="minorHAnsi" w:hAnsiTheme="minorHAnsi"/>
        </w:rPr>
        <w:t>opisu makroskopowego</w:t>
      </w:r>
    </w:p>
    <w:p w:rsidR="004F5BEB" w:rsidRPr="00FE60E3" w:rsidRDefault="004F5BEB" w:rsidP="00790883">
      <w:pPr>
        <w:numPr>
          <w:ilvl w:val="0"/>
          <w:numId w:val="48"/>
        </w:numPr>
        <w:rPr>
          <w:rFonts w:asciiTheme="minorHAnsi" w:hAnsiTheme="minorHAnsi"/>
        </w:rPr>
      </w:pPr>
      <w:r w:rsidRPr="00FE60E3">
        <w:rPr>
          <w:rFonts w:asciiTheme="minorHAnsi" w:hAnsiTheme="minorHAnsi"/>
        </w:rPr>
        <w:t>analizy granulometrycznej,</w:t>
      </w:r>
    </w:p>
    <w:p w:rsidR="004F5BEB" w:rsidRPr="00FE60E3" w:rsidRDefault="004F5BEB" w:rsidP="00790883">
      <w:pPr>
        <w:numPr>
          <w:ilvl w:val="0"/>
          <w:numId w:val="48"/>
        </w:numPr>
        <w:rPr>
          <w:rFonts w:asciiTheme="minorHAnsi" w:hAnsiTheme="minorHAnsi"/>
        </w:rPr>
      </w:pPr>
      <w:r w:rsidRPr="00FE60E3">
        <w:rPr>
          <w:rFonts w:asciiTheme="minorHAnsi" w:hAnsiTheme="minorHAnsi"/>
        </w:rPr>
        <w:t>oznaczenia wskaźnika piaskowego wg PN-EN 933-8:2001</w:t>
      </w:r>
    </w:p>
    <w:p w:rsidR="004F5BEB" w:rsidRPr="00FE60E3" w:rsidRDefault="004F5BEB" w:rsidP="00790883">
      <w:pPr>
        <w:numPr>
          <w:ilvl w:val="0"/>
          <w:numId w:val="48"/>
        </w:numPr>
        <w:rPr>
          <w:rFonts w:asciiTheme="minorHAnsi" w:hAnsiTheme="minorHAnsi"/>
        </w:rPr>
      </w:pPr>
      <w:r w:rsidRPr="00FE60E3">
        <w:rPr>
          <w:rFonts w:asciiTheme="minorHAnsi" w:hAnsiTheme="minorHAnsi"/>
        </w:rPr>
        <w:t>kapilarności biernej wg normy PN-B-04493:1960</w:t>
      </w:r>
    </w:p>
    <w:p w:rsidR="004F5BEB" w:rsidRPr="00FE60E3" w:rsidRDefault="004F5BEB" w:rsidP="00790883">
      <w:pPr>
        <w:numPr>
          <w:ilvl w:val="0"/>
          <w:numId w:val="43"/>
        </w:numPr>
        <w:rPr>
          <w:rFonts w:asciiTheme="minorHAnsi" w:hAnsiTheme="minorHAnsi"/>
        </w:rPr>
      </w:pPr>
      <w:r w:rsidRPr="00FE60E3">
        <w:rPr>
          <w:rFonts w:asciiTheme="minorHAnsi" w:hAnsiTheme="minorHAnsi"/>
        </w:rPr>
        <w:t>Na terenach o wysokim stanie wód gruntowych oraz na terenach zalewowych dolne warstwy nasypu, o grubości co najmniej 0,5 m powyżej najwyższego poziomu wody, należy wykonać z gruntu przepuszczalnego.</w:t>
      </w:r>
    </w:p>
    <w:p w:rsidR="004F5BEB" w:rsidRPr="00FE60E3" w:rsidRDefault="004F5BEB" w:rsidP="00790883">
      <w:pPr>
        <w:numPr>
          <w:ilvl w:val="0"/>
          <w:numId w:val="43"/>
        </w:numPr>
        <w:rPr>
          <w:rFonts w:asciiTheme="minorHAnsi" w:hAnsiTheme="minorHAnsi"/>
        </w:rPr>
      </w:pPr>
      <w:r w:rsidRPr="00FE60E3">
        <w:rPr>
          <w:rFonts w:asciiTheme="minorHAnsi" w:hAnsiTheme="minorHAnsi"/>
        </w:rPr>
        <w:t xml:space="preserve">Przy wykonywaniu nasypów z popiołów lotnych, warstwę pod popiołami, grubości 0,3 do 0,5 m, należy wykonać z gruntu lub materiałów o dużej przepuszczalności. Górnej powierzchni warstwy popiołu należy nadać spadki poprzeczne 4% </w:t>
      </w:r>
      <w:r w:rsidRPr="00FE60E3">
        <w:rPr>
          <w:rFonts w:asciiTheme="minorHAnsi" w:hAnsiTheme="minorHAnsi"/>
        </w:rPr>
        <w:sym w:font="Symbol" w:char="F0B1"/>
      </w:r>
      <w:r w:rsidRPr="00FE60E3">
        <w:rPr>
          <w:rFonts w:asciiTheme="minorHAnsi" w:hAnsiTheme="minorHAnsi"/>
        </w:rPr>
        <w:t>1% według poz. d).</w:t>
      </w:r>
    </w:p>
    <w:p w:rsidR="004F5BEB" w:rsidRPr="00FE60E3" w:rsidRDefault="004F5BEB" w:rsidP="00790883">
      <w:pPr>
        <w:numPr>
          <w:ilvl w:val="0"/>
          <w:numId w:val="43"/>
        </w:numPr>
        <w:rPr>
          <w:rFonts w:asciiTheme="minorHAnsi" w:hAnsiTheme="minorHAnsi"/>
        </w:rPr>
      </w:pPr>
      <w:r w:rsidRPr="00FE60E3">
        <w:rPr>
          <w:rFonts w:asciiTheme="minorHAnsi" w:hAnsiTheme="minorHAnsi"/>
        </w:rPr>
        <w:t>Grunt przewieziony w miejsce wbudowania powinien być bezzwłocznie wbudowany w nasyp. Inżynier może dopuścić czasowe składowanie gruntu, pod warunkiem jego zabezpieczenia przed nadmiernym zawilgoceniem.</w:t>
      </w:r>
    </w:p>
    <w:p w:rsidR="004F5BEB" w:rsidRPr="00FE60E3" w:rsidRDefault="004F5BEB" w:rsidP="004F5BEB">
      <w:pPr>
        <w:rPr>
          <w:rFonts w:asciiTheme="minorHAnsi" w:hAnsiTheme="minorHAnsi"/>
        </w:rPr>
      </w:pPr>
      <w:r w:rsidRPr="00FE60E3">
        <w:rPr>
          <w:rFonts w:asciiTheme="minorHAnsi" w:hAnsiTheme="minorHAnsi"/>
          <w:b/>
        </w:rPr>
        <w:t xml:space="preserve">5.3.3.2. </w:t>
      </w:r>
      <w:r w:rsidRPr="00FE60E3">
        <w:rPr>
          <w:rFonts w:asciiTheme="minorHAnsi" w:hAnsiTheme="minorHAnsi"/>
        </w:rPr>
        <w:t>Wykonywanie nasypów na zboczach</w:t>
      </w:r>
    </w:p>
    <w:p w:rsidR="004F5BEB" w:rsidRPr="00FE60E3" w:rsidRDefault="004F5BEB" w:rsidP="004F5BEB">
      <w:pPr>
        <w:rPr>
          <w:rFonts w:asciiTheme="minorHAnsi" w:hAnsiTheme="minorHAnsi"/>
        </w:rPr>
      </w:pPr>
      <w:r w:rsidRPr="00FE60E3">
        <w:rPr>
          <w:rFonts w:asciiTheme="minorHAnsi" w:hAnsiTheme="minorHAnsi"/>
        </w:rPr>
        <w:t>Przy budowie nasypu na zboczu o pochyłości od 1:5 do 1:2 należy zabezpieczyć nasyp przed zsuwaniem się przez wycięcie w zboczu stopni wg pktu 5.3.1.1,</w:t>
      </w:r>
    </w:p>
    <w:p w:rsidR="004F5BEB" w:rsidRPr="00FE60E3" w:rsidRDefault="004F5BEB" w:rsidP="004F5BEB">
      <w:pPr>
        <w:keepNext/>
        <w:rPr>
          <w:rFonts w:asciiTheme="minorHAnsi" w:hAnsiTheme="minorHAnsi"/>
        </w:rPr>
      </w:pPr>
      <w:r w:rsidRPr="00FE60E3">
        <w:rPr>
          <w:rFonts w:asciiTheme="minorHAnsi" w:hAnsiTheme="minorHAnsi"/>
          <w:b/>
        </w:rPr>
        <w:t xml:space="preserve">5.3.3.3. </w:t>
      </w:r>
      <w:r w:rsidRPr="00FE60E3">
        <w:rPr>
          <w:rFonts w:asciiTheme="minorHAnsi" w:hAnsiTheme="minorHAnsi"/>
        </w:rPr>
        <w:t>Poszerzenie nasypu</w:t>
      </w:r>
    </w:p>
    <w:p w:rsidR="004F5BEB" w:rsidRPr="00FE60E3" w:rsidRDefault="004F5BEB" w:rsidP="004F5BEB">
      <w:pPr>
        <w:rPr>
          <w:rFonts w:asciiTheme="minorHAnsi" w:hAnsiTheme="minorHAnsi"/>
        </w:rPr>
      </w:pPr>
      <w:r w:rsidRPr="00FE60E3">
        <w:rPr>
          <w:rFonts w:asciiTheme="minorHAnsi" w:hAnsiTheme="minorHAnsi"/>
        </w:rPr>
        <w:t xml:space="preserve">Przy poszerzeniu istniejącego nasypu należy wykonywać w jego skarpie stopnie o szerokości do 1,0 m. Spadek górnej powierzchni stopni powinien wynosić 4% </w:t>
      </w:r>
      <w:r w:rsidRPr="00FE60E3">
        <w:rPr>
          <w:rFonts w:asciiTheme="minorHAnsi" w:hAnsiTheme="minorHAnsi"/>
        </w:rPr>
        <w:sym w:font="Symbol" w:char="F0B1"/>
      </w:r>
      <w:r w:rsidRPr="00FE60E3">
        <w:rPr>
          <w:rFonts w:asciiTheme="minorHAnsi" w:hAnsiTheme="minorHAnsi"/>
        </w:rPr>
        <w:t>1% w kierunku zgodnym z pochyleniem skarpy.</w:t>
      </w:r>
    </w:p>
    <w:p w:rsidR="004F5BEB" w:rsidRPr="00FE60E3" w:rsidRDefault="004F5BEB" w:rsidP="004F5BEB">
      <w:pPr>
        <w:rPr>
          <w:rFonts w:asciiTheme="minorHAnsi" w:hAnsiTheme="minorHAnsi"/>
        </w:rPr>
      </w:pPr>
      <w:r w:rsidRPr="00FE60E3">
        <w:rPr>
          <w:rFonts w:asciiTheme="minorHAnsi" w:hAnsiTheme="minorHAnsi"/>
        </w:rPr>
        <w:t>Wycięcie stopni obowiązuje zawsze przy wykonywaniu styku dwóch przyległych części nasypu, wykonanych z gruntów o różnych właściwościach lub w różnym czasie.</w:t>
      </w:r>
    </w:p>
    <w:p w:rsidR="004F5BEB" w:rsidRPr="00FE60E3" w:rsidRDefault="004F5BEB" w:rsidP="004F5BEB">
      <w:pPr>
        <w:rPr>
          <w:rFonts w:asciiTheme="minorHAnsi" w:hAnsiTheme="minorHAnsi"/>
          <w:b/>
        </w:rPr>
      </w:pPr>
    </w:p>
    <w:p w:rsidR="004F5BEB" w:rsidRPr="00FE60E3" w:rsidRDefault="004F5BEB" w:rsidP="004F5BEB">
      <w:pPr>
        <w:rPr>
          <w:rFonts w:asciiTheme="minorHAnsi" w:hAnsiTheme="minorHAnsi"/>
          <w:b/>
        </w:rPr>
      </w:pPr>
    </w:p>
    <w:p w:rsidR="004F5BEB" w:rsidRPr="00FE60E3" w:rsidRDefault="004F5BEB" w:rsidP="004F5BEB">
      <w:pPr>
        <w:rPr>
          <w:rFonts w:asciiTheme="minorHAnsi" w:hAnsiTheme="minorHAnsi"/>
        </w:rPr>
      </w:pPr>
      <w:r w:rsidRPr="00FE60E3">
        <w:rPr>
          <w:rFonts w:asciiTheme="minorHAnsi" w:hAnsiTheme="minorHAnsi"/>
          <w:b/>
        </w:rPr>
        <w:t xml:space="preserve">5.3.3.4. </w:t>
      </w:r>
      <w:r w:rsidRPr="00FE60E3">
        <w:rPr>
          <w:rFonts w:asciiTheme="minorHAnsi" w:hAnsiTheme="minorHAnsi"/>
        </w:rPr>
        <w:t>Wykonywanie nasypów w okresie deszczów</w:t>
      </w:r>
    </w:p>
    <w:p w:rsidR="004F5BEB" w:rsidRPr="00FE60E3" w:rsidRDefault="004F5BEB" w:rsidP="004F5BEB">
      <w:pPr>
        <w:rPr>
          <w:rFonts w:asciiTheme="minorHAnsi" w:hAnsiTheme="minorHAnsi"/>
        </w:rPr>
      </w:pPr>
      <w:r w:rsidRPr="00FE60E3">
        <w:rPr>
          <w:rFonts w:asciiTheme="minorHAnsi" w:hAnsiTheme="minorHAnsi"/>
        </w:rPr>
        <w:t>Wykonywanie nasypów należy przerwać, jeżeli wilgotność gruntu przekracza wartość dopuszczalną, to znaczy jest większa od wilgotności optymalnej o więcej niż 10% jej wartości.</w:t>
      </w:r>
    </w:p>
    <w:p w:rsidR="004F5BEB" w:rsidRPr="00FE60E3" w:rsidRDefault="004F5BEB" w:rsidP="004F5BEB">
      <w:pPr>
        <w:rPr>
          <w:rFonts w:asciiTheme="minorHAnsi" w:hAnsiTheme="minorHAnsi"/>
        </w:rPr>
      </w:pPr>
      <w:r w:rsidRPr="00FE60E3">
        <w:rPr>
          <w:rFonts w:asciiTheme="minorHAnsi" w:hAnsiTheme="minorHAnsi"/>
        </w:rPr>
        <w:t>Na warstwie gruntu nadmiernie zawilgoconego nie wolno układać następnej warstwy gruntu.</w:t>
      </w:r>
    </w:p>
    <w:p w:rsidR="004F5BEB" w:rsidRPr="00FE60E3" w:rsidRDefault="004F5BEB" w:rsidP="004F5BEB">
      <w:pPr>
        <w:rPr>
          <w:rFonts w:asciiTheme="minorHAnsi" w:hAnsiTheme="minorHAnsi"/>
        </w:rPr>
      </w:pPr>
      <w:r w:rsidRPr="00FE60E3">
        <w:rPr>
          <w:rFonts w:asciiTheme="minorHAnsi" w:hAnsiTheme="minorHAnsi"/>
        </w:rPr>
        <w:t>Osuszenie można przeprowadzić w sposób mechaniczny lub chemiczny, poprzez wymieszanie z wapnem palonym albo hydratyzowanym.</w:t>
      </w:r>
    </w:p>
    <w:p w:rsidR="004F5BEB" w:rsidRPr="00FE60E3" w:rsidRDefault="004F5BEB" w:rsidP="004F5BEB">
      <w:pPr>
        <w:rPr>
          <w:rFonts w:asciiTheme="minorHAnsi" w:hAnsiTheme="minorHAnsi"/>
        </w:rPr>
      </w:pPr>
      <w:r w:rsidRPr="00FE60E3">
        <w:rPr>
          <w:rFonts w:asciiTheme="minorHAnsi" w:hAnsiTheme="minorHAnsi"/>
        </w:rPr>
        <w:t>W celu zabezpieczenia nasypu przed nadmiernym zawilgoceniem, poszczególne jego warstwy oraz korona nasypu po zakończeniu robót ziemnych powinny być równe i mieć spadki potrzebne do prawidłowego odwodnienia, według pktu 5.3.3.1, poz. d).</w:t>
      </w:r>
    </w:p>
    <w:p w:rsidR="004F5BEB" w:rsidRPr="00FE60E3" w:rsidRDefault="004F5BEB" w:rsidP="004F5BEB">
      <w:pPr>
        <w:rPr>
          <w:rFonts w:asciiTheme="minorHAnsi" w:hAnsiTheme="minorHAnsi"/>
        </w:rPr>
      </w:pPr>
      <w:r w:rsidRPr="00FE60E3">
        <w:rPr>
          <w:rFonts w:asciiTheme="minorHAnsi" w:hAnsiTheme="minorHAnsi"/>
        </w:rPr>
        <w:t>W okresie deszczowym nie należy pozostawiać nie zagęszczonej warstwy do dnia następnego. Jeżeli warstwa gruntu niezagęszczonego uległa przewilgoceniu, a Wykonawca nie jest w stanie osuszyć jej i zagęścić w czasie zaakceptowanym przez Inżyniera, to może on nakazać Wykonawcy usunięcie wadliwej warstwy.</w:t>
      </w:r>
    </w:p>
    <w:p w:rsidR="004F5BEB" w:rsidRPr="00FE60E3" w:rsidRDefault="004F5BEB" w:rsidP="004F5BEB">
      <w:pPr>
        <w:rPr>
          <w:rFonts w:asciiTheme="minorHAnsi" w:hAnsiTheme="minorHAnsi"/>
        </w:rPr>
      </w:pPr>
      <w:r w:rsidRPr="00FE60E3">
        <w:rPr>
          <w:rFonts w:asciiTheme="minorHAnsi" w:hAnsiTheme="minorHAnsi"/>
          <w:b/>
        </w:rPr>
        <w:t>5.3.3.5.</w:t>
      </w:r>
      <w:r w:rsidRPr="00FE60E3">
        <w:rPr>
          <w:rFonts w:asciiTheme="minorHAnsi" w:hAnsiTheme="minorHAnsi"/>
        </w:rPr>
        <w:t xml:space="preserve"> Wykonywanie nasypów w okresie mrozów</w:t>
      </w:r>
    </w:p>
    <w:p w:rsidR="004F5BEB" w:rsidRPr="00FE60E3" w:rsidRDefault="004F5BEB" w:rsidP="004F5BEB">
      <w:pPr>
        <w:rPr>
          <w:rFonts w:asciiTheme="minorHAnsi" w:hAnsiTheme="minorHAnsi"/>
        </w:rPr>
      </w:pPr>
      <w:r w:rsidRPr="00FE60E3">
        <w:rPr>
          <w:rFonts w:asciiTheme="minorHAnsi" w:hAnsiTheme="minorHAnsi"/>
        </w:rPr>
        <w:t>Niedopuszczalne jest wykonywanie nasypów w temperaturze, przy której nie jest możliwe osiągnięcie w nasypie wymaganego wskaźnika zagęszczenia gruntów.</w:t>
      </w:r>
    </w:p>
    <w:p w:rsidR="004F5BEB" w:rsidRPr="00FE60E3" w:rsidRDefault="004F5BEB" w:rsidP="004F5BEB">
      <w:pPr>
        <w:rPr>
          <w:rFonts w:asciiTheme="minorHAnsi" w:hAnsiTheme="minorHAnsi"/>
        </w:rPr>
      </w:pPr>
      <w:r w:rsidRPr="00FE60E3">
        <w:rPr>
          <w:rFonts w:asciiTheme="minorHAnsi" w:hAnsiTheme="minorHAnsi"/>
        </w:rPr>
        <w:t>Nie dopuszcza się wbudowania w nasyp gruntów zamarzniętych lub gruntów przemieszanych ze śniegiem lub lodem.</w:t>
      </w:r>
    </w:p>
    <w:p w:rsidR="004F5BEB" w:rsidRPr="00FE60E3" w:rsidRDefault="004F5BEB" w:rsidP="004F5BEB">
      <w:pPr>
        <w:rPr>
          <w:rFonts w:asciiTheme="minorHAnsi" w:hAnsiTheme="minorHAnsi"/>
        </w:rPr>
      </w:pPr>
      <w:r w:rsidRPr="00FE60E3">
        <w:rPr>
          <w:rFonts w:asciiTheme="minorHAnsi" w:hAnsiTheme="minorHAnsi"/>
        </w:rPr>
        <w:t>W czasie dużych opadów śniegu wykonywanie nasypów powinno być przerwane. Przed wznowieniem prac należy usunąć śnieg  z powierzchni wznoszonego nasypu.</w:t>
      </w:r>
    </w:p>
    <w:p w:rsidR="004F5BEB" w:rsidRPr="00FE60E3" w:rsidRDefault="004F5BEB" w:rsidP="004F5BEB">
      <w:pPr>
        <w:rPr>
          <w:rFonts w:asciiTheme="minorHAnsi" w:hAnsiTheme="minorHAnsi"/>
        </w:rPr>
      </w:pPr>
      <w:r w:rsidRPr="00FE60E3">
        <w:rPr>
          <w:rFonts w:asciiTheme="minorHAnsi" w:hAnsiTheme="minorHAnsi"/>
        </w:rPr>
        <w:t>Jeżeli warstwa niezagęszczonego gruntu zamarzła, to nie należy jej przed rozmarznięciem zagęszczać ani układać na niej następnych warstw.</w:t>
      </w:r>
    </w:p>
    <w:p w:rsidR="004F5BEB" w:rsidRPr="00FE60E3" w:rsidRDefault="004F5BEB" w:rsidP="004F5BEB">
      <w:pPr>
        <w:keepNext/>
        <w:rPr>
          <w:rFonts w:asciiTheme="minorHAnsi" w:hAnsiTheme="minorHAnsi"/>
        </w:rPr>
      </w:pPr>
      <w:r w:rsidRPr="00FE60E3">
        <w:rPr>
          <w:rFonts w:asciiTheme="minorHAnsi" w:hAnsiTheme="minorHAnsi"/>
          <w:b/>
        </w:rPr>
        <w:lastRenderedPageBreak/>
        <w:t xml:space="preserve">5.3.4. </w:t>
      </w:r>
      <w:r w:rsidRPr="00FE60E3">
        <w:rPr>
          <w:rFonts w:asciiTheme="minorHAnsi" w:hAnsiTheme="minorHAnsi"/>
        </w:rPr>
        <w:t>Zagęszczenie gruntu</w:t>
      </w:r>
    </w:p>
    <w:p w:rsidR="004F5BEB" w:rsidRPr="00FE60E3" w:rsidRDefault="004F5BEB" w:rsidP="004F5BEB">
      <w:pPr>
        <w:rPr>
          <w:rFonts w:asciiTheme="minorHAnsi" w:hAnsiTheme="minorHAnsi"/>
        </w:rPr>
      </w:pPr>
      <w:r w:rsidRPr="00FE60E3">
        <w:rPr>
          <w:rFonts w:asciiTheme="minorHAnsi" w:hAnsiTheme="minorHAnsi"/>
          <w:b/>
        </w:rPr>
        <w:t xml:space="preserve">5.3.4.1. </w:t>
      </w:r>
      <w:r w:rsidRPr="00FE60E3">
        <w:rPr>
          <w:rFonts w:asciiTheme="minorHAnsi" w:hAnsiTheme="minorHAnsi"/>
        </w:rPr>
        <w:t>Ogólne zasady zagęszczania gruntu</w:t>
      </w:r>
    </w:p>
    <w:p w:rsidR="004F5BEB" w:rsidRPr="00FE60E3" w:rsidRDefault="004F5BEB" w:rsidP="004F5BEB">
      <w:pPr>
        <w:rPr>
          <w:rFonts w:asciiTheme="minorHAnsi" w:hAnsiTheme="minorHAnsi"/>
        </w:rPr>
      </w:pPr>
      <w:r w:rsidRPr="00FE60E3">
        <w:rPr>
          <w:rFonts w:asciiTheme="minorHAnsi" w:hAnsiTheme="minorHAnsi"/>
        </w:rPr>
        <w:t>Każda warstwa gruntu jak najszybciej po jej rozłożeniu, powinna być zagęszczona z zastosowaniem sprzętu odpowiedniego dla danego rodzaju gruntu oraz występujących warunków.</w:t>
      </w:r>
    </w:p>
    <w:p w:rsidR="004F5BEB" w:rsidRPr="00FE60E3" w:rsidRDefault="004F5BEB" w:rsidP="004F5BEB">
      <w:pPr>
        <w:rPr>
          <w:rFonts w:asciiTheme="minorHAnsi" w:hAnsiTheme="minorHAnsi"/>
        </w:rPr>
      </w:pPr>
      <w:r w:rsidRPr="00FE60E3">
        <w:rPr>
          <w:rFonts w:asciiTheme="minorHAnsi" w:hAnsiTheme="minorHAnsi"/>
        </w:rPr>
        <w:t>Rozłożone warstwy gruntu należy zagęszczać od krawędzi nasypu w kierunku jego osi.</w:t>
      </w:r>
    </w:p>
    <w:p w:rsidR="004F5BEB" w:rsidRPr="00FE60E3" w:rsidRDefault="004F5BEB" w:rsidP="004F5BEB">
      <w:pPr>
        <w:rPr>
          <w:rFonts w:asciiTheme="minorHAnsi" w:hAnsiTheme="minorHAnsi"/>
        </w:rPr>
      </w:pPr>
      <w:r w:rsidRPr="00FE60E3">
        <w:rPr>
          <w:rFonts w:asciiTheme="minorHAnsi" w:hAnsiTheme="minorHAnsi"/>
          <w:b/>
        </w:rPr>
        <w:t xml:space="preserve">5.3.4.2. </w:t>
      </w:r>
      <w:r w:rsidRPr="00FE60E3">
        <w:rPr>
          <w:rFonts w:asciiTheme="minorHAnsi" w:hAnsiTheme="minorHAnsi"/>
        </w:rPr>
        <w:t>Grubość warstwy</w:t>
      </w:r>
    </w:p>
    <w:p w:rsidR="004F5BEB" w:rsidRPr="00FE60E3" w:rsidRDefault="004F5BEB" w:rsidP="004F5BEB">
      <w:pPr>
        <w:rPr>
          <w:rFonts w:asciiTheme="minorHAnsi" w:hAnsiTheme="minorHAnsi"/>
        </w:rPr>
      </w:pPr>
      <w:r w:rsidRPr="00FE60E3">
        <w:rPr>
          <w:rFonts w:asciiTheme="minorHAnsi" w:hAnsiTheme="minorHAnsi"/>
        </w:rPr>
        <w:t>Grubość warstwy zagęszczonego gruntu oraz liczbę przejść maszyny zagęszczającej zaleca się określić doświadczalnie dla każdego rodzaju gruntu i typu maszyny, zgodnie z zasadami podanymi w pkcie 5.3.4.5.</w:t>
      </w:r>
    </w:p>
    <w:p w:rsidR="004F5BEB" w:rsidRPr="00FE60E3" w:rsidRDefault="004F5BEB" w:rsidP="004F5BEB">
      <w:pPr>
        <w:rPr>
          <w:rFonts w:asciiTheme="minorHAnsi" w:hAnsiTheme="minorHAnsi"/>
        </w:rPr>
      </w:pPr>
      <w:r w:rsidRPr="00FE60E3">
        <w:rPr>
          <w:rFonts w:asciiTheme="minorHAnsi" w:hAnsiTheme="minorHAnsi"/>
        </w:rPr>
        <w:t>Orientacyjne wartości, dotyczące grubości warstw różnych gruntów oraz liczby przejazdów różnych maszyn do zagęszczania podano w pkcie 3.</w:t>
      </w:r>
    </w:p>
    <w:p w:rsidR="004F5BEB" w:rsidRPr="00FE60E3" w:rsidRDefault="004F5BEB" w:rsidP="004F5BEB">
      <w:pPr>
        <w:rPr>
          <w:rFonts w:asciiTheme="minorHAnsi" w:hAnsiTheme="minorHAnsi"/>
        </w:rPr>
      </w:pPr>
      <w:r w:rsidRPr="00FE60E3">
        <w:rPr>
          <w:rFonts w:asciiTheme="minorHAnsi" w:hAnsiTheme="minorHAnsi"/>
          <w:b/>
        </w:rPr>
        <w:t xml:space="preserve">5.3.4.3. </w:t>
      </w:r>
      <w:r w:rsidRPr="00FE60E3">
        <w:rPr>
          <w:rFonts w:asciiTheme="minorHAnsi" w:hAnsiTheme="minorHAnsi"/>
        </w:rPr>
        <w:t>Wilgotność gruntu</w:t>
      </w:r>
    </w:p>
    <w:p w:rsidR="004F5BEB" w:rsidRPr="00FE60E3" w:rsidRDefault="004F5BEB" w:rsidP="004F5BEB">
      <w:pPr>
        <w:rPr>
          <w:rFonts w:asciiTheme="minorHAnsi" w:hAnsiTheme="minorHAnsi"/>
        </w:rPr>
      </w:pPr>
      <w:r w:rsidRPr="00FE60E3">
        <w:rPr>
          <w:rFonts w:asciiTheme="minorHAnsi" w:hAnsiTheme="minorHAnsi"/>
        </w:rPr>
        <w:t>Wilgotność gruntu w czasie zagęszczania powinna być równa wilgotności optymalnej, z tolerancją:</w:t>
      </w:r>
    </w:p>
    <w:p w:rsidR="004F5BEB" w:rsidRPr="00FE60E3" w:rsidRDefault="004F5BEB" w:rsidP="004F5BEB">
      <w:pPr>
        <w:tabs>
          <w:tab w:val="left" w:pos="720"/>
        </w:tabs>
        <w:ind w:left="-360"/>
        <w:rPr>
          <w:rFonts w:asciiTheme="minorHAnsi" w:hAnsiTheme="minorHAnsi"/>
        </w:rPr>
      </w:pPr>
      <w:r w:rsidRPr="00FE60E3">
        <w:rPr>
          <w:rFonts w:asciiTheme="minorHAnsi" w:hAnsiTheme="minorHAnsi"/>
        </w:rPr>
        <w:tab/>
        <w:t xml:space="preserve">w gruntach niespoistych </w:t>
      </w:r>
      <w:r w:rsidRPr="00FE60E3">
        <w:rPr>
          <w:rFonts w:asciiTheme="minorHAnsi" w:hAnsiTheme="minorHAnsi"/>
        </w:rPr>
        <w:sym w:font="Symbol" w:char="F0B1"/>
      </w:r>
      <w:r w:rsidRPr="00FE60E3">
        <w:rPr>
          <w:rFonts w:asciiTheme="minorHAnsi" w:hAnsiTheme="minorHAnsi"/>
        </w:rPr>
        <w:t>2 %</w:t>
      </w:r>
    </w:p>
    <w:p w:rsidR="004F5BEB" w:rsidRPr="00FE60E3" w:rsidRDefault="004F5BEB" w:rsidP="004F5BEB">
      <w:pPr>
        <w:tabs>
          <w:tab w:val="left" w:pos="720"/>
        </w:tabs>
        <w:ind w:left="-360"/>
        <w:rPr>
          <w:rFonts w:asciiTheme="minorHAnsi" w:hAnsiTheme="minorHAnsi"/>
        </w:rPr>
      </w:pPr>
      <w:r w:rsidRPr="00FE60E3">
        <w:rPr>
          <w:rFonts w:asciiTheme="minorHAnsi" w:hAnsiTheme="minorHAnsi"/>
        </w:rPr>
        <w:tab/>
        <w:t xml:space="preserve">w gruntach mało i średnio spoistych +0 %,  </w:t>
      </w:r>
      <w:r w:rsidRPr="00FE60E3">
        <w:rPr>
          <w:rFonts w:asciiTheme="minorHAnsi" w:hAnsiTheme="minorHAnsi"/>
        </w:rPr>
        <w:sym w:font="Symbol" w:char="F02D"/>
      </w:r>
      <w:r w:rsidRPr="00FE60E3">
        <w:rPr>
          <w:rFonts w:asciiTheme="minorHAnsi" w:hAnsiTheme="minorHAnsi"/>
        </w:rPr>
        <w:t>2 %</w:t>
      </w:r>
    </w:p>
    <w:p w:rsidR="004F5BEB" w:rsidRPr="00FE60E3" w:rsidRDefault="004F5BEB" w:rsidP="004F5BEB">
      <w:pPr>
        <w:tabs>
          <w:tab w:val="left" w:pos="720"/>
        </w:tabs>
        <w:ind w:left="-360"/>
        <w:rPr>
          <w:rFonts w:asciiTheme="minorHAnsi" w:hAnsiTheme="minorHAnsi"/>
        </w:rPr>
      </w:pPr>
      <w:r w:rsidRPr="00FE60E3">
        <w:rPr>
          <w:rFonts w:asciiTheme="minorHAnsi" w:hAnsiTheme="minorHAnsi"/>
        </w:rPr>
        <w:tab/>
        <w:t xml:space="preserve">w mieszaninach popiołowo-żużlowych +2%,  </w:t>
      </w:r>
      <w:r w:rsidRPr="00FE60E3">
        <w:rPr>
          <w:rFonts w:asciiTheme="minorHAnsi" w:hAnsiTheme="minorHAnsi"/>
        </w:rPr>
        <w:sym w:font="Symbol" w:char="F02D"/>
      </w:r>
      <w:r w:rsidRPr="00FE60E3">
        <w:rPr>
          <w:rFonts w:asciiTheme="minorHAnsi" w:hAnsiTheme="minorHAnsi"/>
        </w:rPr>
        <w:t>4 %</w:t>
      </w:r>
    </w:p>
    <w:p w:rsidR="004F5BEB" w:rsidRPr="00FE60E3" w:rsidRDefault="004F5BEB" w:rsidP="004F5BEB">
      <w:pPr>
        <w:rPr>
          <w:rFonts w:asciiTheme="minorHAnsi" w:hAnsiTheme="minorHAnsi"/>
        </w:rPr>
      </w:pPr>
      <w:r w:rsidRPr="00FE60E3">
        <w:rPr>
          <w:rFonts w:asciiTheme="minorHAnsi" w:hAnsiTheme="minorHAnsi"/>
        </w:rPr>
        <w:t>Sprawdzenie wilgotności gruntu należy przeprowadzać laboratoryjnie, z częstotliwością określoną w pktach 6.3.2 i 6.3.3.</w:t>
      </w:r>
    </w:p>
    <w:p w:rsidR="004F5BEB" w:rsidRPr="00FE60E3" w:rsidRDefault="004F5BEB" w:rsidP="004F5BEB">
      <w:pPr>
        <w:keepNext/>
        <w:rPr>
          <w:rFonts w:asciiTheme="minorHAnsi" w:hAnsiTheme="minorHAnsi"/>
        </w:rPr>
      </w:pPr>
      <w:r w:rsidRPr="00FE60E3">
        <w:rPr>
          <w:rFonts w:asciiTheme="minorHAnsi" w:hAnsiTheme="minorHAnsi"/>
          <w:b/>
        </w:rPr>
        <w:t xml:space="preserve">5.3.4.4. </w:t>
      </w:r>
      <w:r w:rsidRPr="00FE60E3">
        <w:rPr>
          <w:rFonts w:asciiTheme="minorHAnsi" w:hAnsiTheme="minorHAnsi"/>
        </w:rPr>
        <w:t>Wymagania dotyczące zagęszczenia</w:t>
      </w:r>
    </w:p>
    <w:p w:rsidR="004F5BEB" w:rsidRPr="00FE60E3" w:rsidRDefault="004F5BEB" w:rsidP="004F5BEB">
      <w:pPr>
        <w:rPr>
          <w:rFonts w:asciiTheme="minorHAnsi" w:hAnsiTheme="minorHAnsi"/>
        </w:rPr>
      </w:pPr>
      <w:r w:rsidRPr="00FE60E3">
        <w:rPr>
          <w:rFonts w:asciiTheme="minorHAnsi" w:hAnsiTheme="minorHAnsi"/>
        </w:rPr>
        <w:t>W zależności od uziarnienia stosowanych materiałów, zagęszczenie warstwy należy określać za pomocą oznaczenia wskaźnika zagęszczenia lub porównania pierwotnego i wtórnego modułu odkształcenia.</w:t>
      </w:r>
    </w:p>
    <w:p w:rsidR="004F5BEB" w:rsidRPr="00FE60E3" w:rsidRDefault="004F5BEB" w:rsidP="004F5BEB">
      <w:pPr>
        <w:rPr>
          <w:rFonts w:asciiTheme="minorHAnsi" w:hAnsiTheme="minorHAnsi"/>
        </w:rPr>
      </w:pPr>
      <w:r w:rsidRPr="00FE60E3">
        <w:rPr>
          <w:rFonts w:asciiTheme="minorHAnsi" w:hAnsiTheme="minorHAnsi"/>
        </w:rPr>
        <w:t>Wskaźnik zagęszczenia gruntów w nasypach, określony według normy BN-77/8931-12, powinien na całej szerokości korpusu spełniać wymagania podane w tablicy 4. Dopuszcza się badanie dowolną metodą określoną w BN-77/8931-12</w:t>
      </w:r>
    </w:p>
    <w:p w:rsidR="004F5BEB" w:rsidRPr="00FE60E3" w:rsidRDefault="004F5BEB" w:rsidP="004F5BEB">
      <w:pPr>
        <w:rPr>
          <w:rFonts w:asciiTheme="minorHAnsi" w:hAnsiTheme="minorHAnsi"/>
        </w:rPr>
      </w:pPr>
      <w:r w:rsidRPr="00FE60E3">
        <w:rPr>
          <w:rFonts w:asciiTheme="minorHAnsi" w:hAnsiTheme="minorHAnsi"/>
        </w:rPr>
        <w:t>Tablica 4. Minimalne wartości wskaźnika zagęszczenia i wtórnego modułu odkształcenia gruntu w nasypach</w:t>
      </w:r>
    </w:p>
    <w:tbl>
      <w:tblPr>
        <w:tblW w:w="0" w:type="auto"/>
        <w:tblLayout w:type="fixed"/>
        <w:tblCellMar>
          <w:left w:w="70" w:type="dxa"/>
          <w:right w:w="70" w:type="dxa"/>
        </w:tblCellMar>
        <w:tblLook w:val="0000"/>
      </w:tblPr>
      <w:tblGrid>
        <w:gridCol w:w="4748"/>
        <w:gridCol w:w="1843"/>
      </w:tblGrid>
      <w:tr w:rsidR="004F5BEB" w:rsidRPr="00FE60E3" w:rsidTr="004F5BEB">
        <w:trPr>
          <w:trHeight w:val="960"/>
        </w:trPr>
        <w:tc>
          <w:tcPr>
            <w:tcW w:w="4748" w:type="dxa"/>
            <w:tcBorders>
              <w:top w:val="single" w:sz="4" w:space="0" w:color="auto"/>
              <w:left w:val="single" w:sz="4" w:space="0" w:color="auto"/>
              <w:bottom w:val="single" w:sz="4" w:space="0" w:color="auto"/>
              <w:right w:val="single" w:sz="4" w:space="0" w:color="auto"/>
            </w:tcBorders>
          </w:tcPr>
          <w:p w:rsidR="004F5BEB" w:rsidRPr="00FE60E3" w:rsidRDefault="004F5BEB" w:rsidP="004F5BEB">
            <w:pPr>
              <w:rPr>
                <w:rFonts w:asciiTheme="minorHAnsi" w:hAnsiTheme="minorHAnsi"/>
                <w:b/>
              </w:rPr>
            </w:pPr>
            <w:r w:rsidRPr="00FE60E3">
              <w:rPr>
                <w:rFonts w:asciiTheme="minorHAnsi" w:hAnsiTheme="minorHAnsi"/>
              </w:rPr>
              <w:t>Strefa nasypu</w:t>
            </w:r>
          </w:p>
        </w:tc>
        <w:tc>
          <w:tcPr>
            <w:tcW w:w="1843" w:type="dxa"/>
            <w:tcBorders>
              <w:top w:val="single" w:sz="4" w:space="0" w:color="auto"/>
              <w:left w:val="single" w:sz="4" w:space="0" w:color="auto"/>
              <w:bottom w:val="single" w:sz="4" w:space="0" w:color="auto"/>
              <w:right w:val="single" w:sz="4" w:space="0" w:color="auto"/>
            </w:tcBorders>
          </w:tcPr>
          <w:p w:rsidR="004F5BEB" w:rsidRPr="00FE60E3" w:rsidRDefault="004F5BEB" w:rsidP="004F5BEB">
            <w:pPr>
              <w:rPr>
                <w:rFonts w:asciiTheme="minorHAnsi" w:hAnsiTheme="minorHAnsi"/>
                <w:b/>
              </w:rPr>
            </w:pPr>
            <w:r w:rsidRPr="00FE60E3">
              <w:rPr>
                <w:rFonts w:asciiTheme="minorHAnsi" w:hAnsiTheme="minorHAnsi"/>
              </w:rPr>
              <w:t>Minimalna wartość I</w:t>
            </w:r>
            <w:r w:rsidRPr="00FE60E3">
              <w:rPr>
                <w:rFonts w:asciiTheme="minorHAnsi" w:hAnsiTheme="minorHAnsi"/>
                <w:vertAlign w:val="subscript"/>
              </w:rPr>
              <w:t>s</w:t>
            </w:r>
            <w:r w:rsidRPr="00FE60E3">
              <w:rPr>
                <w:rFonts w:asciiTheme="minorHAnsi" w:hAnsiTheme="minorHAnsi"/>
              </w:rPr>
              <w:t xml:space="preserve"> </w:t>
            </w:r>
          </w:p>
        </w:tc>
      </w:tr>
      <w:tr w:rsidR="004F5BEB" w:rsidRPr="00FE60E3" w:rsidTr="004F5BEB">
        <w:tc>
          <w:tcPr>
            <w:tcW w:w="4748" w:type="dxa"/>
            <w:tcBorders>
              <w:top w:val="single" w:sz="4" w:space="0" w:color="auto"/>
              <w:left w:val="single" w:sz="4" w:space="0" w:color="auto"/>
              <w:bottom w:val="single" w:sz="4" w:space="0" w:color="auto"/>
              <w:right w:val="single" w:sz="4" w:space="0" w:color="auto"/>
            </w:tcBorders>
          </w:tcPr>
          <w:p w:rsidR="004F5BEB" w:rsidRPr="00FE60E3" w:rsidRDefault="004F5BEB" w:rsidP="004F5BEB">
            <w:pPr>
              <w:rPr>
                <w:rFonts w:asciiTheme="minorHAnsi" w:hAnsiTheme="minorHAnsi"/>
              </w:rPr>
            </w:pPr>
            <w:r w:rsidRPr="00FE60E3">
              <w:rPr>
                <w:rFonts w:asciiTheme="minorHAnsi" w:hAnsiTheme="minorHAnsi"/>
              </w:rPr>
              <w:t>Górna warstwa o grubości 20 cm</w:t>
            </w:r>
          </w:p>
        </w:tc>
        <w:tc>
          <w:tcPr>
            <w:tcW w:w="1843" w:type="dxa"/>
            <w:tcBorders>
              <w:top w:val="single" w:sz="4" w:space="0" w:color="auto"/>
              <w:left w:val="single" w:sz="4" w:space="0" w:color="auto"/>
              <w:bottom w:val="single" w:sz="4" w:space="0" w:color="auto"/>
              <w:right w:val="single" w:sz="4" w:space="0" w:color="auto"/>
            </w:tcBorders>
          </w:tcPr>
          <w:p w:rsidR="004F5BEB" w:rsidRPr="00FE60E3" w:rsidRDefault="004F5BEB" w:rsidP="000D4846">
            <w:pPr>
              <w:jc w:val="right"/>
              <w:rPr>
                <w:rFonts w:asciiTheme="minorHAnsi" w:hAnsiTheme="minorHAnsi"/>
              </w:rPr>
            </w:pPr>
            <w:r w:rsidRPr="00FE60E3">
              <w:rPr>
                <w:rFonts w:asciiTheme="minorHAnsi" w:hAnsiTheme="minorHAnsi"/>
              </w:rPr>
              <w:t>1,0</w:t>
            </w:r>
            <w:r w:rsidR="000D4846">
              <w:rPr>
                <w:rFonts w:asciiTheme="minorHAnsi" w:hAnsiTheme="minorHAnsi"/>
              </w:rPr>
              <w:t>0</w:t>
            </w:r>
          </w:p>
        </w:tc>
      </w:tr>
      <w:tr w:rsidR="004F5BEB" w:rsidRPr="00FE60E3" w:rsidTr="004F5BEB">
        <w:tc>
          <w:tcPr>
            <w:tcW w:w="4748" w:type="dxa"/>
            <w:tcBorders>
              <w:top w:val="single" w:sz="4" w:space="0" w:color="auto"/>
              <w:left w:val="single" w:sz="4" w:space="0" w:color="auto"/>
              <w:bottom w:val="single" w:sz="4" w:space="0" w:color="auto"/>
              <w:right w:val="single" w:sz="4" w:space="0" w:color="auto"/>
            </w:tcBorders>
          </w:tcPr>
          <w:p w:rsidR="004F5BEB" w:rsidRPr="00FE60E3" w:rsidRDefault="004F5BEB" w:rsidP="004F5BEB">
            <w:pPr>
              <w:pStyle w:val="Stopka"/>
              <w:tabs>
                <w:tab w:val="clear" w:pos="4536"/>
                <w:tab w:val="clear" w:pos="9072"/>
              </w:tabs>
              <w:rPr>
                <w:rFonts w:asciiTheme="minorHAnsi" w:hAnsiTheme="minorHAnsi"/>
              </w:rPr>
            </w:pPr>
            <w:r w:rsidRPr="00FE60E3">
              <w:rPr>
                <w:rFonts w:asciiTheme="minorHAnsi" w:hAnsiTheme="minorHAnsi"/>
              </w:rPr>
              <w:t>Niżej leżące warstwy nasypu do głębokości</w:t>
            </w:r>
          </w:p>
          <w:p w:rsidR="004F5BEB" w:rsidRPr="00FE60E3" w:rsidRDefault="004F5BEB" w:rsidP="004F5BEB">
            <w:pPr>
              <w:rPr>
                <w:rFonts w:asciiTheme="minorHAnsi" w:hAnsiTheme="minorHAnsi"/>
              </w:rPr>
            </w:pPr>
            <w:r w:rsidRPr="00FE60E3">
              <w:rPr>
                <w:rFonts w:asciiTheme="minorHAnsi" w:hAnsiTheme="minorHAnsi"/>
              </w:rPr>
              <w:t>od powierzchni robót ziemnych 0,2 do 1,2 m</w:t>
            </w:r>
          </w:p>
        </w:tc>
        <w:tc>
          <w:tcPr>
            <w:tcW w:w="1843" w:type="dxa"/>
            <w:tcBorders>
              <w:top w:val="single" w:sz="4" w:space="0" w:color="auto"/>
              <w:left w:val="single" w:sz="4" w:space="0" w:color="auto"/>
              <w:bottom w:val="single" w:sz="4" w:space="0" w:color="auto"/>
              <w:right w:val="single" w:sz="4" w:space="0" w:color="auto"/>
            </w:tcBorders>
          </w:tcPr>
          <w:p w:rsidR="004F5BEB" w:rsidRPr="00FE60E3" w:rsidRDefault="004F5BEB" w:rsidP="004F5BEB">
            <w:pPr>
              <w:jc w:val="right"/>
              <w:rPr>
                <w:rFonts w:asciiTheme="minorHAnsi" w:hAnsiTheme="minorHAnsi"/>
              </w:rPr>
            </w:pPr>
          </w:p>
          <w:p w:rsidR="004F5BEB" w:rsidRPr="00FE60E3" w:rsidRDefault="004F5BEB" w:rsidP="004F5BEB">
            <w:pPr>
              <w:jc w:val="right"/>
              <w:rPr>
                <w:rFonts w:asciiTheme="minorHAnsi" w:hAnsiTheme="minorHAnsi"/>
              </w:rPr>
            </w:pPr>
            <w:r w:rsidRPr="00FE60E3">
              <w:rPr>
                <w:rFonts w:asciiTheme="minorHAnsi" w:hAnsiTheme="minorHAnsi"/>
              </w:rPr>
              <w:t>1,00</w:t>
            </w:r>
          </w:p>
        </w:tc>
      </w:tr>
      <w:tr w:rsidR="004F5BEB" w:rsidRPr="00FE60E3" w:rsidTr="004F5BEB">
        <w:tc>
          <w:tcPr>
            <w:tcW w:w="4748" w:type="dxa"/>
            <w:tcBorders>
              <w:top w:val="single" w:sz="4" w:space="0" w:color="auto"/>
              <w:left w:val="single" w:sz="6" w:space="0" w:color="auto"/>
              <w:bottom w:val="single" w:sz="4" w:space="0" w:color="auto"/>
              <w:right w:val="single" w:sz="6" w:space="0" w:color="auto"/>
            </w:tcBorders>
          </w:tcPr>
          <w:p w:rsidR="004F5BEB" w:rsidRPr="00FE60E3" w:rsidRDefault="004F5BEB" w:rsidP="004F5BEB">
            <w:pPr>
              <w:pStyle w:val="Stopka"/>
              <w:tabs>
                <w:tab w:val="clear" w:pos="4536"/>
                <w:tab w:val="clear" w:pos="9072"/>
              </w:tabs>
              <w:rPr>
                <w:rFonts w:asciiTheme="minorHAnsi" w:hAnsiTheme="minorHAnsi"/>
              </w:rPr>
            </w:pPr>
            <w:r w:rsidRPr="00FE60E3">
              <w:rPr>
                <w:rFonts w:asciiTheme="minorHAnsi" w:hAnsiTheme="minorHAnsi"/>
              </w:rPr>
              <w:t>Warstwy nasypu na głębokości od powierzchni robót ziemnych poniżej 1,2 m</w:t>
            </w:r>
          </w:p>
        </w:tc>
        <w:tc>
          <w:tcPr>
            <w:tcW w:w="1843" w:type="dxa"/>
            <w:tcBorders>
              <w:top w:val="single" w:sz="4" w:space="0" w:color="auto"/>
              <w:left w:val="single" w:sz="6" w:space="0" w:color="auto"/>
              <w:bottom w:val="single" w:sz="4" w:space="0" w:color="auto"/>
              <w:right w:val="single" w:sz="6" w:space="0" w:color="auto"/>
            </w:tcBorders>
          </w:tcPr>
          <w:p w:rsidR="004F5BEB" w:rsidRPr="00FE60E3" w:rsidRDefault="004F5BEB" w:rsidP="004F5BEB">
            <w:pPr>
              <w:jc w:val="right"/>
              <w:rPr>
                <w:rFonts w:asciiTheme="minorHAnsi" w:hAnsiTheme="minorHAnsi"/>
              </w:rPr>
            </w:pPr>
          </w:p>
          <w:p w:rsidR="004F5BEB" w:rsidRPr="00FE60E3" w:rsidRDefault="004F5BEB" w:rsidP="004F5BEB">
            <w:pPr>
              <w:jc w:val="right"/>
              <w:rPr>
                <w:rFonts w:asciiTheme="minorHAnsi" w:hAnsiTheme="minorHAnsi"/>
              </w:rPr>
            </w:pPr>
            <w:r w:rsidRPr="00FE60E3">
              <w:rPr>
                <w:rFonts w:asciiTheme="minorHAnsi" w:hAnsiTheme="minorHAnsi"/>
              </w:rPr>
              <w:t>0,97</w:t>
            </w:r>
          </w:p>
        </w:tc>
      </w:tr>
      <w:tr w:rsidR="004F5BEB" w:rsidRPr="00FE60E3" w:rsidTr="004F5BEB">
        <w:tc>
          <w:tcPr>
            <w:tcW w:w="4748" w:type="dxa"/>
            <w:tcBorders>
              <w:top w:val="single" w:sz="4" w:space="0" w:color="auto"/>
              <w:left w:val="single" w:sz="6" w:space="0" w:color="auto"/>
              <w:bottom w:val="single" w:sz="6" w:space="0" w:color="auto"/>
              <w:right w:val="single" w:sz="6" w:space="0" w:color="auto"/>
            </w:tcBorders>
          </w:tcPr>
          <w:p w:rsidR="004F5BEB" w:rsidRPr="00FE60E3" w:rsidRDefault="004F5BEB" w:rsidP="004F5BEB">
            <w:pPr>
              <w:pStyle w:val="Stopka"/>
              <w:tabs>
                <w:tab w:val="clear" w:pos="4536"/>
                <w:tab w:val="clear" w:pos="9072"/>
              </w:tabs>
              <w:rPr>
                <w:rFonts w:asciiTheme="minorHAnsi" w:hAnsiTheme="minorHAnsi"/>
              </w:rPr>
            </w:pPr>
            <w:r w:rsidRPr="00FE60E3">
              <w:rPr>
                <w:rFonts w:asciiTheme="minorHAnsi" w:hAnsiTheme="minorHAnsi"/>
              </w:rPr>
              <w:t>Skarpy nasypu</w:t>
            </w:r>
          </w:p>
        </w:tc>
        <w:tc>
          <w:tcPr>
            <w:tcW w:w="1843" w:type="dxa"/>
            <w:tcBorders>
              <w:top w:val="single" w:sz="4" w:space="0" w:color="auto"/>
              <w:left w:val="single" w:sz="6" w:space="0" w:color="auto"/>
              <w:bottom w:val="single" w:sz="6" w:space="0" w:color="auto"/>
              <w:right w:val="single" w:sz="6" w:space="0" w:color="auto"/>
            </w:tcBorders>
          </w:tcPr>
          <w:p w:rsidR="004F5BEB" w:rsidRPr="00FE60E3" w:rsidRDefault="004F5BEB" w:rsidP="004F5BEB">
            <w:pPr>
              <w:jc w:val="right"/>
              <w:rPr>
                <w:rFonts w:asciiTheme="minorHAnsi" w:hAnsiTheme="minorHAnsi"/>
              </w:rPr>
            </w:pPr>
            <w:r w:rsidRPr="00FE60E3">
              <w:rPr>
                <w:rFonts w:asciiTheme="minorHAnsi" w:hAnsiTheme="minorHAnsi"/>
              </w:rPr>
              <w:t>0,95</w:t>
            </w:r>
          </w:p>
        </w:tc>
      </w:tr>
    </w:tbl>
    <w:p w:rsidR="004F5BEB" w:rsidRPr="00FE60E3" w:rsidRDefault="004F5BEB" w:rsidP="004F5BEB">
      <w:pPr>
        <w:rPr>
          <w:rFonts w:asciiTheme="minorHAnsi" w:hAnsiTheme="minorHAnsi"/>
        </w:rPr>
      </w:pPr>
    </w:p>
    <w:p w:rsidR="004F5BEB" w:rsidRPr="00FE60E3" w:rsidRDefault="004F5BEB" w:rsidP="004F5BEB">
      <w:pPr>
        <w:rPr>
          <w:rFonts w:asciiTheme="minorHAnsi" w:hAnsiTheme="minorHAnsi"/>
        </w:rPr>
      </w:pPr>
      <w:r w:rsidRPr="00FE60E3">
        <w:rPr>
          <w:rFonts w:asciiTheme="minorHAnsi" w:hAnsiTheme="minorHAnsi"/>
        </w:rPr>
        <w:t>Jako zastępcze kryterium oceny wymaganego zagęszczenia gruntów, dla których trudne jest pomierzenie wskaźnika zagęszczenia, przyjmuje się wartość wskaźnika odkształcenia I</w:t>
      </w:r>
      <w:r w:rsidRPr="00FE60E3">
        <w:rPr>
          <w:rFonts w:asciiTheme="minorHAnsi" w:hAnsiTheme="minorHAnsi"/>
          <w:vertAlign w:val="subscript"/>
        </w:rPr>
        <w:t>0</w:t>
      </w:r>
      <w:r w:rsidRPr="00FE60E3">
        <w:rPr>
          <w:rFonts w:asciiTheme="minorHAnsi" w:hAnsiTheme="minorHAnsi"/>
        </w:rPr>
        <w:t xml:space="preserve"> określonego zgodnie z normą PN-S-02205:1998.</w:t>
      </w:r>
    </w:p>
    <w:p w:rsidR="004F5BEB" w:rsidRPr="00FE60E3" w:rsidRDefault="004F5BEB" w:rsidP="004F5BEB">
      <w:pPr>
        <w:rPr>
          <w:rFonts w:asciiTheme="minorHAnsi" w:hAnsiTheme="minorHAnsi"/>
        </w:rPr>
      </w:pPr>
      <w:r w:rsidRPr="00FE60E3">
        <w:rPr>
          <w:rFonts w:asciiTheme="minorHAnsi" w:hAnsiTheme="minorHAnsi"/>
        </w:rPr>
        <w:t>Wskaźnik odkształcenia nie powinien być większy niż:</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dla żwirów, pospółek i piasków</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2,2 przy wymaganej wartości I</w:t>
      </w:r>
      <w:r w:rsidRPr="00FE60E3">
        <w:rPr>
          <w:rFonts w:asciiTheme="minorHAnsi" w:hAnsiTheme="minorHAnsi"/>
          <w:vertAlign w:val="subscript"/>
        </w:rPr>
        <w:t xml:space="preserve">s </w:t>
      </w:r>
      <w:r w:rsidRPr="00FE60E3">
        <w:rPr>
          <w:rFonts w:asciiTheme="minorHAnsi" w:hAnsiTheme="minorHAnsi"/>
        </w:rPr>
        <w:sym w:font="Symbol" w:char="F0B3"/>
      </w:r>
      <w:r w:rsidRPr="00FE60E3">
        <w:rPr>
          <w:rFonts w:asciiTheme="minorHAnsi" w:hAnsiTheme="minorHAnsi"/>
        </w:rPr>
        <w:t>1,0,</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2,5 przy wymaganej wartości I</w:t>
      </w:r>
      <w:r w:rsidRPr="00FE60E3">
        <w:rPr>
          <w:rFonts w:asciiTheme="minorHAnsi" w:hAnsiTheme="minorHAnsi"/>
          <w:vertAlign w:val="subscript"/>
        </w:rPr>
        <w:t xml:space="preserve">s </w:t>
      </w:r>
      <w:r w:rsidRPr="00FE60E3">
        <w:rPr>
          <w:rFonts w:asciiTheme="minorHAnsi" w:hAnsiTheme="minorHAnsi"/>
        </w:rPr>
        <w:sym w:font="Symbol" w:char="F03C"/>
      </w:r>
      <w:r w:rsidRPr="00FE60E3">
        <w:rPr>
          <w:rFonts w:asciiTheme="minorHAnsi" w:hAnsiTheme="minorHAnsi"/>
        </w:rPr>
        <w:t>1,0,</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dla gruntów drobnoziarnistych o równomiernym uziarnieniu (pyłów, glin pylastych, glin zwięzłych, iłów – 2,0,</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dla gruntów różnoziarnistych (żwirów gliniastych, pospółek gliniastych, pyłów piaszczystych, piasków gliniastych, glin piaszczystych, glin piaszczystych zwięzłych) – 3,0,</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dla narzutów kamiennych, rumoszy – 4,</w:t>
      </w:r>
    </w:p>
    <w:p w:rsidR="004F5BEB" w:rsidRPr="00FE60E3" w:rsidRDefault="004F5BEB" w:rsidP="00790883">
      <w:pPr>
        <w:numPr>
          <w:ilvl w:val="0"/>
          <w:numId w:val="47"/>
        </w:numPr>
        <w:tabs>
          <w:tab w:val="left" w:pos="720"/>
        </w:tabs>
        <w:rPr>
          <w:rFonts w:asciiTheme="minorHAnsi" w:hAnsiTheme="minorHAnsi"/>
        </w:rPr>
      </w:pPr>
      <w:r w:rsidRPr="00FE60E3">
        <w:rPr>
          <w:rFonts w:asciiTheme="minorHAnsi" w:hAnsiTheme="minorHAnsi"/>
        </w:rPr>
        <w:t>dla gruntów antropogenicznych – na podstawie badań poligonowych.</w:t>
      </w:r>
    </w:p>
    <w:p w:rsidR="004F5BEB" w:rsidRPr="00FE60E3" w:rsidRDefault="004F5BEB" w:rsidP="004F5BEB">
      <w:pPr>
        <w:rPr>
          <w:rFonts w:asciiTheme="minorHAnsi" w:hAnsiTheme="minorHAnsi"/>
        </w:rPr>
      </w:pPr>
      <w:r w:rsidRPr="00FE60E3">
        <w:rPr>
          <w:rFonts w:asciiTheme="minorHAnsi" w:hAnsiTheme="minorHAnsi"/>
        </w:rPr>
        <w:t>Za zgodą Inżyniera dopuszcza się prowadzenie badań przy zastosowaniu metod alternatywnych – w szczególności lekkiej płyty dynamicznej ZFG-02 lub lekkiej sondy wbijanej SD-10 zgodnie z Instrukcją Badań Podłoża Gruntowego Budowli Mostowych i Drogowych Część 2 Załącznik, Warszawa 1998. Korelacji pomiędzy wynikami uzyskanymi przy pomocy metod alternatywnych, a wymaganiami niniejszej SST należy dokonać zgodnie z instrukcjami producentów urządzeń alternatywnych</w:t>
      </w:r>
    </w:p>
    <w:p w:rsidR="004F5BEB" w:rsidRPr="00FE60E3" w:rsidRDefault="004F5BEB" w:rsidP="004F5BEB">
      <w:pPr>
        <w:rPr>
          <w:rFonts w:asciiTheme="minorHAnsi" w:hAnsiTheme="minorHAnsi"/>
        </w:rPr>
      </w:pPr>
      <w:r w:rsidRPr="00FE60E3">
        <w:rPr>
          <w:rFonts w:asciiTheme="minorHAnsi" w:hAnsiTheme="minorHAnsi"/>
        </w:rPr>
        <w:lastRenderedPageBreak/>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4F5BEB" w:rsidRPr="00FE60E3" w:rsidRDefault="004F5BEB" w:rsidP="004F5BEB">
      <w:pPr>
        <w:rPr>
          <w:rFonts w:asciiTheme="minorHAnsi" w:hAnsiTheme="minorHAnsi"/>
        </w:rPr>
      </w:pPr>
      <w:r w:rsidRPr="00FE60E3">
        <w:rPr>
          <w:rFonts w:asciiTheme="minorHAnsi" w:hAnsiTheme="minorHAnsi"/>
          <w:b/>
        </w:rPr>
        <w:t xml:space="preserve">5.3.4.5. </w:t>
      </w:r>
      <w:r w:rsidRPr="00FE60E3">
        <w:rPr>
          <w:rFonts w:asciiTheme="minorHAnsi" w:hAnsiTheme="minorHAnsi"/>
        </w:rPr>
        <w:t>Próbne zagęszczenie</w:t>
      </w:r>
    </w:p>
    <w:p w:rsidR="004F5BEB" w:rsidRPr="00FE60E3" w:rsidRDefault="004F5BEB" w:rsidP="004F5BEB">
      <w:pPr>
        <w:rPr>
          <w:rFonts w:asciiTheme="minorHAnsi" w:hAnsiTheme="minorHAnsi"/>
        </w:rPr>
      </w:pPr>
      <w:r w:rsidRPr="00FE60E3">
        <w:rPr>
          <w:rFonts w:asciiTheme="minorHAnsi" w:hAnsiTheme="minorHAnsi"/>
        </w:rPr>
        <w:t>Odcinek doświadczalny dla próbnego zagęszczenia gruntu o minimalnej powierzchni 300 m</w:t>
      </w:r>
      <w:r w:rsidRPr="00FE60E3">
        <w:rPr>
          <w:rFonts w:asciiTheme="minorHAnsi" w:hAnsiTheme="minorHAnsi"/>
          <w:vertAlign w:val="superscript"/>
        </w:rPr>
        <w:t>2</w:t>
      </w:r>
      <w:r w:rsidRPr="00FE60E3">
        <w:rPr>
          <w:rFonts w:asciiTheme="minorHAnsi" w:hAnsiTheme="minorHAnsi"/>
        </w:rPr>
        <w:t>, powinien być wykonane na terenie oczyszczonym z gleby, na którym układa się grunt czterema pasmami o szerokości od 3,5</w:t>
      </w:r>
      <w:r w:rsidRPr="00FE60E3">
        <w:rPr>
          <w:rFonts w:asciiTheme="minorHAnsi" w:hAnsiTheme="minorHAnsi"/>
          <w:b/>
        </w:rPr>
        <w:t xml:space="preserve"> </w:t>
      </w:r>
      <w:r w:rsidRPr="00FE60E3">
        <w:rPr>
          <w:rFonts w:asciiTheme="minorHAnsi" w:hAnsiTheme="minorHAnsi"/>
        </w:rPr>
        <w:t>do</w:t>
      </w:r>
      <w:r w:rsidRPr="00FE60E3">
        <w:rPr>
          <w:rFonts w:asciiTheme="minorHAnsi" w:hAnsiTheme="minorHAnsi"/>
          <w:b/>
        </w:rPr>
        <w:t xml:space="preserve"> </w:t>
      </w:r>
      <w:r w:rsidRPr="00FE60E3">
        <w:rPr>
          <w:rFonts w:asciiTheme="minorHAnsi" w:hAnsiTheme="minorHAnsi"/>
        </w:rPr>
        <w:t>4,5 m każde. Poszczególne  warstwy układanego gruntu powinny mieć w każdym pasie inną grubość z tym, że wszystkie muszą mieścić się w granicach właściwych dla danego sprzętu zagęszczającego. Wilgotność gruntu powinna być równa optymalnej z tolerancją podaną w pkcie 5.3.4.3. Grunt ułożony na poletku według podanej wyżej zasady powinien być następnie zagęszczony, a po każdej serii przejść maszyny należy określić wskaźniki zagęszczenia,  dopuszczając stosowanie innych, szybkich metod pomiaru (sonda izotopowa, ugięciomierz udarowy po ich skalibrowaniu w warunkach terenowych).</w:t>
      </w:r>
    </w:p>
    <w:p w:rsidR="004F5BEB" w:rsidRPr="00FE60E3" w:rsidRDefault="004F5BEB" w:rsidP="004F5BEB">
      <w:pPr>
        <w:rPr>
          <w:rFonts w:asciiTheme="minorHAnsi" w:hAnsiTheme="minorHAnsi"/>
        </w:rPr>
      </w:pPr>
      <w:r w:rsidRPr="00FE60E3">
        <w:rPr>
          <w:rFonts w:asciiTheme="minorHAnsi" w:hAnsiTheme="minorHAnsi"/>
        </w:rPr>
        <w:t>Oznaczenie wskaźnika zagęszczenia należy wykonać co najmniej w 4 punktach, z których co najmniej 2 powinny umożliwić ustalenie wskaźnika zagęszczenia w dolnej części warstwy. Na podstawie porównania uzyskanych wyników zagęszczenia z wymaganiami podanymi w pkcie 5.3.4.4 dokonuje się wyboru sprzętu i ustala się potrzebną liczbę przejść oraz grubość warstwy rozkładanego gruntu.</w:t>
      </w:r>
    </w:p>
    <w:p w:rsidR="004F5BEB" w:rsidRPr="00FE60E3" w:rsidRDefault="004F5BEB" w:rsidP="004F5BEB">
      <w:pPr>
        <w:pStyle w:val="Nagwek3"/>
        <w:rPr>
          <w:rFonts w:asciiTheme="minorHAnsi" w:hAnsiTheme="minorHAnsi"/>
        </w:rPr>
      </w:pPr>
      <w:bookmarkStart w:id="317" w:name="_Toc406295866"/>
      <w:bookmarkStart w:id="318" w:name="_Toc407161286"/>
      <w:bookmarkStart w:id="319" w:name="_Toc418994950"/>
      <w:bookmarkStart w:id="320" w:name="_Toc418996357"/>
      <w:bookmarkStart w:id="321" w:name="_Toc418996726"/>
      <w:bookmarkStart w:id="322" w:name="_Toc418997113"/>
      <w:bookmarkStart w:id="323" w:name="_Toc418998523"/>
      <w:bookmarkStart w:id="324" w:name="_Toc418998879"/>
      <w:bookmarkStart w:id="325" w:name="_Toc419000124"/>
      <w:r w:rsidRPr="00FE60E3">
        <w:rPr>
          <w:rFonts w:asciiTheme="minorHAnsi" w:hAnsiTheme="minorHAnsi"/>
        </w:rPr>
        <w:t>6. KONTROLA JAKOŚCI ROBÓT</w:t>
      </w:r>
      <w:bookmarkEnd w:id="317"/>
      <w:bookmarkEnd w:id="318"/>
      <w:bookmarkEnd w:id="319"/>
      <w:bookmarkEnd w:id="320"/>
      <w:bookmarkEnd w:id="321"/>
      <w:bookmarkEnd w:id="322"/>
      <w:bookmarkEnd w:id="323"/>
      <w:bookmarkEnd w:id="324"/>
      <w:bookmarkEnd w:id="325"/>
    </w:p>
    <w:p w:rsidR="004F5BEB" w:rsidRPr="00FE60E3" w:rsidRDefault="004F5BEB" w:rsidP="004F5BEB">
      <w:pPr>
        <w:pStyle w:val="Nagwek4"/>
        <w:rPr>
          <w:rFonts w:asciiTheme="minorHAnsi" w:hAnsiTheme="minorHAnsi"/>
        </w:rPr>
      </w:pPr>
      <w:bookmarkStart w:id="326" w:name="_Toc406295867"/>
      <w:bookmarkStart w:id="327" w:name="_Toc407161287"/>
      <w:r w:rsidRPr="00FE60E3">
        <w:rPr>
          <w:rFonts w:asciiTheme="minorHAnsi" w:hAnsiTheme="minorHAnsi"/>
        </w:rPr>
        <w:t>6.1. Ogólne zasady kontroli jakości robót</w:t>
      </w:r>
      <w:bookmarkEnd w:id="326"/>
      <w:bookmarkEnd w:id="327"/>
    </w:p>
    <w:p w:rsidR="004F5BEB" w:rsidRPr="00FE60E3" w:rsidRDefault="004F5BEB" w:rsidP="004F5BEB">
      <w:pPr>
        <w:rPr>
          <w:rFonts w:asciiTheme="minorHAnsi" w:hAnsiTheme="minorHAnsi"/>
        </w:rPr>
      </w:pPr>
      <w:r w:rsidRPr="00FE60E3">
        <w:rPr>
          <w:rFonts w:asciiTheme="minorHAnsi" w:hAnsiTheme="minorHAnsi"/>
        </w:rPr>
        <w:t>Ogólne zasady kontroli jakości robót podano w STWiORB D-M-00.00.00 pkt 6.</w:t>
      </w:r>
    </w:p>
    <w:p w:rsidR="004F5BEB" w:rsidRPr="00FE60E3" w:rsidRDefault="004F5BEB" w:rsidP="004F5BEB">
      <w:pPr>
        <w:pStyle w:val="Nagwek4"/>
        <w:rPr>
          <w:rFonts w:asciiTheme="minorHAnsi" w:hAnsiTheme="minorHAnsi"/>
        </w:rPr>
      </w:pPr>
      <w:bookmarkStart w:id="328" w:name="_Toc406295868"/>
      <w:bookmarkStart w:id="329" w:name="_Toc407161288"/>
      <w:r w:rsidRPr="00FE60E3">
        <w:rPr>
          <w:rFonts w:asciiTheme="minorHAnsi" w:hAnsiTheme="minorHAnsi"/>
        </w:rPr>
        <w:t>6.2. Sprawdzenie wykonania ukopu i dokopu</w:t>
      </w:r>
      <w:bookmarkEnd w:id="328"/>
      <w:bookmarkEnd w:id="329"/>
    </w:p>
    <w:p w:rsidR="004F5BEB" w:rsidRPr="00FE60E3" w:rsidRDefault="004F5BEB" w:rsidP="004F5BEB">
      <w:pPr>
        <w:rPr>
          <w:rFonts w:asciiTheme="minorHAnsi" w:hAnsiTheme="minorHAnsi"/>
        </w:rPr>
      </w:pPr>
      <w:r w:rsidRPr="00FE60E3">
        <w:rPr>
          <w:rFonts w:asciiTheme="minorHAnsi" w:hAnsiTheme="minorHAnsi"/>
        </w:rPr>
        <w:t>Sprawdzenie wykonania ukopu i dokopu polega na kontrolowaniu zgodności z wymaganiami określonymi w pkcie 5.2 niniejszej specyfikacji oraz w dokumentacji projektowej i STWiORB. W czasie kontroli należy zwrócić szczególną uwagę na sprawdzenie:</w:t>
      </w:r>
    </w:p>
    <w:p w:rsidR="004F5BEB" w:rsidRPr="00FE60E3" w:rsidRDefault="004F5BEB" w:rsidP="00790883">
      <w:pPr>
        <w:numPr>
          <w:ilvl w:val="0"/>
          <w:numId w:val="44"/>
        </w:numPr>
        <w:rPr>
          <w:rFonts w:asciiTheme="minorHAnsi" w:hAnsiTheme="minorHAnsi"/>
        </w:rPr>
      </w:pPr>
      <w:r w:rsidRPr="00FE60E3">
        <w:rPr>
          <w:rFonts w:asciiTheme="minorHAnsi" w:hAnsiTheme="minorHAnsi"/>
        </w:rPr>
        <w:t>zgodności rodzaju gruntu z określonym w dokumentacji projektowej i SST,</w:t>
      </w:r>
    </w:p>
    <w:p w:rsidR="004F5BEB" w:rsidRPr="00FE60E3" w:rsidRDefault="004F5BEB" w:rsidP="00790883">
      <w:pPr>
        <w:numPr>
          <w:ilvl w:val="0"/>
          <w:numId w:val="44"/>
        </w:numPr>
        <w:rPr>
          <w:rFonts w:asciiTheme="minorHAnsi" w:hAnsiTheme="minorHAnsi"/>
        </w:rPr>
      </w:pPr>
      <w:r w:rsidRPr="00FE60E3">
        <w:rPr>
          <w:rFonts w:asciiTheme="minorHAnsi" w:hAnsiTheme="minorHAnsi"/>
        </w:rPr>
        <w:t>zachowania kształtu zboczy, zapewniającego ich stateczność,</w:t>
      </w:r>
    </w:p>
    <w:p w:rsidR="004F5BEB" w:rsidRPr="00FE60E3" w:rsidRDefault="004F5BEB" w:rsidP="00790883">
      <w:pPr>
        <w:numPr>
          <w:ilvl w:val="0"/>
          <w:numId w:val="44"/>
        </w:numPr>
        <w:rPr>
          <w:rFonts w:asciiTheme="minorHAnsi" w:hAnsiTheme="minorHAnsi"/>
        </w:rPr>
      </w:pPr>
      <w:r w:rsidRPr="00FE60E3">
        <w:rPr>
          <w:rFonts w:asciiTheme="minorHAnsi" w:hAnsiTheme="minorHAnsi"/>
        </w:rPr>
        <w:t>odwodnienia,</w:t>
      </w:r>
    </w:p>
    <w:p w:rsidR="004F5BEB" w:rsidRPr="00FE60E3" w:rsidRDefault="004F5BEB" w:rsidP="00790883">
      <w:pPr>
        <w:numPr>
          <w:ilvl w:val="0"/>
          <w:numId w:val="44"/>
        </w:numPr>
        <w:rPr>
          <w:rFonts w:asciiTheme="minorHAnsi" w:hAnsiTheme="minorHAnsi"/>
        </w:rPr>
      </w:pPr>
      <w:r w:rsidRPr="00FE60E3">
        <w:rPr>
          <w:rFonts w:asciiTheme="minorHAnsi" w:hAnsiTheme="minorHAnsi"/>
        </w:rPr>
        <w:t>zagospodarowania (rekultywacji) terenu po zakończeniu eksploatacji ukopu.</w:t>
      </w:r>
    </w:p>
    <w:p w:rsidR="004F5BEB" w:rsidRPr="00FE60E3" w:rsidRDefault="004F5BEB" w:rsidP="004F5BEB">
      <w:pPr>
        <w:pStyle w:val="Nagwek4"/>
        <w:rPr>
          <w:rFonts w:asciiTheme="minorHAnsi" w:hAnsiTheme="minorHAnsi"/>
        </w:rPr>
      </w:pPr>
      <w:bookmarkStart w:id="330" w:name="_Toc406295869"/>
      <w:bookmarkStart w:id="331" w:name="_Toc407161289"/>
      <w:r w:rsidRPr="00FE60E3">
        <w:rPr>
          <w:rFonts w:asciiTheme="minorHAnsi" w:hAnsiTheme="minorHAnsi"/>
        </w:rPr>
        <w:t>6.3. Sprawdzenie jakości wykonania nasypów</w:t>
      </w:r>
      <w:bookmarkEnd w:id="330"/>
      <w:bookmarkEnd w:id="331"/>
    </w:p>
    <w:p w:rsidR="004F5BEB" w:rsidRPr="00FE60E3" w:rsidRDefault="004F5BEB" w:rsidP="004F5BEB">
      <w:pPr>
        <w:rPr>
          <w:rFonts w:asciiTheme="minorHAnsi" w:hAnsiTheme="minorHAnsi"/>
        </w:rPr>
      </w:pPr>
      <w:r w:rsidRPr="00FE60E3">
        <w:rPr>
          <w:rFonts w:asciiTheme="minorHAnsi" w:hAnsiTheme="minorHAnsi"/>
          <w:b/>
        </w:rPr>
        <w:t xml:space="preserve">6.3.1. </w:t>
      </w:r>
      <w:r w:rsidRPr="00FE60E3">
        <w:rPr>
          <w:rFonts w:asciiTheme="minorHAnsi" w:hAnsiTheme="minorHAnsi"/>
        </w:rPr>
        <w:t>Rodzaje badań i pomiarów</w:t>
      </w:r>
    </w:p>
    <w:p w:rsidR="004F5BEB" w:rsidRPr="00FE60E3" w:rsidRDefault="004F5BEB" w:rsidP="004F5BEB">
      <w:pPr>
        <w:rPr>
          <w:rFonts w:asciiTheme="minorHAnsi" w:hAnsiTheme="minorHAnsi"/>
        </w:rPr>
      </w:pPr>
      <w:r w:rsidRPr="00FE60E3">
        <w:rPr>
          <w:rFonts w:asciiTheme="minorHAnsi" w:hAnsiTheme="minorHAnsi"/>
        </w:rPr>
        <w:t>Sprawdzenie jakości wykonania nasypów polega na kontrolowaniu zgodności z wymaganiami określonymi w pktach 2,3 oraz 5.3 niniejszej specyfikacji, w dokumentacji projektowej i STWiORB.</w:t>
      </w:r>
    </w:p>
    <w:p w:rsidR="004F5BEB" w:rsidRPr="00FE60E3" w:rsidRDefault="004F5BEB" w:rsidP="004F5BEB">
      <w:pPr>
        <w:rPr>
          <w:rFonts w:asciiTheme="minorHAnsi" w:hAnsiTheme="minorHAnsi"/>
        </w:rPr>
      </w:pPr>
      <w:r w:rsidRPr="00FE60E3">
        <w:rPr>
          <w:rFonts w:asciiTheme="minorHAnsi" w:hAnsiTheme="minorHAnsi"/>
        </w:rPr>
        <w:t>Szczególną uwagę należy zwrócić na:</w:t>
      </w:r>
    </w:p>
    <w:p w:rsidR="004F5BEB" w:rsidRPr="00FE60E3" w:rsidRDefault="004F5BEB" w:rsidP="00790883">
      <w:pPr>
        <w:numPr>
          <w:ilvl w:val="0"/>
          <w:numId w:val="45"/>
        </w:numPr>
        <w:rPr>
          <w:rFonts w:asciiTheme="minorHAnsi" w:hAnsiTheme="minorHAnsi"/>
        </w:rPr>
      </w:pPr>
      <w:r w:rsidRPr="00FE60E3">
        <w:rPr>
          <w:rFonts w:asciiTheme="minorHAnsi" w:hAnsiTheme="minorHAnsi"/>
        </w:rPr>
        <w:t>badania przydatności gruntów do budowy nasypów,</w:t>
      </w:r>
    </w:p>
    <w:p w:rsidR="004F5BEB" w:rsidRPr="00FE60E3" w:rsidRDefault="004F5BEB" w:rsidP="00790883">
      <w:pPr>
        <w:numPr>
          <w:ilvl w:val="0"/>
          <w:numId w:val="45"/>
        </w:numPr>
        <w:rPr>
          <w:rFonts w:asciiTheme="minorHAnsi" w:hAnsiTheme="minorHAnsi"/>
        </w:rPr>
      </w:pPr>
      <w:r w:rsidRPr="00FE60E3">
        <w:rPr>
          <w:rFonts w:asciiTheme="minorHAnsi" w:hAnsiTheme="minorHAnsi"/>
        </w:rPr>
        <w:t>badania prawidłowości wykonania poszczególnych warstw nasypu,</w:t>
      </w:r>
    </w:p>
    <w:p w:rsidR="004F5BEB" w:rsidRPr="00FE60E3" w:rsidRDefault="004F5BEB" w:rsidP="00790883">
      <w:pPr>
        <w:numPr>
          <w:ilvl w:val="0"/>
          <w:numId w:val="45"/>
        </w:numPr>
        <w:rPr>
          <w:rFonts w:asciiTheme="minorHAnsi" w:hAnsiTheme="minorHAnsi"/>
        </w:rPr>
      </w:pPr>
      <w:r w:rsidRPr="00FE60E3">
        <w:rPr>
          <w:rFonts w:asciiTheme="minorHAnsi" w:hAnsiTheme="minorHAnsi"/>
        </w:rPr>
        <w:t>badania zagęszczenia nasypu,</w:t>
      </w:r>
    </w:p>
    <w:p w:rsidR="004F5BEB" w:rsidRPr="00FE60E3" w:rsidRDefault="004F5BEB" w:rsidP="00790883">
      <w:pPr>
        <w:numPr>
          <w:ilvl w:val="0"/>
          <w:numId w:val="45"/>
        </w:numPr>
        <w:rPr>
          <w:rFonts w:asciiTheme="minorHAnsi" w:hAnsiTheme="minorHAnsi"/>
        </w:rPr>
      </w:pPr>
      <w:r w:rsidRPr="00FE60E3">
        <w:rPr>
          <w:rFonts w:asciiTheme="minorHAnsi" w:hAnsiTheme="minorHAnsi"/>
        </w:rPr>
        <w:t>pomiary kształtu nasypu.</w:t>
      </w:r>
    </w:p>
    <w:p w:rsidR="004F5BEB" w:rsidRPr="00FE60E3" w:rsidRDefault="004F5BEB" w:rsidP="00790883">
      <w:pPr>
        <w:numPr>
          <w:ilvl w:val="0"/>
          <w:numId w:val="45"/>
        </w:numPr>
        <w:rPr>
          <w:rFonts w:asciiTheme="minorHAnsi" w:hAnsiTheme="minorHAnsi"/>
        </w:rPr>
      </w:pPr>
      <w:r w:rsidRPr="00FE60E3">
        <w:rPr>
          <w:rFonts w:asciiTheme="minorHAnsi" w:hAnsiTheme="minorHAnsi"/>
        </w:rPr>
        <w:t>odwodnienie nasypu</w:t>
      </w:r>
    </w:p>
    <w:p w:rsidR="004F5BEB" w:rsidRPr="00FE60E3" w:rsidRDefault="004F5BEB" w:rsidP="004F5BEB">
      <w:pPr>
        <w:rPr>
          <w:rFonts w:asciiTheme="minorHAnsi" w:hAnsiTheme="minorHAnsi"/>
        </w:rPr>
      </w:pPr>
      <w:r w:rsidRPr="00FE60E3">
        <w:rPr>
          <w:rFonts w:asciiTheme="minorHAnsi" w:hAnsiTheme="minorHAnsi"/>
          <w:b/>
        </w:rPr>
        <w:t xml:space="preserve">6.3.2. </w:t>
      </w:r>
      <w:r w:rsidRPr="00FE60E3">
        <w:rPr>
          <w:rFonts w:asciiTheme="minorHAnsi" w:hAnsiTheme="minorHAnsi"/>
        </w:rPr>
        <w:t>Badania przydatności gruntów do budowy nasypów</w:t>
      </w:r>
    </w:p>
    <w:p w:rsidR="004F5BEB" w:rsidRPr="00FE60E3" w:rsidRDefault="004F5BEB" w:rsidP="004F5BEB">
      <w:pPr>
        <w:rPr>
          <w:rFonts w:asciiTheme="minorHAnsi" w:hAnsiTheme="minorHAnsi"/>
        </w:rPr>
      </w:pPr>
      <w:r w:rsidRPr="00FE60E3">
        <w:rPr>
          <w:rFonts w:asciiTheme="minorHAnsi" w:hAnsiTheme="minorHAnsi"/>
        </w:rPr>
        <w:t>Badania przydatności gruntów do budowy nasypu powinny być przeprowadzone na próbkach pobranych z każdej partii przeznaczonej do wbudowania w korpus ziemny, pochodzącej z nowego źródła, jednak nie rzadziej niż jeden raz na 3000 m</w:t>
      </w:r>
      <w:r w:rsidRPr="00FE60E3">
        <w:rPr>
          <w:rFonts w:asciiTheme="minorHAnsi" w:hAnsiTheme="minorHAnsi"/>
          <w:vertAlign w:val="superscript"/>
        </w:rPr>
        <w:t>3</w:t>
      </w:r>
      <w:r w:rsidRPr="00FE60E3">
        <w:rPr>
          <w:rFonts w:asciiTheme="minorHAnsi" w:hAnsiTheme="minorHAnsi"/>
        </w:rPr>
        <w:t>. W każdym badaniu należy określić następujące właściwości:</w:t>
      </w:r>
    </w:p>
    <w:p w:rsidR="004F5BEB" w:rsidRPr="00FE60E3" w:rsidRDefault="004F5BEB" w:rsidP="00973D29">
      <w:pPr>
        <w:numPr>
          <w:ilvl w:val="0"/>
          <w:numId w:val="38"/>
        </w:numPr>
        <w:rPr>
          <w:rFonts w:asciiTheme="minorHAnsi" w:hAnsiTheme="minorHAnsi"/>
        </w:rPr>
      </w:pPr>
      <w:r w:rsidRPr="00FE60E3">
        <w:rPr>
          <w:rFonts w:asciiTheme="minorHAnsi" w:hAnsiTheme="minorHAnsi"/>
        </w:rPr>
        <w:t>skład granulometryczny z określeniem wskaźnika różnoziarnistości U, wg PN-B-04481 :1988,</w:t>
      </w:r>
    </w:p>
    <w:p w:rsidR="004F5BEB" w:rsidRPr="00FE60E3" w:rsidRDefault="004F5BEB" w:rsidP="00973D29">
      <w:pPr>
        <w:numPr>
          <w:ilvl w:val="0"/>
          <w:numId w:val="38"/>
        </w:numPr>
        <w:rPr>
          <w:rFonts w:asciiTheme="minorHAnsi" w:hAnsiTheme="minorHAnsi"/>
        </w:rPr>
      </w:pPr>
      <w:r w:rsidRPr="00FE60E3">
        <w:rPr>
          <w:rFonts w:asciiTheme="minorHAnsi" w:hAnsiTheme="minorHAnsi"/>
        </w:rPr>
        <w:t>zawartość części organicznych, wg PN-B-04481:1988,</w:t>
      </w:r>
    </w:p>
    <w:p w:rsidR="004F5BEB" w:rsidRPr="00FE60E3" w:rsidRDefault="004F5BEB" w:rsidP="00973D29">
      <w:pPr>
        <w:numPr>
          <w:ilvl w:val="0"/>
          <w:numId w:val="38"/>
        </w:numPr>
        <w:rPr>
          <w:rFonts w:asciiTheme="minorHAnsi" w:hAnsiTheme="minorHAnsi"/>
        </w:rPr>
      </w:pPr>
      <w:r w:rsidRPr="00FE60E3">
        <w:rPr>
          <w:rFonts w:asciiTheme="minorHAnsi" w:hAnsiTheme="minorHAnsi"/>
        </w:rPr>
        <w:t>wilgotność naturalną, wg PN-B-04481:1988,</w:t>
      </w:r>
    </w:p>
    <w:p w:rsidR="004F5BEB" w:rsidRPr="00FE60E3" w:rsidRDefault="004F5BEB" w:rsidP="00973D29">
      <w:pPr>
        <w:numPr>
          <w:ilvl w:val="0"/>
          <w:numId w:val="38"/>
        </w:numPr>
        <w:rPr>
          <w:rFonts w:asciiTheme="minorHAnsi" w:hAnsiTheme="minorHAnsi"/>
        </w:rPr>
      </w:pPr>
      <w:r w:rsidRPr="00FE60E3">
        <w:rPr>
          <w:rFonts w:asciiTheme="minorHAnsi" w:hAnsiTheme="minorHAnsi"/>
        </w:rPr>
        <w:t>wilgotność optymalną i maksymalną gęstość objętościową szkieletu gruntowego, wg PN-B-04481:1988,</w:t>
      </w:r>
    </w:p>
    <w:p w:rsidR="004F5BEB" w:rsidRPr="00FE60E3" w:rsidRDefault="004F5BEB" w:rsidP="00973D29">
      <w:pPr>
        <w:numPr>
          <w:ilvl w:val="0"/>
          <w:numId w:val="38"/>
        </w:numPr>
        <w:rPr>
          <w:rFonts w:asciiTheme="minorHAnsi" w:hAnsiTheme="minorHAnsi"/>
        </w:rPr>
      </w:pPr>
      <w:r w:rsidRPr="00FE60E3">
        <w:rPr>
          <w:rFonts w:asciiTheme="minorHAnsi" w:hAnsiTheme="minorHAnsi"/>
        </w:rPr>
        <w:t>granicę płynności, wg PN-B-04481:1988,</w:t>
      </w:r>
    </w:p>
    <w:p w:rsidR="004F5BEB" w:rsidRPr="00FE60E3" w:rsidRDefault="004F5BEB" w:rsidP="00973D29">
      <w:pPr>
        <w:numPr>
          <w:ilvl w:val="0"/>
          <w:numId w:val="38"/>
        </w:numPr>
        <w:rPr>
          <w:rFonts w:asciiTheme="minorHAnsi" w:hAnsiTheme="minorHAnsi"/>
        </w:rPr>
      </w:pPr>
      <w:r w:rsidRPr="00FE60E3">
        <w:rPr>
          <w:rFonts w:asciiTheme="minorHAnsi" w:hAnsiTheme="minorHAnsi"/>
        </w:rPr>
        <w:t>kapilarność bierną, wg PN-B-04493:1960,</w:t>
      </w:r>
    </w:p>
    <w:p w:rsidR="004F5BEB" w:rsidRPr="00FE60E3" w:rsidRDefault="004F5BEB" w:rsidP="00973D29">
      <w:pPr>
        <w:numPr>
          <w:ilvl w:val="0"/>
          <w:numId w:val="38"/>
        </w:numPr>
        <w:rPr>
          <w:rFonts w:asciiTheme="minorHAnsi" w:hAnsiTheme="minorHAnsi"/>
        </w:rPr>
      </w:pPr>
      <w:r w:rsidRPr="00FE60E3">
        <w:rPr>
          <w:rFonts w:asciiTheme="minorHAnsi" w:hAnsiTheme="minorHAnsi"/>
        </w:rPr>
        <w:lastRenderedPageBreak/>
        <w:t>wskaźnik piaskowy, wg PN-EN 933-8:2001</w:t>
      </w:r>
    </w:p>
    <w:p w:rsidR="004F5BEB" w:rsidRPr="00FE60E3" w:rsidRDefault="004F5BEB" w:rsidP="00973D29">
      <w:pPr>
        <w:numPr>
          <w:ilvl w:val="0"/>
          <w:numId w:val="38"/>
        </w:numPr>
        <w:rPr>
          <w:rFonts w:asciiTheme="minorHAnsi" w:hAnsiTheme="minorHAnsi"/>
        </w:rPr>
      </w:pPr>
      <w:r w:rsidRPr="00FE60E3">
        <w:rPr>
          <w:rFonts w:asciiTheme="minorHAnsi" w:hAnsiTheme="minorHAnsi"/>
        </w:rPr>
        <w:t>wskaźnik nośności CBR .</w:t>
      </w:r>
    </w:p>
    <w:p w:rsidR="004F5BEB" w:rsidRPr="00FE60E3" w:rsidRDefault="004F5BEB" w:rsidP="00973D29">
      <w:pPr>
        <w:numPr>
          <w:ilvl w:val="0"/>
          <w:numId w:val="38"/>
        </w:numPr>
        <w:rPr>
          <w:rFonts w:asciiTheme="minorHAnsi" w:hAnsiTheme="minorHAnsi"/>
        </w:rPr>
      </w:pPr>
      <w:r w:rsidRPr="00FE60E3">
        <w:rPr>
          <w:rFonts w:asciiTheme="minorHAnsi" w:hAnsiTheme="minorHAnsi"/>
        </w:rPr>
        <w:t>Współczynnik filtracji k</w:t>
      </w:r>
      <w:r w:rsidRPr="00FE60E3">
        <w:rPr>
          <w:rFonts w:asciiTheme="minorHAnsi" w:hAnsiTheme="minorHAnsi"/>
          <w:vertAlign w:val="subscript"/>
        </w:rPr>
        <w:t>10</w:t>
      </w:r>
      <w:r w:rsidRPr="00FE60E3">
        <w:rPr>
          <w:rFonts w:asciiTheme="minorHAnsi" w:hAnsiTheme="minorHAnsi"/>
        </w:rPr>
        <w:t xml:space="preserve"> na podstawie analizy granulometrycznej przy zastosowaniu wzorów empirycznych</w:t>
      </w:r>
    </w:p>
    <w:p w:rsidR="004F5BEB" w:rsidRPr="00FE60E3" w:rsidRDefault="004F5BEB" w:rsidP="004F5BEB">
      <w:pPr>
        <w:rPr>
          <w:rFonts w:asciiTheme="minorHAnsi" w:hAnsiTheme="minorHAnsi"/>
        </w:rPr>
      </w:pPr>
      <w:r w:rsidRPr="00FE60E3">
        <w:rPr>
          <w:rFonts w:asciiTheme="minorHAnsi" w:hAnsiTheme="minorHAnsi"/>
        </w:rPr>
        <w:t xml:space="preserve">W przypadku wątpliwej oceny makroskopowej gruntu dyskwalifikującej grunt jako niewysadzinowy dopuszcza się wykonanie serii badań określających jego stopień wysadzinowości wg Katalogu Typowych Konstrukcji Nawierzchni 1997 tablica 6 </w:t>
      </w:r>
    </w:p>
    <w:p w:rsidR="004F5BEB" w:rsidRPr="00FE60E3" w:rsidRDefault="004F5BEB" w:rsidP="004F5BEB">
      <w:pPr>
        <w:rPr>
          <w:rFonts w:asciiTheme="minorHAnsi" w:hAnsiTheme="minorHAnsi"/>
        </w:rPr>
      </w:pPr>
      <w:r w:rsidRPr="00FE60E3">
        <w:rPr>
          <w:rFonts w:asciiTheme="minorHAnsi" w:hAnsiTheme="minorHAnsi"/>
          <w:b/>
        </w:rPr>
        <w:t xml:space="preserve">6.3.3. </w:t>
      </w:r>
      <w:r w:rsidRPr="00FE60E3">
        <w:rPr>
          <w:rFonts w:asciiTheme="minorHAnsi" w:hAnsiTheme="minorHAnsi"/>
        </w:rPr>
        <w:t>Badania kontrolne prawidłowości wykonania poszczególnych warstw nasypu</w:t>
      </w:r>
    </w:p>
    <w:p w:rsidR="004F5BEB" w:rsidRPr="00FE60E3" w:rsidRDefault="004F5BEB" w:rsidP="004F5BEB">
      <w:pPr>
        <w:rPr>
          <w:rFonts w:asciiTheme="minorHAnsi" w:hAnsiTheme="minorHAnsi"/>
        </w:rPr>
      </w:pPr>
      <w:r w:rsidRPr="00FE60E3">
        <w:rPr>
          <w:rFonts w:asciiTheme="minorHAnsi" w:hAnsiTheme="minorHAnsi"/>
        </w:rPr>
        <w:t>Badania kontrolne prawidłowości wykonania poszczególnych warstw nasypu polegają na sprawdzeniu:</w:t>
      </w:r>
    </w:p>
    <w:p w:rsidR="004F5BEB" w:rsidRPr="00FE60E3" w:rsidRDefault="004F5BEB" w:rsidP="00790883">
      <w:pPr>
        <w:numPr>
          <w:ilvl w:val="0"/>
          <w:numId w:val="46"/>
        </w:numPr>
        <w:rPr>
          <w:rFonts w:asciiTheme="minorHAnsi" w:hAnsiTheme="minorHAnsi"/>
        </w:rPr>
      </w:pPr>
      <w:r w:rsidRPr="00FE60E3">
        <w:rPr>
          <w:rFonts w:asciiTheme="minorHAnsi" w:hAnsiTheme="minorHAnsi"/>
        </w:rPr>
        <w:t>prawidłowości rozmieszczenia gruntów o różnych właściwościach w nasypie,</w:t>
      </w:r>
    </w:p>
    <w:p w:rsidR="004F5BEB" w:rsidRPr="00FE60E3" w:rsidRDefault="004F5BEB" w:rsidP="00790883">
      <w:pPr>
        <w:numPr>
          <w:ilvl w:val="0"/>
          <w:numId w:val="46"/>
        </w:numPr>
        <w:rPr>
          <w:rFonts w:asciiTheme="minorHAnsi" w:hAnsiTheme="minorHAnsi"/>
        </w:rPr>
      </w:pPr>
      <w:r w:rsidRPr="00FE60E3">
        <w:rPr>
          <w:rFonts w:asciiTheme="minorHAnsi" w:hAnsiTheme="minorHAnsi"/>
        </w:rPr>
        <w:t>odwodnienia każdej warstwy,</w:t>
      </w:r>
    </w:p>
    <w:p w:rsidR="004F5BEB" w:rsidRPr="00FE60E3" w:rsidRDefault="004F5BEB" w:rsidP="00790883">
      <w:pPr>
        <w:numPr>
          <w:ilvl w:val="0"/>
          <w:numId w:val="46"/>
        </w:numPr>
        <w:rPr>
          <w:rFonts w:asciiTheme="minorHAnsi" w:hAnsiTheme="minorHAnsi"/>
        </w:rPr>
      </w:pPr>
      <w:r w:rsidRPr="00FE60E3">
        <w:rPr>
          <w:rFonts w:asciiTheme="minorHAnsi" w:hAnsiTheme="minorHAnsi"/>
        </w:rPr>
        <w:t>grubości każdej warstwy i jej wilgotności przy zagęszczaniu; badania należy przeprowadzić nie rzadziej niż jeden raz na 500 m</w:t>
      </w:r>
      <w:r w:rsidRPr="00FE60E3">
        <w:rPr>
          <w:rFonts w:asciiTheme="minorHAnsi" w:hAnsiTheme="minorHAnsi"/>
          <w:vertAlign w:val="superscript"/>
        </w:rPr>
        <w:t>2</w:t>
      </w:r>
      <w:r w:rsidRPr="00FE60E3">
        <w:rPr>
          <w:rFonts w:asciiTheme="minorHAnsi" w:hAnsiTheme="minorHAnsi"/>
        </w:rPr>
        <w:t xml:space="preserve"> warstwy,</w:t>
      </w:r>
    </w:p>
    <w:p w:rsidR="004F5BEB" w:rsidRPr="00FE60E3" w:rsidRDefault="004F5BEB" w:rsidP="00790883">
      <w:pPr>
        <w:numPr>
          <w:ilvl w:val="0"/>
          <w:numId w:val="46"/>
        </w:numPr>
        <w:rPr>
          <w:rFonts w:asciiTheme="minorHAnsi" w:hAnsiTheme="minorHAnsi"/>
        </w:rPr>
      </w:pPr>
      <w:r w:rsidRPr="00FE60E3">
        <w:rPr>
          <w:rFonts w:asciiTheme="minorHAnsi" w:hAnsiTheme="minorHAnsi"/>
        </w:rPr>
        <w:t>nadania spadków warstwom z gruntów spoistych według pktu 5.3.3.1 poz. d),</w:t>
      </w:r>
    </w:p>
    <w:p w:rsidR="004F5BEB" w:rsidRPr="00FE60E3" w:rsidRDefault="004F5BEB" w:rsidP="00790883">
      <w:pPr>
        <w:numPr>
          <w:ilvl w:val="0"/>
          <w:numId w:val="46"/>
        </w:numPr>
        <w:rPr>
          <w:rFonts w:asciiTheme="minorHAnsi" w:hAnsiTheme="minorHAnsi"/>
        </w:rPr>
      </w:pPr>
      <w:r w:rsidRPr="00FE60E3">
        <w:rPr>
          <w:rFonts w:asciiTheme="minorHAnsi" w:hAnsiTheme="minorHAnsi"/>
        </w:rPr>
        <w:t>przestrzegania ograniczeń określonych w pktach 5.3.3.8 i 5.3.3.9, dotyczących wbudowania gruntów w okresie deszczów i mrozów.</w:t>
      </w:r>
    </w:p>
    <w:p w:rsidR="004F5BEB" w:rsidRPr="00FE60E3" w:rsidRDefault="004F5BEB" w:rsidP="004F5BEB">
      <w:pPr>
        <w:rPr>
          <w:rFonts w:asciiTheme="minorHAnsi" w:hAnsiTheme="minorHAnsi"/>
        </w:rPr>
      </w:pPr>
      <w:r w:rsidRPr="00FE60E3">
        <w:rPr>
          <w:rFonts w:asciiTheme="minorHAnsi" w:hAnsiTheme="minorHAnsi"/>
          <w:b/>
        </w:rPr>
        <w:t xml:space="preserve">6.3.4. </w:t>
      </w:r>
      <w:r w:rsidRPr="00FE60E3">
        <w:rPr>
          <w:rFonts w:asciiTheme="minorHAnsi" w:hAnsiTheme="minorHAnsi"/>
        </w:rPr>
        <w:t>Sprawdzenie zagęszczenia nasypu oraz podłoża nasypu</w:t>
      </w:r>
    </w:p>
    <w:p w:rsidR="004F5BEB" w:rsidRPr="00FE60E3" w:rsidRDefault="004F5BEB" w:rsidP="004F5BEB">
      <w:pPr>
        <w:rPr>
          <w:rFonts w:asciiTheme="minorHAnsi" w:hAnsiTheme="minorHAnsi"/>
        </w:rPr>
      </w:pPr>
      <w:r w:rsidRPr="00FE60E3">
        <w:rPr>
          <w:rFonts w:asciiTheme="minorHAnsi" w:hAnsiTheme="minorHAnsi"/>
        </w:rPr>
        <w:t>Sprawdzenie zagęszczenia nasypu oraz podłoża nasypu polega na skontrolowaniu zgodności wartości wskaźnika zagęszczenia I</w:t>
      </w:r>
      <w:r w:rsidRPr="00FE60E3">
        <w:rPr>
          <w:rFonts w:asciiTheme="minorHAnsi" w:hAnsiTheme="minorHAnsi"/>
          <w:vertAlign w:val="subscript"/>
        </w:rPr>
        <w:t>s</w:t>
      </w:r>
      <w:r w:rsidRPr="00FE60E3">
        <w:rPr>
          <w:rFonts w:asciiTheme="minorHAnsi" w:hAnsiTheme="minorHAnsi"/>
        </w:rPr>
        <w:t xml:space="preserve"> lub stosunku modułów odkształcenia z wartościami określonymi w pktach 5.3.1.2 i 5.3.4.4. Do bieżącej kontroli zagęszczenia dopuszcza się aparaty izotopowe.</w:t>
      </w:r>
    </w:p>
    <w:p w:rsidR="004F5BEB" w:rsidRPr="00FE60E3" w:rsidRDefault="004F5BEB" w:rsidP="004F5BEB">
      <w:pPr>
        <w:rPr>
          <w:rFonts w:asciiTheme="minorHAnsi" w:hAnsiTheme="minorHAnsi"/>
        </w:rPr>
      </w:pPr>
      <w:r w:rsidRPr="00FE60E3">
        <w:rPr>
          <w:rFonts w:asciiTheme="minorHAnsi" w:hAnsiTheme="minorHAnsi"/>
        </w:rPr>
        <w:t>Oznaczenie wskaźnika zagęszczenia I</w:t>
      </w:r>
      <w:r w:rsidRPr="00FE60E3">
        <w:rPr>
          <w:rFonts w:asciiTheme="minorHAnsi" w:hAnsiTheme="minorHAnsi"/>
          <w:vertAlign w:val="subscript"/>
        </w:rPr>
        <w:t>s</w:t>
      </w:r>
      <w:r w:rsidRPr="00FE60E3">
        <w:rPr>
          <w:rFonts w:asciiTheme="minorHAnsi" w:hAnsiTheme="minorHAnsi"/>
        </w:rPr>
        <w:t xml:space="preserve"> powinno być przeprowadzone według normy BN-77/8931-12, oznaczenie modułów odkształcenia według normy PN-S-02205:1998.</w:t>
      </w:r>
    </w:p>
    <w:p w:rsidR="004F5BEB" w:rsidRPr="00FE60E3" w:rsidRDefault="004F5BEB" w:rsidP="004F5BEB">
      <w:pPr>
        <w:rPr>
          <w:rFonts w:asciiTheme="minorHAnsi" w:hAnsiTheme="minorHAnsi"/>
        </w:rPr>
      </w:pPr>
      <w:r w:rsidRPr="00FE60E3">
        <w:rPr>
          <w:rFonts w:asciiTheme="minorHAnsi" w:hAnsiTheme="minorHAnsi"/>
        </w:rPr>
        <w:t>Zagęszczenie każdej warstwy należy kontrolować nie rzadziej niż:</w:t>
      </w:r>
    </w:p>
    <w:p w:rsidR="004F5BEB" w:rsidRPr="00FE60E3" w:rsidRDefault="004F5BEB" w:rsidP="00973D29">
      <w:pPr>
        <w:numPr>
          <w:ilvl w:val="0"/>
          <w:numId w:val="38"/>
        </w:numPr>
        <w:rPr>
          <w:rFonts w:asciiTheme="minorHAnsi" w:hAnsiTheme="minorHAnsi"/>
        </w:rPr>
      </w:pPr>
      <w:r w:rsidRPr="00FE60E3">
        <w:rPr>
          <w:rFonts w:asciiTheme="minorHAnsi" w:hAnsiTheme="minorHAnsi"/>
        </w:rPr>
        <w:t>jeden raz w trzech punktach na 1000 m</w:t>
      </w:r>
      <w:r w:rsidRPr="00FE60E3">
        <w:rPr>
          <w:rFonts w:asciiTheme="minorHAnsi" w:hAnsiTheme="minorHAnsi"/>
          <w:vertAlign w:val="superscript"/>
        </w:rPr>
        <w:t>2</w:t>
      </w:r>
      <w:r w:rsidRPr="00FE60E3">
        <w:rPr>
          <w:rFonts w:asciiTheme="minorHAnsi" w:hAnsiTheme="minorHAnsi"/>
        </w:rPr>
        <w:t xml:space="preserve"> warstwy, w przypadku określenia wartości I</w:t>
      </w:r>
      <w:r w:rsidRPr="00FE60E3">
        <w:rPr>
          <w:rFonts w:asciiTheme="minorHAnsi" w:hAnsiTheme="minorHAnsi"/>
          <w:vertAlign w:val="subscript"/>
        </w:rPr>
        <w:t>s</w:t>
      </w:r>
      <w:r w:rsidRPr="00FE60E3">
        <w:rPr>
          <w:rFonts w:asciiTheme="minorHAnsi" w:hAnsiTheme="minorHAnsi"/>
        </w:rPr>
        <w:t>,</w:t>
      </w:r>
    </w:p>
    <w:p w:rsidR="004F5BEB" w:rsidRPr="00FE60E3" w:rsidRDefault="004F5BEB" w:rsidP="00973D29">
      <w:pPr>
        <w:numPr>
          <w:ilvl w:val="0"/>
          <w:numId w:val="38"/>
        </w:numPr>
        <w:rPr>
          <w:rFonts w:asciiTheme="minorHAnsi" w:hAnsiTheme="minorHAnsi"/>
        </w:rPr>
      </w:pPr>
      <w:r w:rsidRPr="00FE60E3">
        <w:rPr>
          <w:rFonts w:asciiTheme="minorHAnsi" w:hAnsiTheme="minorHAnsi"/>
        </w:rPr>
        <w:t>jeden raz w trzech punktach na 2000 m</w:t>
      </w:r>
      <w:r w:rsidRPr="00FE60E3">
        <w:rPr>
          <w:rFonts w:asciiTheme="minorHAnsi" w:hAnsiTheme="minorHAnsi"/>
          <w:vertAlign w:val="superscript"/>
        </w:rPr>
        <w:t>2</w:t>
      </w:r>
      <w:r w:rsidRPr="00FE60E3">
        <w:rPr>
          <w:rFonts w:asciiTheme="minorHAnsi" w:hAnsiTheme="minorHAnsi"/>
        </w:rPr>
        <w:t xml:space="preserve"> warstwy w przypadku określenia pierwotnego i wtórnego modułu odkształcenia.</w:t>
      </w:r>
    </w:p>
    <w:p w:rsidR="004F5BEB" w:rsidRPr="00FE60E3" w:rsidRDefault="004F5BEB" w:rsidP="004F5BEB">
      <w:pPr>
        <w:numPr>
          <w:ilvl w:val="12"/>
          <w:numId w:val="0"/>
        </w:numPr>
        <w:rPr>
          <w:rFonts w:asciiTheme="minorHAnsi" w:hAnsiTheme="minorHAnsi"/>
        </w:rPr>
      </w:pPr>
      <w:r w:rsidRPr="00FE60E3">
        <w:rPr>
          <w:rFonts w:asciiTheme="minorHAnsi" w:hAnsiTheme="minorHAnsi"/>
        </w:rPr>
        <w:t>Wyniki kontroli zagęszczenia robót Wykonawca powinien wpisywać do dokumentów laboratoryjnych. Prawidłowość zagęszczenia konkretnej warstwy nasypu lub podłoża pod nasypem powinna być potwierdzona przez Inżyniera wpisem w dzienniku budowy.</w:t>
      </w:r>
    </w:p>
    <w:p w:rsidR="004F5BEB" w:rsidRPr="00FE60E3" w:rsidRDefault="004F5BEB" w:rsidP="004F5BEB">
      <w:pPr>
        <w:numPr>
          <w:ilvl w:val="12"/>
          <w:numId w:val="0"/>
        </w:numPr>
        <w:rPr>
          <w:rFonts w:asciiTheme="minorHAnsi" w:hAnsiTheme="minorHAnsi"/>
        </w:rPr>
      </w:pPr>
      <w:r w:rsidRPr="00FE60E3">
        <w:rPr>
          <w:rFonts w:asciiTheme="minorHAnsi" w:hAnsiTheme="minorHAnsi"/>
          <w:b/>
        </w:rPr>
        <w:t xml:space="preserve">6.3.5. </w:t>
      </w:r>
      <w:r w:rsidRPr="00FE60E3">
        <w:rPr>
          <w:rFonts w:asciiTheme="minorHAnsi" w:hAnsiTheme="minorHAnsi"/>
        </w:rPr>
        <w:t>Pomiary kształtu nasypu</w:t>
      </w:r>
    </w:p>
    <w:p w:rsidR="004F5BEB" w:rsidRPr="00FE60E3" w:rsidRDefault="004F5BEB" w:rsidP="004F5BEB">
      <w:pPr>
        <w:numPr>
          <w:ilvl w:val="12"/>
          <w:numId w:val="0"/>
        </w:numPr>
        <w:rPr>
          <w:rFonts w:asciiTheme="minorHAnsi" w:hAnsiTheme="minorHAnsi"/>
        </w:rPr>
      </w:pPr>
      <w:r w:rsidRPr="00FE60E3">
        <w:rPr>
          <w:rFonts w:asciiTheme="minorHAnsi" w:hAnsiTheme="minorHAnsi"/>
        </w:rPr>
        <w:t>Pomiary kształtu nasypu obejmują kontrolę:</w:t>
      </w:r>
    </w:p>
    <w:p w:rsidR="004F5BEB" w:rsidRPr="00FE60E3" w:rsidRDefault="004F5BEB" w:rsidP="00973D29">
      <w:pPr>
        <w:numPr>
          <w:ilvl w:val="0"/>
          <w:numId w:val="38"/>
        </w:numPr>
        <w:rPr>
          <w:rFonts w:asciiTheme="minorHAnsi" w:hAnsiTheme="minorHAnsi"/>
        </w:rPr>
      </w:pPr>
      <w:r w:rsidRPr="00FE60E3">
        <w:rPr>
          <w:rFonts w:asciiTheme="minorHAnsi" w:hAnsiTheme="minorHAnsi"/>
        </w:rPr>
        <w:t>prawidłowości wykonania skarp,</w:t>
      </w:r>
    </w:p>
    <w:p w:rsidR="004F5BEB" w:rsidRPr="00FE60E3" w:rsidRDefault="004F5BEB" w:rsidP="00973D29">
      <w:pPr>
        <w:numPr>
          <w:ilvl w:val="0"/>
          <w:numId w:val="38"/>
        </w:numPr>
        <w:rPr>
          <w:rFonts w:asciiTheme="minorHAnsi" w:hAnsiTheme="minorHAnsi"/>
        </w:rPr>
      </w:pPr>
      <w:r w:rsidRPr="00FE60E3">
        <w:rPr>
          <w:rFonts w:asciiTheme="minorHAnsi" w:hAnsiTheme="minorHAnsi"/>
        </w:rPr>
        <w:t>szerokości korony korpusu.</w:t>
      </w:r>
    </w:p>
    <w:p w:rsidR="004F5BEB" w:rsidRPr="00FE60E3" w:rsidRDefault="004F5BEB" w:rsidP="004F5BEB">
      <w:pPr>
        <w:rPr>
          <w:rFonts w:asciiTheme="minorHAnsi" w:hAnsiTheme="minorHAnsi"/>
        </w:rPr>
      </w:pPr>
      <w:r w:rsidRPr="00FE60E3">
        <w:rPr>
          <w:rFonts w:asciiTheme="minorHAnsi" w:hAnsiTheme="minorHAnsi"/>
        </w:rPr>
        <w:t>Sprawdzenie prawidłowości wykonania skarp polega na skontrolowaniu zgodności z wymaganiami dotyczącymi pochyleń i dokładności wykonania skarp, określonymi w dokumentacji projektowej, SST oraz w pkcie 5.3.5 niniejszej specyfikacji.</w:t>
      </w:r>
    </w:p>
    <w:p w:rsidR="004F5BEB" w:rsidRPr="00FE60E3" w:rsidRDefault="004F5BEB" w:rsidP="004F5BEB">
      <w:pPr>
        <w:rPr>
          <w:rFonts w:asciiTheme="minorHAnsi" w:hAnsiTheme="minorHAnsi"/>
        </w:rPr>
      </w:pPr>
      <w:r w:rsidRPr="00FE60E3">
        <w:rPr>
          <w:rFonts w:asciiTheme="minorHAnsi" w:hAnsiTheme="minorHAnsi"/>
        </w:rPr>
        <w:t>Sprawdzenie szerokości korony korpusu polega na porównaniu szerokości korony korpusu na poziomie wykonywanej warstwy nasypu z szerokością wynikającą z wymiarów geometrycznych korpusu, określonych w dokumentacji projektowej.</w:t>
      </w:r>
    </w:p>
    <w:p w:rsidR="004F5BEB" w:rsidRPr="00FE60E3" w:rsidRDefault="004F5BEB" w:rsidP="004F5BEB">
      <w:pPr>
        <w:rPr>
          <w:rFonts w:asciiTheme="minorHAnsi" w:hAnsiTheme="minorHAnsi"/>
          <w:b/>
        </w:rPr>
      </w:pPr>
      <w:r w:rsidRPr="00FE60E3">
        <w:rPr>
          <w:rFonts w:asciiTheme="minorHAnsi" w:hAnsiTheme="minorHAnsi"/>
          <w:b/>
        </w:rPr>
        <w:t>6.4 Dopuszczalne tolerancje wykonania nasypów</w:t>
      </w:r>
    </w:p>
    <w:p w:rsidR="004F5BEB" w:rsidRPr="00FE60E3" w:rsidRDefault="004F5BEB" w:rsidP="004F5BEB">
      <w:pPr>
        <w:pStyle w:val="Standardowytekst"/>
        <w:rPr>
          <w:rFonts w:asciiTheme="minorHAnsi" w:hAnsiTheme="minorHAnsi"/>
        </w:rPr>
      </w:pPr>
      <w:bookmarkStart w:id="332" w:name="_Toc406295871"/>
      <w:bookmarkStart w:id="333" w:name="_Toc407161291"/>
      <w:bookmarkStart w:id="334" w:name="_Toc418994951"/>
      <w:bookmarkStart w:id="335" w:name="_Toc418996358"/>
      <w:bookmarkStart w:id="336" w:name="_Toc418996727"/>
      <w:bookmarkStart w:id="337" w:name="_Toc418997114"/>
      <w:bookmarkStart w:id="338" w:name="_Toc418998524"/>
      <w:bookmarkStart w:id="339" w:name="_Toc418998880"/>
      <w:bookmarkStart w:id="340" w:name="_Toc419000125"/>
      <w:r w:rsidRPr="00FE60E3">
        <w:rPr>
          <w:rFonts w:asciiTheme="minorHAnsi" w:hAnsiTheme="minorHAnsi"/>
          <w:b/>
        </w:rPr>
        <w:t xml:space="preserve">6.4.1. </w:t>
      </w:r>
      <w:r w:rsidRPr="00FE60E3">
        <w:rPr>
          <w:rFonts w:asciiTheme="minorHAnsi" w:hAnsiTheme="minorHAnsi"/>
        </w:rPr>
        <w:t>Szerokość korpusu ziemnego</w:t>
      </w:r>
    </w:p>
    <w:p w:rsidR="004F5BEB" w:rsidRPr="00FE60E3" w:rsidRDefault="004F5BEB" w:rsidP="004F5BEB">
      <w:pPr>
        <w:pStyle w:val="Standardowytekst"/>
        <w:rPr>
          <w:rFonts w:asciiTheme="minorHAnsi" w:hAnsiTheme="minorHAnsi"/>
        </w:rPr>
      </w:pPr>
      <w:r w:rsidRPr="00FE60E3">
        <w:rPr>
          <w:rFonts w:asciiTheme="minorHAnsi" w:hAnsiTheme="minorHAnsi"/>
        </w:rPr>
        <w:t xml:space="preserve">Szerokość korpusu ziemnego nie może różnić się od szerokości projektowanej o więcej niż </w:t>
      </w:r>
      <w:r w:rsidRPr="00FE60E3">
        <w:rPr>
          <w:rFonts w:asciiTheme="minorHAnsi" w:hAnsiTheme="minorHAnsi"/>
        </w:rPr>
        <w:sym w:font="Symbol" w:char="F0B1"/>
      </w:r>
      <w:r w:rsidRPr="00FE60E3">
        <w:rPr>
          <w:rFonts w:asciiTheme="minorHAnsi" w:hAnsiTheme="minorHAnsi"/>
        </w:rPr>
        <w:t xml:space="preserve"> 10 cm.</w:t>
      </w:r>
    </w:p>
    <w:p w:rsidR="004F5BEB" w:rsidRPr="00FE60E3" w:rsidRDefault="004F5BEB" w:rsidP="004F5BEB">
      <w:pPr>
        <w:pStyle w:val="Standardowytekst"/>
        <w:keepNext/>
        <w:rPr>
          <w:rFonts w:asciiTheme="minorHAnsi" w:hAnsiTheme="minorHAnsi"/>
        </w:rPr>
      </w:pPr>
      <w:r w:rsidRPr="00FE60E3">
        <w:rPr>
          <w:rFonts w:asciiTheme="minorHAnsi" w:hAnsiTheme="minorHAnsi"/>
          <w:b/>
        </w:rPr>
        <w:t xml:space="preserve">6.4.2. </w:t>
      </w:r>
      <w:r w:rsidRPr="00FE60E3">
        <w:rPr>
          <w:rFonts w:asciiTheme="minorHAnsi" w:hAnsiTheme="minorHAnsi"/>
        </w:rPr>
        <w:t>Rzędne korony korpusu ziemnego</w:t>
      </w:r>
    </w:p>
    <w:p w:rsidR="004F5BEB" w:rsidRPr="00FE60E3" w:rsidRDefault="004F5BEB" w:rsidP="004F5BEB">
      <w:pPr>
        <w:pStyle w:val="Standardowytekst"/>
        <w:rPr>
          <w:rFonts w:asciiTheme="minorHAnsi" w:hAnsiTheme="minorHAnsi"/>
        </w:rPr>
      </w:pPr>
      <w:r w:rsidRPr="00FE60E3">
        <w:rPr>
          <w:rFonts w:asciiTheme="minorHAnsi" w:hAnsiTheme="minorHAnsi"/>
        </w:rPr>
        <w:t>Rzędne korony korpusu ziemnego nie mogą różnić się od rzędnych projektowanych o więcej niż -3 cm lub +1 cm.</w:t>
      </w:r>
    </w:p>
    <w:p w:rsidR="004F5BEB" w:rsidRPr="00FE60E3" w:rsidRDefault="004F5BEB" w:rsidP="004F5BEB">
      <w:pPr>
        <w:pStyle w:val="Standardowytekst"/>
        <w:rPr>
          <w:rFonts w:asciiTheme="minorHAnsi" w:hAnsiTheme="minorHAnsi"/>
        </w:rPr>
      </w:pPr>
      <w:r w:rsidRPr="00FE60E3">
        <w:rPr>
          <w:rFonts w:asciiTheme="minorHAnsi" w:hAnsiTheme="minorHAnsi"/>
          <w:b/>
        </w:rPr>
        <w:t xml:space="preserve">6.4.3. </w:t>
      </w:r>
      <w:r w:rsidRPr="00FE60E3">
        <w:rPr>
          <w:rFonts w:asciiTheme="minorHAnsi" w:hAnsiTheme="minorHAnsi"/>
        </w:rPr>
        <w:t>Pochylenie skarp</w:t>
      </w:r>
    </w:p>
    <w:p w:rsidR="004F5BEB" w:rsidRPr="00FE60E3" w:rsidRDefault="004F5BEB" w:rsidP="004F5BEB">
      <w:pPr>
        <w:pStyle w:val="Standardowytekst"/>
        <w:rPr>
          <w:rFonts w:asciiTheme="minorHAnsi" w:hAnsiTheme="minorHAnsi"/>
        </w:rPr>
      </w:pPr>
      <w:r w:rsidRPr="00FE60E3">
        <w:rPr>
          <w:rFonts w:asciiTheme="minorHAnsi" w:hAnsiTheme="minorHAnsi"/>
        </w:rPr>
        <w:t xml:space="preserve">Pochylenie skarp nie może różnić się od pochylenia projektowanego o więcej niż 10% wartości pochylenia wyrażonego </w:t>
      </w:r>
    </w:p>
    <w:p w:rsidR="004F5BEB" w:rsidRPr="00FE60E3" w:rsidRDefault="004F5BEB" w:rsidP="004F5BEB">
      <w:pPr>
        <w:pStyle w:val="Standardowytekst"/>
        <w:rPr>
          <w:rFonts w:asciiTheme="minorHAnsi" w:hAnsiTheme="minorHAnsi"/>
        </w:rPr>
      </w:pPr>
      <w:r w:rsidRPr="00FE60E3">
        <w:rPr>
          <w:rFonts w:asciiTheme="minorHAnsi" w:hAnsiTheme="minorHAnsi"/>
        </w:rPr>
        <w:t>tangensem kąta.</w:t>
      </w:r>
    </w:p>
    <w:p w:rsidR="004F5BEB" w:rsidRPr="00FE60E3" w:rsidRDefault="004F5BEB" w:rsidP="004F5BEB">
      <w:pPr>
        <w:pStyle w:val="Standardowytekst"/>
        <w:rPr>
          <w:rFonts w:asciiTheme="minorHAnsi" w:hAnsiTheme="minorHAnsi"/>
          <w:b/>
        </w:rPr>
      </w:pPr>
    </w:p>
    <w:p w:rsidR="004F5BEB" w:rsidRPr="00FE60E3" w:rsidRDefault="004F5BEB" w:rsidP="004F5BEB">
      <w:pPr>
        <w:pStyle w:val="Standardowytekst"/>
        <w:rPr>
          <w:rFonts w:asciiTheme="minorHAnsi" w:hAnsiTheme="minorHAnsi"/>
        </w:rPr>
      </w:pPr>
      <w:r w:rsidRPr="00FE60E3">
        <w:rPr>
          <w:rFonts w:asciiTheme="minorHAnsi" w:hAnsiTheme="minorHAnsi"/>
          <w:b/>
        </w:rPr>
        <w:t xml:space="preserve">6.4.4. </w:t>
      </w:r>
      <w:r w:rsidRPr="00FE60E3">
        <w:rPr>
          <w:rFonts w:asciiTheme="minorHAnsi" w:hAnsiTheme="minorHAnsi"/>
        </w:rPr>
        <w:t>Równość korony korpusu</w:t>
      </w:r>
    </w:p>
    <w:p w:rsidR="004F5BEB" w:rsidRPr="00FE60E3" w:rsidRDefault="004F5BEB" w:rsidP="004F5BEB">
      <w:pPr>
        <w:pStyle w:val="Standardowytekst"/>
        <w:rPr>
          <w:rFonts w:asciiTheme="minorHAnsi" w:hAnsiTheme="minorHAnsi"/>
        </w:rPr>
      </w:pPr>
      <w:r w:rsidRPr="00FE60E3">
        <w:rPr>
          <w:rFonts w:asciiTheme="minorHAnsi" w:hAnsiTheme="minorHAnsi"/>
        </w:rPr>
        <w:t>Nierówności powierzchni korpusu ziemnego mierzone łatą 3-metrową, nie mogą przekraczać 3 cm.</w:t>
      </w:r>
    </w:p>
    <w:p w:rsidR="004F5BEB" w:rsidRPr="00FE60E3" w:rsidRDefault="004F5BEB" w:rsidP="004F5BEB">
      <w:pPr>
        <w:pStyle w:val="Standardowytekst"/>
        <w:rPr>
          <w:rFonts w:asciiTheme="minorHAnsi" w:hAnsiTheme="minorHAnsi"/>
        </w:rPr>
      </w:pPr>
      <w:r w:rsidRPr="00FE60E3">
        <w:rPr>
          <w:rFonts w:asciiTheme="minorHAnsi" w:hAnsiTheme="minorHAnsi"/>
          <w:b/>
        </w:rPr>
        <w:t xml:space="preserve">6.4.5. </w:t>
      </w:r>
      <w:r w:rsidRPr="00FE60E3">
        <w:rPr>
          <w:rFonts w:asciiTheme="minorHAnsi" w:hAnsiTheme="minorHAnsi"/>
        </w:rPr>
        <w:t>Równość skarp</w:t>
      </w:r>
    </w:p>
    <w:p w:rsidR="004F5BEB" w:rsidRPr="00FE60E3" w:rsidRDefault="004F5BEB" w:rsidP="004F5BEB">
      <w:pPr>
        <w:pStyle w:val="Standardowytekst"/>
        <w:rPr>
          <w:rFonts w:asciiTheme="minorHAnsi" w:hAnsiTheme="minorHAnsi"/>
        </w:rPr>
      </w:pPr>
      <w:r w:rsidRPr="00FE60E3">
        <w:rPr>
          <w:rFonts w:asciiTheme="minorHAnsi" w:hAnsiTheme="minorHAnsi"/>
        </w:rPr>
        <w:t xml:space="preserve">Nierówności skarp, mierzone łatą 3-metrową, nie mogą przekraczać </w:t>
      </w:r>
      <w:r w:rsidRPr="00FE60E3">
        <w:rPr>
          <w:rFonts w:asciiTheme="minorHAnsi" w:hAnsiTheme="minorHAnsi"/>
        </w:rPr>
        <w:sym w:font="Symbol" w:char="F0B1"/>
      </w:r>
      <w:r w:rsidRPr="00FE60E3">
        <w:rPr>
          <w:rFonts w:asciiTheme="minorHAnsi" w:hAnsiTheme="minorHAnsi"/>
        </w:rPr>
        <w:t xml:space="preserve"> 10 cm.</w:t>
      </w:r>
    </w:p>
    <w:p w:rsidR="004F5BEB" w:rsidRPr="00FE60E3" w:rsidRDefault="004F5BEB" w:rsidP="004F5BEB">
      <w:pPr>
        <w:pStyle w:val="Standardowytekst"/>
        <w:rPr>
          <w:rFonts w:asciiTheme="minorHAnsi" w:hAnsiTheme="minorHAnsi"/>
        </w:rPr>
      </w:pPr>
      <w:r w:rsidRPr="00FE60E3">
        <w:rPr>
          <w:rFonts w:asciiTheme="minorHAnsi" w:hAnsiTheme="minorHAnsi"/>
          <w:b/>
        </w:rPr>
        <w:t xml:space="preserve">6.4.6. </w:t>
      </w:r>
      <w:r w:rsidRPr="00FE60E3">
        <w:rPr>
          <w:rFonts w:asciiTheme="minorHAnsi" w:hAnsiTheme="minorHAnsi"/>
        </w:rPr>
        <w:t xml:space="preserve">Spadek podłużny korony korpusu </w:t>
      </w:r>
    </w:p>
    <w:p w:rsidR="004F5BEB" w:rsidRPr="00FE60E3" w:rsidRDefault="004F5BEB" w:rsidP="004F5BEB">
      <w:pPr>
        <w:pStyle w:val="Standardowytekst"/>
        <w:rPr>
          <w:rFonts w:asciiTheme="minorHAnsi" w:hAnsiTheme="minorHAnsi"/>
        </w:rPr>
      </w:pPr>
      <w:r w:rsidRPr="00FE60E3">
        <w:rPr>
          <w:rFonts w:asciiTheme="minorHAnsi" w:hAnsiTheme="minorHAnsi"/>
        </w:rPr>
        <w:lastRenderedPageBreak/>
        <w:t>Spadek podłużny powierzchni korpusu ziemnego lub dna rowu, sprawdzony przez pomiar niwelatorem rzędnych wysokościowych, nie może dawać różnic, w stosunku do rzędnych projektowanych, większych niż -3 cm lub +1 cm.</w:t>
      </w:r>
    </w:p>
    <w:p w:rsidR="004F5BEB" w:rsidRPr="00FE60E3" w:rsidRDefault="004F5BEB" w:rsidP="00973D29">
      <w:pPr>
        <w:pStyle w:val="Nagwek3"/>
        <w:numPr>
          <w:ilvl w:val="0"/>
          <w:numId w:val="25"/>
        </w:numPr>
        <w:rPr>
          <w:rFonts w:asciiTheme="minorHAnsi" w:hAnsiTheme="minorHAnsi"/>
        </w:rPr>
      </w:pPr>
      <w:r w:rsidRPr="00FE60E3">
        <w:rPr>
          <w:rFonts w:asciiTheme="minorHAnsi" w:hAnsiTheme="minorHAnsi"/>
        </w:rPr>
        <w:t>OBMIAR ROBÓT</w:t>
      </w:r>
      <w:bookmarkEnd w:id="332"/>
      <w:bookmarkEnd w:id="333"/>
      <w:bookmarkEnd w:id="334"/>
      <w:bookmarkEnd w:id="335"/>
      <w:bookmarkEnd w:id="336"/>
      <w:bookmarkEnd w:id="337"/>
      <w:bookmarkEnd w:id="338"/>
      <w:bookmarkEnd w:id="339"/>
      <w:bookmarkEnd w:id="340"/>
    </w:p>
    <w:p w:rsidR="000D4846" w:rsidRPr="00203191" w:rsidRDefault="000D4846" w:rsidP="000D4846">
      <w:pPr>
        <w:pStyle w:val="Nagwek4"/>
        <w:tabs>
          <w:tab w:val="left" w:pos="9914"/>
        </w:tabs>
        <w:rPr>
          <w:rFonts w:asciiTheme="minorHAnsi" w:hAnsiTheme="minorHAnsi"/>
        </w:rPr>
      </w:pPr>
      <w:bookmarkStart w:id="341" w:name="_Toc406295872"/>
      <w:bookmarkStart w:id="342" w:name="_Toc407161292"/>
      <w:r w:rsidRPr="00203191">
        <w:rPr>
          <w:rFonts w:asciiTheme="minorHAnsi" w:hAnsiTheme="minorHAnsi"/>
        </w:rPr>
        <w:t>7.1. Ogólne zasady obmiaru robót</w:t>
      </w:r>
      <w:bookmarkEnd w:id="341"/>
      <w:bookmarkEnd w:id="342"/>
    </w:p>
    <w:p w:rsidR="000D4846" w:rsidRPr="00203191" w:rsidRDefault="000D4846" w:rsidP="000D4846">
      <w:pPr>
        <w:tabs>
          <w:tab w:val="left" w:pos="9914"/>
        </w:tabs>
        <w:rPr>
          <w:rFonts w:asciiTheme="minorHAnsi" w:hAnsiTheme="minorHAnsi"/>
        </w:rPr>
      </w:pPr>
      <w:r w:rsidRPr="00203191">
        <w:rPr>
          <w:rFonts w:asciiTheme="minorHAnsi" w:hAnsiTheme="minorHAnsi"/>
        </w:rPr>
        <w:t>Ogólne zasady obmiaru robót podano w SSTWiORB D-M-00.00.00 pkt 7.</w:t>
      </w:r>
    </w:p>
    <w:p w:rsidR="000D4846" w:rsidRPr="00203191" w:rsidRDefault="000D4846" w:rsidP="000D4846">
      <w:pPr>
        <w:pStyle w:val="Nagwek4"/>
        <w:tabs>
          <w:tab w:val="left" w:pos="9914"/>
        </w:tabs>
        <w:rPr>
          <w:rFonts w:asciiTheme="minorHAnsi" w:hAnsiTheme="minorHAnsi"/>
        </w:rPr>
      </w:pPr>
      <w:bookmarkStart w:id="343" w:name="_Toc406295873"/>
      <w:bookmarkStart w:id="344" w:name="_Toc407161293"/>
      <w:r w:rsidRPr="00203191">
        <w:rPr>
          <w:rFonts w:asciiTheme="minorHAnsi" w:hAnsiTheme="minorHAnsi"/>
        </w:rPr>
        <w:t>7.2. Jednostka obmiarowa</w:t>
      </w:r>
      <w:bookmarkEnd w:id="343"/>
      <w:bookmarkEnd w:id="344"/>
    </w:p>
    <w:p w:rsidR="000D4846" w:rsidRPr="00203191" w:rsidRDefault="000D4846" w:rsidP="000D4846">
      <w:pPr>
        <w:tabs>
          <w:tab w:val="left" w:pos="9914"/>
        </w:tabs>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3</w:t>
      </w:r>
      <w:r w:rsidRPr="00203191">
        <w:rPr>
          <w:rFonts w:asciiTheme="minorHAnsi" w:hAnsiTheme="minorHAnsi"/>
        </w:rPr>
        <w:t xml:space="preserve"> (metr sześcienny).</w:t>
      </w:r>
    </w:p>
    <w:p w:rsidR="000D4846" w:rsidRPr="00203191" w:rsidRDefault="000D4846" w:rsidP="000D4846">
      <w:pPr>
        <w:tabs>
          <w:tab w:val="left" w:pos="9914"/>
        </w:tabs>
        <w:rPr>
          <w:rFonts w:asciiTheme="minorHAnsi" w:hAnsiTheme="minorHAnsi"/>
        </w:rPr>
      </w:pPr>
      <w:r w:rsidRPr="00203191">
        <w:rPr>
          <w:rFonts w:asciiTheme="minorHAnsi" w:hAnsiTheme="minorHAnsi"/>
        </w:rPr>
        <w:t>Objętość nasypów będzie ustalona w metrach sześciennych na podstawie obliczeń z przekrojów poprzecznych, w oparciu o poziom gruntu rodzimego lub poziom gruntu po usunięciu warstw gruntów nieprzydatnych.</w:t>
      </w:r>
    </w:p>
    <w:p w:rsidR="004F5BEB" w:rsidRPr="00FE60E3" w:rsidRDefault="000D4846" w:rsidP="000D4846">
      <w:pPr>
        <w:ind w:left="-37"/>
        <w:rPr>
          <w:rFonts w:asciiTheme="minorHAnsi" w:hAnsiTheme="minorHAnsi"/>
        </w:rPr>
      </w:pPr>
      <w:r w:rsidRPr="00203191">
        <w:rPr>
          <w:rFonts w:asciiTheme="minorHAnsi" w:hAnsiTheme="minorHAnsi"/>
        </w:rPr>
        <w:t>Objętość odkładu będzie określona w metrach sześciennych na podstawie obmiaru jako różnica objętości wykopów,  powiększonej o objętość ukopów i objętości nasypów, z uwzględnieniem spulchnienia gruntu i zastrzeżeń sformułowanych w pkcie 5.4</w:t>
      </w:r>
    </w:p>
    <w:p w:rsidR="004F5BEB" w:rsidRPr="00FE60E3" w:rsidRDefault="004F5BEB" w:rsidP="004F5BEB">
      <w:pPr>
        <w:pStyle w:val="Nagwek3"/>
        <w:rPr>
          <w:rFonts w:asciiTheme="minorHAnsi" w:hAnsiTheme="minorHAnsi"/>
        </w:rPr>
      </w:pPr>
      <w:bookmarkStart w:id="345" w:name="_Toc406295874"/>
      <w:bookmarkStart w:id="346" w:name="_Toc407161294"/>
      <w:bookmarkStart w:id="347" w:name="_Toc418994952"/>
      <w:bookmarkStart w:id="348" w:name="_Toc418996359"/>
      <w:bookmarkStart w:id="349" w:name="_Toc418996728"/>
      <w:bookmarkStart w:id="350" w:name="_Toc418997115"/>
      <w:bookmarkStart w:id="351" w:name="_Toc418998525"/>
      <w:bookmarkStart w:id="352" w:name="_Toc418998881"/>
      <w:bookmarkStart w:id="353" w:name="_Toc419000126"/>
      <w:r w:rsidRPr="00FE60E3">
        <w:rPr>
          <w:rFonts w:asciiTheme="minorHAnsi" w:hAnsiTheme="minorHAnsi"/>
        </w:rPr>
        <w:t>8. ODBIÓR ROBÓT</w:t>
      </w:r>
      <w:bookmarkEnd w:id="345"/>
      <w:bookmarkEnd w:id="346"/>
      <w:bookmarkEnd w:id="347"/>
      <w:bookmarkEnd w:id="348"/>
      <w:bookmarkEnd w:id="349"/>
      <w:bookmarkEnd w:id="350"/>
      <w:bookmarkEnd w:id="351"/>
      <w:bookmarkEnd w:id="352"/>
      <w:bookmarkEnd w:id="353"/>
    </w:p>
    <w:p w:rsidR="004F5BEB" w:rsidRPr="00FE60E3" w:rsidRDefault="004F5BEB" w:rsidP="004F5BEB">
      <w:pPr>
        <w:rPr>
          <w:rFonts w:asciiTheme="minorHAnsi" w:hAnsiTheme="minorHAnsi"/>
        </w:rPr>
      </w:pPr>
      <w:r w:rsidRPr="00FE60E3">
        <w:rPr>
          <w:rFonts w:asciiTheme="minorHAnsi" w:hAnsiTheme="minorHAnsi"/>
        </w:rPr>
        <w:t>Ogólne zasady odbioru podano w STWiORB D-M-00.00.00 pkt 8.</w:t>
      </w:r>
    </w:p>
    <w:p w:rsidR="004F5BEB" w:rsidRPr="00FE60E3" w:rsidRDefault="004F5BEB" w:rsidP="004F5BEB">
      <w:pPr>
        <w:rPr>
          <w:rFonts w:asciiTheme="minorHAnsi" w:hAnsiTheme="minorHAnsi"/>
        </w:rPr>
      </w:pPr>
      <w:r w:rsidRPr="00FE60E3">
        <w:rPr>
          <w:rFonts w:asciiTheme="minorHAnsi" w:hAnsiTheme="minorHAnsi"/>
        </w:rPr>
        <w:t>Roboty uznaje się za wykonane zgodnie z dokumentacją projektową, STWiORB i wymaganiami Inżyniera, jeżeli wszystkie pomiary i badania z zachowaniem tolerancji wg pkt 6 dały wyniki pozytywne.</w:t>
      </w:r>
    </w:p>
    <w:p w:rsidR="004F5BEB" w:rsidRPr="00FE60E3" w:rsidRDefault="004F5BEB" w:rsidP="004F5BEB">
      <w:pPr>
        <w:pStyle w:val="Nagwek3"/>
        <w:rPr>
          <w:rFonts w:asciiTheme="minorHAnsi" w:hAnsiTheme="minorHAnsi"/>
        </w:rPr>
      </w:pPr>
      <w:bookmarkStart w:id="354" w:name="_Toc406295875"/>
      <w:bookmarkStart w:id="355" w:name="_Toc407161295"/>
      <w:bookmarkStart w:id="356" w:name="_Toc418994953"/>
      <w:bookmarkStart w:id="357" w:name="_Toc418996360"/>
      <w:bookmarkStart w:id="358" w:name="_Toc418996729"/>
      <w:bookmarkStart w:id="359" w:name="_Toc418997116"/>
      <w:bookmarkStart w:id="360" w:name="_Toc418998526"/>
      <w:bookmarkStart w:id="361" w:name="_Toc418998882"/>
      <w:bookmarkStart w:id="362" w:name="_Toc419000127"/>
      <w:r w:rsidRPr="00FE60E3">
        <w:rPr>
          <w:rFonts w:asciiTheme="minorHAnsi" w:hAnsiTheme="minorHAnsi"/>
        </w:rPr>
        <w:t>9. PODSTAWA PŁATNOŚCI</w:t>
      </w:r>
      <w:bookmarkEnd w:id="354"/>
      <w:bookmarkEnd w:id="355"/>
      <w:bookmarkEnd w:id="356"/>
      <w:bookmarkEnd w:id="357"/>
      <w:bookmarkEnd w:id="358"/>
      <w:bookmarkEnd w:id="359"/>
      <w:bookmarkEnd w:id="360"/>
      <w:bookmarkEnd w:id="361"/>
      <w:bookmarkEnd w:id="362"/>
    </w:p>
    <w:p w:rsidR="000D4846" w:rsidRPr="00203191" w:rsidRDefault="000D4846" w:rsidP="000D4846">
      <w:pPr>
        <w:pStyle w:val="Nagwek4"/>
        <w:tabs>
          <w:tab w:val="left" w:pos="9914"/>
        </w:tabs>
        <w:rPr>
          <w:rFonts w:asciiTheme="minorHAnsi" w:hAnsiTheme="minorHAnsi"/>
        </w:rPr>
      </w:pPr>
      <w:bookmarkStart w:id="363" w:name="_Toc406295876"/>
      <w:bookmarkStart w:id="364" w:name="_Toc407161296"/>
      <w:r w:rsidRPr="00203191">
        <w:rPr>
          <w:rFonts w:asciiTheme="minorHAnsi" w:hAnsiTheme="minorHAnsi"/>
        </w:rPr>
        <w:t>9.1. Ogólne ustalenia dotyczące podstawy płatności</w:t>
      </w:r>
      <w:bookmarkEnd w:id="363"/>
      <w:bookmarkEnd w:id="364"/>
    </w:p>
    <w:p w:rsidR="000D4846" w:rsidRPr="00203191" w:rsidRDefault="000D4846" w:rsidP="000D4846">
      <w:pPr>
        <w:tabs>
          <w:tab w:val="left" w:pos="9914"/>
        </w:tabs>
        <w:rPr>
          <w:rFonts w:asciiTheme="minorHAnsi" w:hAnsiTheme="minorHAnsi"/>
        </w:rPr>
      </w:pPr>
      <w:r w:rsidRPr="00203191">
        <w:rPr>
          <w:rFonts w:asciiTheme="minorHAnsi" w:hAnsiTheme="minorHAnsi"/>
        </w:rPr>
        <w:t>Ogólne ustalenia dotyczące podstawy płatności podano w SSTWiORB D-M-00.00.00 pkt 9.</w:t>
      </w:r>
    </w:p>
    <w:p w:rsidR="000D4846" w:rsidRPr="00203191" w:rsidRDefault="000D4846" w:rsidP="000D4846">
      <w:pPr>
        <w:pStyle w:val="Nagwek4"/>
        <w:tabs>
          <w:tab w:val="left" w:pos="9914"/>
        </w:tabs>
        <w:rPr>
          <w:rFonts w:asciiTheme="minorHAnsi" w:hAnsiTheme="minorHAnsi"/>
        </w:rPr>
      </w:pPr>
      <w:bookmarkStart w:id="365" w:name="_Toc406295877"/>
      <w:bookmarkStart w:id="366" w:name="_Toc407161297"/>
      <w:r w:rsidRPr="00203191">
        <w:rPr>
          <w:rFonts w:asciiTheme="minorHAnsi" w:hAnsiTheme="minorHAnsi"/>
        </w:rPr>
        <w:t>9.2. Cena jednostki obmiarowej</w:t>
      </w:r>
      <w:bookmarkEnd w:id="365"/>
      <w:bookmarkEnd w:id="366"/>
    </w:p>
    <w:p w:rsidR="000D4846" w:rsidRPr="00203191" w:rsidRDefault="000D4846" w:rsidP="000D4846">
      <w:pPr>
        <w:tabs>
          <w:tab w:val="left" w:pos="9914"/>
        </w:tabs>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3"/>
        </w:smartTagPr>
        <w:r w:rsidRPr="00203191">
          <w:rPr>
            <w:rFonts w:asciiTheme="minorHAnsi" w:hAnsiTheme="minorHAnsi"/>
          </w:rPr>
          <w:t>1 m</w:t>
        </w:r>
        <w:r w:rsidRPr="00203191">
          <w:rPr>
            <w:rFonts w:asciiTheme="minorHAnsi" w:hAnsiTheme="minorHAnsi"/>
            <w:vertAlign w:val="superscript"/>
          </w:rPr>
          <w:t>3</w:t>
        </w:r>
      </w:smartTag>
      <w:r w:rsidRPr="00203191">
        <w:rPr>
          <w:rFonts w:asciiTheme="minorHAnsi" w:hAnsiTheme="minorHAnsi"/>
        </w:rPr>
        <w:t xml:space="preserve"> nasypów obejmuje:</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prace pomiarowe,</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oznakowanie robót,</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pozyskanie gruntu z ukopu lub/i dokopu, jego odspojenie i załadunek na środki transportowe,</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transport urobku z ukopu lub/i dokopu na miejsce wbudowania,</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wbudowanie dostarczonego gruntu w nasyp,</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zagęszczenie gruntu,</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profilowanie powierzchni nasypu, rowów i skarp,</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wyprofilowanie skarp ukopu i dokopu,</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rekultywację dokopu i terenu przyległego do drogi,</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odwodnienie terenu robót,</w:t>
      </w:r>
    </w:p>
    <w:p w:rsidR="000D4846" w:rsidRPr="00203191" w:rsidRDefault="000D4846" w:rsidP="000D4846">
      <w:pPr>
        <w:numPr>
          <w:ilvl w:val="0"/>
          <w:numId w:val="38"/>
        </w:numPr>
        <w:tabs>
          <w:tab w:val="left" w:pos="9914"/>
        </w:tabs>
        <w:rPr>
          <w:rFonts w:asciiTheme="minorHAnsi" w:hAnsiTheme="minorHAnsi"/>
        </w:rPr>
      </w:pPr>
      <w:r w:rsidRPr="00203191">
        <w:rPr>
          <w:rFonts w:asciiTheme="minorHAnsi" w:hAnsiTheme="minorHAnsi"/>
        </w:rPr>
        <w:t>wykonanie dróg dojazdowych na czas budowy, a następnie ich rozebranie,</w:t>
      </w:r>
    </w:p>
    <w:p w:rsidR="004F5BEB" w:rsidRPr="00FE60E3" w:rsidRDefault="000D4846" w:rsidP="000D4846">
      <w:pPr>
        <w:tabs>
          <w:tab w:val="left" w:pos="0"/>
        </w:tabs>
        <w:rPr>
          <w:rFonts w:asciiTheme="minorHAnsi" w:hAnsiTheme="minorHAnsi"/>
        </w:rPr>
      </w:pPr>
      <w:r w:rsidRPr="00203191">
        <w:rPr>
          <w:rFonts w:asciiTheme="minorHAnsi" w:hAnsiTheme="minorHAnsi"/>
        </w:rPr>
        <w:t>przeprowadzenie pomiarów i badań laboratoryjnych wymaganych w specyfikacji technicznej</w:t>
      </w:r>
    </w:p>
    <w:p w:rsidR="004F5BEB" w:rsidRPr="00FE60E3" w:rsidRDefault="004F5BEB" w:rsidP="004F5BEB">
      <w:pPr>
        <w:pStyle w:val="Nagwek3"/>
        <w:rPr>
          <w:rFonts w:asciiTheme="minorHAnsi" w:hAnsiTheme="minorHAnsi"/>
        </w:rPr>
      </w:pPr>
      <w:bookmarkStart w:id="367" w:name="_Toc406295878"/>
      <w:bookmarkStart w:id="368" w:name="_Toc407161298"/>
      <w:bookmarkStart w:id="369" w:name="_Toc418994954"/>
      <w:bookmarkStart w:id="370" w:name="_Toc418996361"/>
      <w:bookmarkStart w:id="371" w:name="_Toc418996730"/>
      <w:bookmarkStart w:id="372" w:name="_Toc418997117"/>
      <w:bookmarkStart w:id="373" w:name="_Toc418998527"/>
      <w:bookmarkStart w:id="374" w:name="_Toc418998883"/>
      <w:bookmarkStart w:id="375" w:name="_Toc419000128"/>
      <w:r w:rsidRPr="00FE60E3">
        <w:rPr>
          <w:rFonts w:asciiTheme="minorHAnsi" w:hAnsiTheme="minorHAnsi"/>
        </w:rPr>
        <w:t>10. PRZEPISY ZWIĄZANE</w:t>
      </w:r>
      <w:bookmarkEnd w:id="367"/>
      <w:bookmarkEnd w:id="368"/>
      <w:bookmarkEnd w:id="369"/>
      <w:bookmarkEnd w:id="370"/>
      <w:bookmarkEnd w:id="371"/>
      <w:bookmarkEnd w:id="372"/>
      <w:bookmarkEnd w:id="373"/>
      <w:bookmarkEnd w:id="374"/>
      <w:bookmarkEnd w:id="375"/>
    </w:p>
    <w:p w:rsidR="004F5BEB" w:rsidRPr="00FE60E3" w:rsidRDefault="004F5BEB" w:rsidP="004F5BEB">
      <w:pPr>
        <w:pStyle w:val="Nagwek4"/>
        <w:rPr>
          <w:rFonts w:asciiTheme="minorHAnsi" w:hAnsiTheme="minorHAnsi"/>
        </w:rPr>
      </w:pPr>
      <w:r w:rsidRPr="00FE60E3">
        <w:rPr>
          <w:rFonts w:asciiTheme="minorHAnsi" w:hAnsiTheme="minorHAnsi"/>
        </w:rPr>
        <w:t>10.1. Normy</w:t>
      </w:r>
    </w:p>
    <w:tbl>
      <w:tblPr>
        <w:tblW w:w="0" w:type="auto"/>
        <w:tblLayout w:type="fixed"/>
        <w:tblCellMar>
          <w:left w:w="70" w:type="dxa"/>
          <w:right w:w="70" w:type="dxa"/>
        </w:tblCellMar>
        <w:tblLook w:val="0000"/>
      </w:tblPr>
      <w:tblGrid>
        <w:gridCol w:w="354"/>
        <w:gridCol w:w="1879"/>
        <w:gridCol w:w="7546"/>
      </w:tblGrid>
      <w:tr w:rsidR="004F5BEB" w:rsidRPr="00FE60E3" w:rsidTr="004F5BEB">
        <w:tc>
          <w:tcPr>
            <w:tcW w:w="354" w:type="dxa"/>
          </w:tcPr>
          <w:p w:rsidR="004F5BEB" w:rsidRPr="00FE60E3" w:rsidRDefault="004F5BEB" w:rsidP="004F5BEB">
            <w:pPr>
              <w:pStyle w:val="Standardowytekst"/>
              <w:rPr>
                <w:rFonts w:asciiTheme="minorHAnsi" w:hAnsiTheme="minorHAnsi"/>
              </w:rPr>
            </w:pPr>
            <w:r w:rsidRPr="00FE60E3">
              <w:rPr>
                <w:rFonts w:asciiTheme="minorHAnsi" w:hAnsiTheme="minorHAnsi"/>
              </w:rPr>
              <w:t>1</w:t>
            </w:r>
          </w:p>
        </w:tc>
        <w:tc>
          <w:tcPr>
            <w:tcW w:w="1879" w:type="dxa"/>
          </w:tcPr>
          <w:p w:rsidR="004F5BEB" w:rsidRPr="00FE60E3" w:rsidRDefault="004F5BEB" w:rsidP="004F5BEB">
            <w:pPr>
              <w:pStyle w:val="Standardowytekst"/>
              <w:rPr>
                <w:rFonts w:asciiTheme="minorHAnsi" w:hAnsiTheme="minorHAnsi"/>
              </w:rPr>
            </w:pPr>
            <w:r w:rsidRPr="00FE60E3">
              <w:rPr>
                <w:rFonts w:asciiTheme="minorHAnsi" w:hAnsiTheme="minorHAnsi"/>
              </w:rPr>
              <w:t>PN-EN 933-8:2001</w:t>
            </w:r>
          </w:p>
        </w:tc>
        <w:tc>
          <w:tcPr>
            <w:tcW w:w="7546" w:type="dxa"/>
          </w:tcPr>
          <w:p w:rsidR="004F5BEB" w:rsidRPr="00FE60E3" w:rsidRDefault="004F5BEB" w:rsidP="004F5BEB">
            <w:pPr>
              <w:pStyle w:val="Standardowytekst"/>
              <w:rPr>
                <w:rFonts w:asciiTheme="minorHAnsi" w:hAnsiTheme="minorHAnsi"/>
              </w:rPr>
            </w:pPr>
            <w:r w:rsidRPr="00FE60E3">
              <w:rPr>
                <w:rFonts w:asciiTheme="minorHAnsi" w:hAnsiTheme="minorHAnsi"/>
              </w:rPr>
              <w:t>Badania geometrycznych właściwości kruszyw. Część 8 Ocena zawartości drobnych cząstek Badania wskaźnika piaskowego</w:t>
            </w:r>
          </w:p>
        </w:tc>
      </w:tr>
      <w:tr w:rsidR="004F5BEB" w:rsidRPr="00FE60E3" w:rsidTr="004F5BEB">
        <w:tc>
          <w:tcPr>
            <w:tcW w:w="354" w:type="dxa"/>
          </w:tcPr>
          <w:p w:rsidR="004F5BEB" w:rsidRPr="00FE60E3" w:rsidRDefault="004F5BEB" w:rsidP="004F5BEB">
            <w:pPr>
              <w:pStyle w:val="Standardowytekst"/>
              <w:rPr>
                <w:rFonts w:asciiTheme="minorHAnsi" w:hAnsiTheme="minorHAnsi"/>
              </w:rPr>
            </w:pPr>
            <w:r w:rsidRPr="00FE60E3">
              <w:rPr>
                <w:rFonts w:asciiTheme="minorHAnsi" w:hAnsiTheme="minorHAnsi"/>
              </w:rPr>
              <w:t>2.</w:t>
            </w:r>
          </w:p>
        </w:tc>
        <w:tc>
          <w:tcPr>
            <w:tcW w:w="1879" w:type="dxa"/>
          </w:tcPr>
          <w:p w:rsidR="004F5BEB" w:rsidRPr="00FE60E3" w:rsidRDefault="004F5BEB" w:rsidP="004F5BEB">
            <w:pPr>
              <w:pStyle w:val="Standardowytekst"/>
              <w:rPr>
                <w:rFonts w:asciiTheme="minorHAnsi" w:hAnsiTheme="minorHAnsi"/>
              </w:rPr>
            </w:pPr>
            <w:r w:rsidRPr="00FE60E3">
              <w:rPr>
                <w:rFonts w:asciiTheme="minorHAnsi" w:hAnsiTheme="minorHAnsi"/>
              </w:rPr>
              <w:t>PN-B-04481:1988</w:t>
            </w:r>
          </w:p>
        </w:tc>
        <w:tc>
          <w:tcPr>
            <w:tcW w:w="7546" w:type="dxa"/>
          </w:tcPr>
          <w:p w:rsidR="004F5BEB" w:rsidRPr="00FE60E3" w:rsidRDefault="004F5BEB" w:rsidP="004F5BEB">
            <w:pPr>
              <w:pStyle w:val="Standardowytekst"/>
              <w:rPr>
                <w:rFonts w:asciiTheme="minorHAnsi" w:hAnsiTheme="minorHAnsi"/>
              </w:rPr>
            </w:pPr>
            <w:r w:rsidRPr="00FE60E3">
              <w:rPr>
                <w:rFonts w:asciiTheme="minorHAnsi" w:hAnsiTheme="minorHAnsi"/>
              </w:rPr>
              <w:t>Grunty budowlane. Badania próbek gruntów</w:t>
            </w:r>
          </w:p>
        </w:tc>
      </w:tr>
      <w:tr w:rsidR="004F5BEB" w:rsidRPr="00FE60E3" w:rsidTr="004F5BEB">
        <w:tc>
          <w:tcPr>
            <w:tcW w:w="354" w:type="dxa"/>
          </w:tcPr>
          <w:p w:rsidR="004F5BEB" w:rsidRPr="00FE60E3" w:rsidRDefault="004F5BEB" w:rsidP="004F5BEB">
            <w:pPr>
              <w:pStyle w:val="Standardowytekst"/>
              <w:rPr>
                <w:rFonts w:asciiTheme="minorHAnsi" w:hAnsiTheme="minorHAnsi"/>
              </w:rPr>
            </w:pPr>
            <w:r w:rsidRPr="00FE60E3">
              <w:rPr>
                <w:rFonts w:asciiTheme="minorHAnsi" w:hAnsiTheme="minorHAnsi"/>
              </w:rPr>
              <w:t>3.</w:t>
            </w:r>
          </w:p>
        </w:tc>
        <w:tc>
          <w:tcPr>
            <w:tcW w:w="1879" w:type="dxa"/>
          </w:tcPr>
          <w:p w:rsidR="004F5BEB" w:rsidRPr="00FE60E3" w:rsidRDefault="004F5BEB" w:rsidP="004F5BEB">
            <w:pPr>
              <w:pStyle w:val="Standardowytekst"/>
              <w:rPr>
                <w:rFonts w:asciiTheme="minorHAnsi" w:hAnsiTheme="minorHAnsi"/>
              </w:rPr>
            </w:pPr>
            <w:r w:rsidRPr="00FE60E3">
              <w:rPr>
                <w:rFonts w:asciiTheme="minorHAnsi" w:hAnsiTheme="minorHAnsi"/>
              </w:rPr>
              <w:t>PN-B-04493:1960</w:t>
            </w:r>
          </w:p>
        </w:tc>
        <w:tc>
          <w:tcPr>
            <w:tcW w:w="7546" w:type="dxa"/>
          </w:tcPr>
          <w:p w:rsidR="004F5BEB" w:rsidRPr="00FE60E3" w:rsidRDefault="004F5BEB" w:rsidP="004F5BEB">
            <w:pPr>
              <w:pStyle w:val="Standardowytekst"/>
              <w:rPr>
                <w:rFonts w:asciiTheme="minorHAnsi" w:hAnsiTheme="minorHAnsi"/>
              </w:rPr>
            </w:pPr>
            <w:r w:rsidRPr="00FE60E3">
              <w:rPr>
                <w:rFonts w:asciiTheme="minorHAnsi" w:hAnsiTheme="minorHAnsi"/>
              </w:rPr>
              <w:t>Grunty budowlane. Oznaczanie kapilarności biernej</w:t>
            </w:r>
          </w:p>
        </w:tc>
      </w:tr>
      <w:tr w:rsidR="004F5BEB" w:rsidRPr="00FE60E3" w:rsidTr="004F5BEB">
        <w:tc>
          <w:tcPr>
            <w:tcW w:w="354" w:type="dxa"/>
          </w:tcPr>
          <w:p w:rsidR="004F5BEB" w:rsidRPr="00FE60E3" w:rsidRDefault="004F5BEB" w:rsidP="004F5BEB">
            <w:pPr>
              <w:pStyle w:val="Standardowytekst"/>
              <w:rPr>
                <w:rFonts w:asciiTheme="minorHAnsi" w:hAnsiTheme="minorHAnsi"/>
              </w:rPr>
            </w:pPr>
            <w:r w:rsidRPr="00FE60E3">
              <w:rPr>
                <w:rFonts w:asciiTheme="minorHAnsi" w:hAnsiTheme="minorHAnsi"/>
              </w:rPr>
              <w:t>4.</w:t>
            </w:r>
          </w:p>
        </w:tc>
        <w:tc>
          <w:tcPr>
            <w:tcW w:w="1879" w:type="dxa"/>
          </w:tcPr>
          <w:p w:rsidR="004F5BEB" w:rsidRPr="00FE60E3" w:rsidRDefault="004F5BEB" w:rsidP="004F5BEB">
            <w:pPr>
              <w:pStyle w:val="Standardowytekst"/>
              <w:rPr>
                <w:rFonts w:asciiTheme="minorHAnsi" w:hAnsiTheme="minorHAnsi"/>
              </w:rPr>
            </w:pPr>
            <w:r w:rsidRPr="00FE60E3">
              <w:rPr>
                <w:rFonts w:asciiTheme="minorHAnsi" w:hAnsiTheme="minorHAnsi"/>
              </w:rPr>
              <w:t>PN-S-02205:1998</w:t>
            </w:r>
          </w:p>
        </w:tc>
        <w:tc>
          <w:tcPr>
            <w:tcW w:w="7546" w:type="dxa"/>
          </w:tcPr>
          <w:p w:rsidR="004F5BEB" w:rsidRPr="00FE60E3" w:rsidRDefault="004F5BEB" w:rsidP="004F5BEB">
            <w:pPr>
              <w:pStyle w:val="Standardowytekst"/>
              <w:rPr>
                <w:rFonts w:asciiTheme="minorHAnsi" w:hAnsiTheme="minorHAnsi"/>
              </w:rPr>
            </w:pPr>
            <w:r w:rsidRPr="00FE60E3">
              <w:rPr>
                <w:rFonts w:asciiTheme="minorHAnsi" w:hAnsiTheme="minorHAnsi"/>
              </w:rPr>
              <w:t>Drogi samochodowe. Roboty ziemne. Wymagania i badania</w:t>
            </w:r>
          </w:p>
        </w:tc>
      </w:tr>
      <w:tr w:rsidR="004F5BEB" w:rsidRPr="00FE60E3" w:rsidTr="004F5BEB">
        <w:tc>
          <w:tcPr>
            <w:tcW w:w="354" w:type="dxa"/>
          </w:tcPr>
          <w:p w:rsidR="004F5BEB" w:rsidRPr="00FE60E3" w:rsidRDefault="004F5BEB" w:rsidP="004F5BEB">
            <w:pPr>
              <w:pStyle w:val="Standardowytekst"/>
              <w:rPr>
                <w:rFonts w:asciiTheme="minorHAnsi" w:hAnsiTheme="minorHAnsi"/>
              </w:rPr>
            </w:pPr>
            <w:r w:rsidRPr="00FE60E3">
              <w:rPr>
                <w:rFonts w:asciiTheme="minorHAnsi" w:hAnsiTheme="minorHAnsi"/>
              </w:rPr>
              <w:t>5.</w:t>
            </w:r>
          </w:p>
        </w:tc>
        <w:tc>
          <w:tcPr>
            <w:tcW w:w="1879" w:type="dxa"/>
          </w:tcPr>
          <w:p w:rsidR="004F5BEB" w:rsidRPr="00FE60E3" w:rsidRDefault="004F5BEB" w:rsidP="004F5BEB">
            <w:pPr>
              <w:pStyle w:val="Standardowytekst"/>
              <w:rPr>
                <w:rFonts w:asciiTheme="minorHAnsi" w:hAnsiTheme="minorHAnsi"/>
              </w:rPr>
            </w:pPr>
            <w:r w:rsidRPr="00FE60E3">
              <w:rPr>
                <w:rFonts w:asciiTheme="minorHAnsi" w:hAnsiTheme="minorHAnsi"/>
              </w:rPr>
              <w:t>BN-77/8931-12</w:t>
            </w:r>
          </w:p>
        </w:tc>
        <w:tc>
          <w:tcPr>
            <w:tcW w:w="7546" w:type="dxa"/>
          </w:tcPr>
          <w:p w:rsidR="004F5BEB" w:rsidRPr="00FE60E3" w:rsidRDefault="004F5BEB" w:rsidP="004F5BEB">
            <w:pPr>
              <w:pStyle w:val="Standardowytekst"/>
              <w:rPr>
                <w:rFonts w:asciiTheme="minorHAnsi" w:hAnsiTheme="minorHAnsi"/>
              </w:rPr>
            </w:pPr>
            <w:r w:rsidRPr="00FE60E3">
              <w:rPr>
                <w:rFonts w:asciiTheme="minorHAnsi" w:hAnsiTheme="minorHAnsi"/>
              </w:rPr>
              <w:t>Oznaczenie wskaźnika zagęszczenia gruntu</w:t>
            </w:r>
          </w:p>
        </w:tc>
      </w:tr>
    </w:tbl>
    <w:p w:rsidR="004F5BEB" w:rsidRPr="00FE60E3" w:rsidRDefault="004F5BEB" w:rsidP="004F5BEB">
      <w:pPr>
        <w:pStyle w:val="Nagwek4"/>
        <w:rPr>
          <w:rFonts w:asciiTheme="minorHAnsi" w:hAnsiTheme="minorHAnsi"/>
        </w:rPr>
      </w:pPr>
      <w:r w:rsidRPr="00FE60E3">
        <w:rPr>
          <w:rFonts w:asciiTheme="minorHAnsi" w:hAnsiTheme="minorHAnsi"/>
        </w:rPr>
        <w:lastRenderedPageBreak/>
        <w:t>10.2. Inne dokumenty</w:t>
      </w:r>
    </w:p>
    <w:p w:rsidR="004F5BEB" w:rsidRPr="00FE60E3" w:rsidRDefault="004F5BEB" w:rsidP="00973D29">
      <w:pPr>
        <w:pStyle w:val="Standardowytekst"/>
        <w:numPr>
          <w:ilvl w:val="0"/>
          <w:numId w:val="25"/>
        </w:numPr>
        <w:tabs>
          <w:tab w:val="left" w:pos="426"/>
        </w:tabs>
        <w:rPr>
          <w:rFonts w:asciiTheme="minorHAnsi" w:hAnsiTheme="minorHAnsi"/>
        </w:rPr>
      </w:pPr>
      <w:r w:rsidRPr="00FE60E3">
        <w:rPr>
          <w:rFonts w:asciiTheme="minorHAnsi" w:hAnsiTheme="minorHAnsi"/>
        </w:rPr>
        <w:t>Instrukcja badań podłoża gruntowego budowli drogowych i mostowych, GDDP,Warszawa 1998.</w:t>
      </w:r>
    </w:p>
    <w:p w:rsidR="004F5BEB" w:rsidRPr="00FE60E3" w:rsidRDefault="004F5BEB" w:rsidP="00973D29">
      <w:pPr>
        <w:pStyle w:val="Standardowytekst"/>
        <w:numPr>
          <w:ilvl w:val="0"/>
          <w:numId w:val="25"/>
        </w:numPr>
        <w:tabs>
          <w:tab w:val="left" w:pos="426"/>
        </w:tabs>
        <w:rPr>
          <w:rFonts w:asciiTheme="minorHAnsi" w:hAnsiTheme="minorHAnsi"/>
        </w:rPr>
      </w:pPr>
      <w:r w:rsidRPr="00FE60E3">
        <w:rPr>
          <w:rFonts w:asciiTheme="minorHAnsi" w:hAnsiTheme="minorHAnsi"/>
        </w:rPr>
        <w:t>Katalog typowych konstrukcji nawierzchni podatnych i półsztywnych, IBDiM, Warszawa 1997.</w:t>
      </w:r>
    </w:p>
    <w:p w:rsidR="006947FD" w:rsidRPr="00ED6D29" w:rsidRDefault="005B48CA" w:rsidP="00333F85">
      <w:pPr>
        <w:pStyle w:val="Nagwek2"/>
      </w:pPr>
      <w:r w:rsidRPr="00ED6D29">
        <w:lastRenderedPageBreak/>
        <w:t>SPECYFIKACJE TECHNICZNE</w:t>
      </w:r>
      <w:r w:rsidR="00413511" w:rsidRPr="00ED6D29">
        <w:t xml:space="preserve"> WYKONYWANIA I ODBIORU ROBÓT </w:t>
      </w:r>
      <w:r w:rsidR="00413511" w:rsidRPr="00333F85">
        <w:t>BUDOWLANYCH</w:t>
      </w:r>
    </w:p>
    <w:p w:rsidR="006947FD" w:rsidRPr="00333F85" w:rsidRDefault="006947FD" w:rsidP="00333F85">
      <w:pPr>
        <w:pStyle w:val="Nagwek1"/>
      </w:pPr>
      <w:bookmarkStart w:id="376" w:name="_Toc358024781"/>
      <w:bookmarkStart w:id="377" w:name="_Toc369334404"/>
      <w:bookmarkStart w:id="378" w:name="_Toc427178269"/>
      <w:bookmarkStart w:id="379" w:name="_Toc459929668"/>
      <w:r w:rsidRPr="00333F85">
        <w:t>D-03.02.01  KANALIZACJA DESZCZOWA</w:t>
      </w:r>
      <w:bookmarkEnd w:id="376"/>
      <w:bookmarkEnd w:id="377"/>
      <w:bookmarkEnd w:id="378"/>
      <w:bookmarkEnd w:id="379"/>
    </w:p>
    <w:p w:rsidR="006947FD" w:rsidRPr="00A8518B" w:rsidRDefault="006947FD" w:rsidP="006947FD">
      <w:pPr>
        <w:rPr>
          <w:rFonts w:asciiTheme="minorHAnsi" w:hAnsiTheme="minorHAnsi" w:cs="Calibri"/>
          <w:b/>
          <w:bCs/>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380" w:name="_Toc358023952"/>
      <w:bookmarkStart w:id="381" w:name="_Toc358024367"/>
      <w:bookmarkStart w:id="382" w:name="_Toc358024782"/>
      <w:r w:rsidRPr="00A8518B">
        <w:rPr>
          <w:rFonts w:asciiTheme="minorHAnsi" w:hAnsiTheme="minorHAnsi" w:cs="Calibri"/>
          <w:sz w:val="20"/>
          <w:szCs w:val="20"/>
        </w:rPr>
        <w:t>1. WSTĘP</w:t>
      </w:r>
      <w:bookmarkEnd w:id="380"/>
      <w:bookmarkEnd w:id="381"/>
      <w:bookmarkEnd w:id="382"/>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383" w:name="_Toc358023953"/>
      <w:bookmarkStart w:id="384" w:name="_Toc358024368"/>
      <w:bookmarkStart w:id="385" w:name="_Toc358024783"/>
      <w:r w:rsidRPr="00A8518B">
        <w:rPr>
          <w:rFonts w:asciiTheme="minorHAnsi" w:hAnsiTheme="minorHAnsi" w:cs="Calibri"/>
        </w:rPr>
        <w:t xml:space="preserve">1.1. Przedmiot </w:t>
      </w:r>
      <w:bookmarkEnd w:id="383"/>
      <w:bookmarkEnd w:id="384"/>
      <w:bookmarkEnd w:id="385"/>
      <w:r w:rsidR="00ED6D29">
        <w:rPr>
          <w:rFonts w:asciiTheme="minorHAnsi" w:hAnsiTheme="minorHAnsi" w:cs="Calibri"/>
        </w:rPr>
        <w:t>ST</w:t>
      </w:r>
      <w:r w:rsidR="00413511">
        <w:rPr>
          <w:rFonts w:asciiTheme="minorHAnsi" w:hAnsiTheme="minorHAnsi" w:cs="Calibri"/>
        </w:rPr>
        <w:t>WiOR</w:t>
      </w:r>
      <w:r w:rsidR="00ED6D29">
        <w:rPr>
          <w:rFonts w:asciiTheme="minorHAnsi" w:hAnsiTheme="minorHAnsi" w:cs="Calibri"/>
        </w:rPr>
        <w:t>B</w:t>
      </w:r>
    </w:p>
    <w:p w:rsidR="006947FD" w:rsidRPr="00A8518B" w:rsidRDefault="006947FD" w:rsidP="006947FD">
      <w:pPr>
        <w:rPr>
          <w:rFonts w:asciiTheme="minorHAnsi" w:hAnsiTheme="minorHAnsi" w:cs="Calibri"/>
        </w:rPr>
      </w:pPr>
      <w:r w:rsidRPr="00203191">
        <w:rPr>
          <w:rFonts w:ascii="Calibri" w:hAnsi="Calibri" w:cs="Calibri"/>
        </w:rPr>
        <w:t xml:space="preserve">Przedmiotem </w:t>
      </w:r>
      <w:r>
        <w:rPr>
          <w:rFonts w:ascii="Calibri" w:hAnsi="Calibri" w:cs="Calibri"/>
        </w:rPr>
        <w:t>niniejsz</w:t>
      </w:r>
      <w:r w:rsidR="00ED6D29">
        <w:rPr>
          <w:rFonts w:ascii="Calibri" w:hAnsi="Calibri" w:cs="Calibri"/>
        </w:rPr>
        <w:t>ej</w:t>
      </w:r>
      <w:r>
        <w:rPr>
          <w:rFonts w:ascii="Calibri" w:hAnsi="Calibri" w:cs="Calibri"/>
        </w:rPr>
        <w:t xml:space="preserve"> </w:t>
      </w:r>
      <w:r w:rsidR="00ED6D29">
        <w:rPr>
          <w:rFonts w:ascii="Calibri" w:hAnsi="Calibri" w:cs="Calibri"/>
        </w:rPr>
        <w:t>specyfikacji</w:t>
      </w:r>
      <w:r>
        <w:rPr>
          <w:rFonts w:ascii="Calibri" w:hAnsi="Calibri" w:cs="Calibri"/>
        </w:rPr>
        <w:t xml:space="preserve"> </w:t>
      </w:r>
      <w:r w:rsidRPr="00203191">
        <w:rPr>
          <w:rFonts w:ascii="Calibri" w:hAnsi="Calibri" w:cs="Calibri"/>
        </w:rPr>
        <w:t xml:space="preserve"> są wymagania dotyczące</w:t>
      </w:r>
      <w:r w:rsidRPr="00A8518B">
        <w:rPr>
          <w:rFonts w:asciiTheme="minorHAnsi" w:hAnsiTheme="minorHAnsi" w:cs="Calibri"/>
        </w:rPr>
        <w:t xml:space="preserve"> wykonania i odbioru robót związanych z budową i przebudową kanalizacji deszczowej.</w:t>
      </w:r>
    </w:p>
    <w:p w:rsidR="006947FD" w:rsidRPr="00A8518B" w:rsidRDefault="006947FD" w:rsidP="006947FD">
      <w:pPr>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386" w:name="_Toc358023954"/>
      <w:bookmarkStart w:id="387" w:name="_Toc358024369"/>
      <w:bookmarkStart w:id="388" w:name="_Toc358024784"/>
      <w:r w:rsidRPr="00A8518B">
        <w:rPr>
          <w:rFonts w:asciiTheme="minorHAnsi" w:hAnsiTheme="minorHAnsi" w:cs="Calibri"/>
        </w:rPr>
        <w:t xml:space="preserve">1.2. Zakres stosowania </w:t>
      </w:r>
      <w:bookmarkEnd w:id="386"/>
      <w:bookmarkEnd w:id="387"/>
      <w:bookmarkEnd w:id="388"/>
      <w:r w:rsidR="00ED6D29">
        <w:rPr>
          <w:rFonts w:asciiTheme="minorHAnsi" w:hAnsiTheme="minorHAnsi" w:cs="Calibri"/>
        </w:rPr>
        <w:t>ST</w:t>
      </w:r>
      <w:r w:rsidR="00413511">
        <w:rPr>
          <w:rFonts w:asciiTheme="minorHAnsi" w:hAnsiTheme="minorHAnsi" w:cs="Calibri"/>
        </w:rPr>
        <w:t>WiOR</w:t>
      </w:r>
      <w:r w:rsidR="00ED6D29">
        <w:rPr>
          <w:rFonts w:asciiTheme="minorHAnsi" w:hAnsiTheme="minorHAnsi" w:cs="Calibri"/>
        </w:rPr>
        <w:t>B</w:t>
      </w:r>
    </w:p>
    <w:p w:rsidR="006947FD" w:rsidRPr="00203191" w:rsidRDefault="00FE60E3" w:rsidP="006947FD">
      <w:pPr>
        <w:rPr>
          <w:rFonts w:ascii="Calibri" w:hAnsi="Calibri" w:cs="Calibri"/>
        </w:rPr>
      </w:pPr>
      <w:r>
        <w:rPr>
          <w:rFonts w:ascii="Calibri" w:hAnsi="Calibri" w:cs="Calibri"/>
        </w:rPr>
        <w:t>Specyfikacja techniczna</w:t>
      </w:r>
      <w:r w:rsidR="006947FD">
        <w:rPr>
          <w:rFonts w:ascii="Calibri" w:hAnsi="Calibri" w:cs="Calibri"/>
        </w:rPr>
        <w:t xml:space="preserve"> </w:t>
      </w:r>
      <w:r>
        <w:rPr>
          <w:rFonts w:ascii="Calibri" w:hAnsi="Calibri" w:cs="Calibri"/>
        </w:rPr>
        <w:t>stanowi</w:t>
      </w:r>
      <w:r w:rsidR="006947FD">
        <w:rPr>
          <w:rFonts w:ascii="Calibri" w:hAnsi="Calibri" w:cs="Calibri"/>
        </w:rPr>
        <w:t xml:space="preserve"> </w:t>
      </w:r>
      <w:r w:rsidR="006947FD"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947FD" w:rsidRPr="00A8518B" w:rsidRDefault="006947FD" w:rsidP="006947FD">
      <w:pPr>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389" w:name="_Toc358023955"/>
      <w:bookmarkStart w:id="390" w:name="_Toc358024370"/>
      <w:bookmarkStart w:id="391" w:name="_Toc358024785"/>
      <w:r w:rsidRPr="00A8518B">
        <w:rPr>
          <w:rFonts w:asciiTheme="minorHAnsi" w:hAnsiTheme="minorHAnsi" w:cs="Calibri"/>
        </w:rPr>
        <w:t xml:space="preserve">1.3. Zakres robót objętych </w:t>
      </w:r>
      <w:bookmarkEnd w:id="389"/>
      <w:bookmarkEnd w:id="390"/>
      <w:bookmarkEnd w:id="391"/>
      <w:r w:rsidR="00ED6D29">
        <w:rPr>
          <w:rFonts w:asciiTheme="minorHAnsi" w:hAnsiTheme="minorHAnsi" w:cs="Calibri"/>
        </w:rPr>
        <w:t>ST</w:t>
      </w:r>
      <w:r w:rsidR="00413511">
        <w:rPr>
          <w:rFonts w:asciiTheme="minorHAnsi" w:hAnsiTheme="minorHAnsi" w:cs="Calibri"/>
        </w:rPr>
        <w:t>WiOR</w:t>
      </w:r>
      <w:r w:rsidR="00ED6D29">
        <w:rPr>
          <w:rFonts w:asciiTheme="minorHAnsi" w:hAnsiTheme="minorHAnsi" w:cs="Calibri"/>
        </w:rPr>
        <w:t>B</w:t>
      </w:r>
    </w:p>
    <w:p w:rsidR="006947FD" w:rsidRPr="00A8518B" w:rsidRDefault="00413511" w:rsidP="006947FD">
      <w:pPr>
        <w:pStyle w:val="StylIwony"/>
        <w:spacing w:before="0" w:after="0"/>
        <w:rPr>
          <w:rFonts w:asciiTheme="minorHAnsi" w:hAnsiTheme="minorHAnsi" w:cs="Calibri"/>
          <w:sz w:val="20"/>
          <w:szCs w:val="20"/>
        </w:rPr>
      </w:pPr>
      <w:r>
        <w:rPr>
          <w:rFonts w:asciiTheme="minorHAnsi" w:hAnsiTheme="minorHAnsi" w:cs="Calibri"/>
          <w:sz w:val="20"/>
          <w:szCs w:val="20"/>
        </w:rPr>
        <w:t>Ustalenia zawarte w niniejsz</w:t>
      </w:r>
      <w:r w:rsidR="00ED6D29">
        <w:rPr>
          <w:rFonts w:asciiTheme="minorHAnsi" w:hAnsiTheme="minorHAnsi" w:cs="Calibri"/>
          <w:sz w:val="20"/>
          <w:szCs w:val="20"/>
        </w:rPr>
        <w:t>ej</w:t>
      </w:r>
      <w:r>
        <w:rPr>
          <w:rFonts w:asciiTheme="minorHAnsi" w:hAnsiTheme="minorHAnsi" w:cs="Calibri"/>
          <w:sz w:val="20"/>
          <w:szCs w:val="20"/>
        </w:rPr>
        <w:t xml:space="preserve"> </w:t>
      </w:r>
      <w:r w:rsidR="00ED6D29">
        <w:rPr>
          <w:rFonts w:asciiTheme="minorHAnsi" w:hAnsiTheme="minorHAnsi" w:cs="Calibri"/>
          <w:sz w:val="20"/>
          <w:szCs w:val="20"/>
        </w:rPr>
        <w:t>specyfikacji</w:t>
      </w:r>
      <w:r w:rsidR="006947FD" w:rsidRPr="00A8518B">
        <w:rPr>
          <w:rFonts w:asciiTheme="minorHAnsi" w:hAnsiTheme="minorHAnsi" w:cs="Calibri"/>
          <w:sz w:val="20"/>
          <w:szCs w:val="20"/>
        </w:rPr>
        <w:t xml:space="preserve"> dotyczą zasad prowadzenia robót związanych z wykonaniem budowy, przebudowy i remontu kanalizacji deszczowej.</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392" w:name="_Toc358023956"/>
      <w:bookmarkStart w:id="393" w:name="_Toc358024371"/>
      <w:bookmarkStart w:id="394" w:name="_Toc358024786"/>
      <w:r w:rsidRPr="00A8518B">
        <w:rPr>
          <w:rFonts w:asciiTheme="minorHAnsi" w:hAnsiTheme="minorHAnsi" w:cs="Calibri"/>
        </w:rPr>
        <w:t>1.4. Określenia podstawowe</w:t>
      </w:r>
      <w:bookmarkEnd w:id="392"/>
      <w:bookmarkEnd w:id="393"/>
      <w:bookmarkEnd w:id="394"/>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1.4.1.</w:t>
      </w:r>
      <w:r w:rsidRPr="00A8518B">
        <w:rPr>
          <w:rFonts w:asciiTheme="minorHAnsi" w:hAnsiTheme="minorHAnsi" w:cs="Calibri"/>
          <w:sz w:val="20"/>
          <w:szCs w:val="20"/>
        </w:rPr>
        <w:t xml:space="preserve"> Kanalizacja deszczowa - sieć kanalizacyjna zewnętrzna przeznaczona do odprowadzania ścieków opadowych.</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1.4.2.</w:t>
      </w:r>
      <w:r w:rsidRPr="00A8518B">
        <w:rPr>
          <w:rFonts w:asciiTheme="minorHAnsi" w:hAnsiTheme="minorHAnsi" w:cs="Calibri"/>
          <w:sz w:val="20"/>
          <w:szCs w:val="20"/>
        </w:rPr>
        <w:t xml:space="preserve"> Kanały</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1.4.2.1. Kanał - liniowa budowla przeznaczona do grawitacyjnego odprowadzania ścieków.</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1.4.2.2. Kanał deszczowy - kanał przeznaczony do odprowadzania ścieków opadowych.</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1.4.2.3. Przykanalik - kanał przeznaczony do połączenia wpustu deszczowego z siecią kanalizacji deszczowej.</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1.4.2.4. Kanał zbiorczy - kanał przeznaczony do zbierania ścieków z co najmniej dwóch kanałów bocznych.</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1.4.2.5. Kolektor główny - kanał przeznaczony do zbierania ścieków z kanałów oraz kanałów zbiorczych i odprowadzenia ich do odbiornika.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1.4.3.</w:t>
      </w:r>
      <w:r w:rsidRPr="00A8518B">
        <w:rPr>
          <w:rFonts w:asciiTheme="minorHAnsi" w:hAnsiTheme="minorHAnsi" w:cs="Calibri"/>
          <w:sz w:val="20"/>
          <w:szCs w:val="20"/>
        </w:rPr>
        <w:t xml:space="preserve"> Urządzenia (elementy) uzbrojenia sieci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1.4.3.1. Studzienka kanalizacyjna - studzienka rewizyjna - na kanale nieprzełazowym przeznaczona do kontroli i prawidłowej eksploatacji kanałów.</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1.4.3.2. Studzienka przelotowa - studzienka kanalizacyjna zlokalizowana na załamaniach osi kanału w planie, na załamaniach spadku kanału oraz na odcinkach prostych.</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1.4.3.3. Studzienka połączeniowa - studzienka kanalizacyjna przeznaczona do łączenia co najmniej dwóch kanałów dopływowych w jeden kanał odpływowy.</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1.4.3.4. Wylot ścieków - element na końcu kanału odprowadzającego ścieki do odbiornika.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1.4.3.5. Wpust deszczowy - urządzenie do odbioru ścieków opadowych, spływających do kanału z utwardzonych powierzchni terenu.</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1.4.4.</w:t>
      </w:r>
      <w:r w:rsidRPr="00A8518B">
        <w:rPr>
          <w:rFonts w:asciiTheme="minorHAnsi" w:hAnsiTheme="minorHAnsi" w:cs="Calibri"/>
          <w:sz w:val="20"/>
          <w:szCs w:val="20"/>
        </w:rPr>
        <w:t xml:space="preserve"> Elementy studzienek i komór</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1.4.4.1. Komora robocza - zasadnicza część studzienki lub komory przeznaczona do czynności eksploatacyjnych. Wysokość komory roboczej jest to odległość pomiędzy rzędną dolnej powierzchni płyty lub innego elementu przykrycia studzienki lub komory, a rzędną spocznika.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1.4.4.2. Komin włazowy - szyb połączeniowy komory roboczej z powierzchnią ziemi, przeznaczony do zejścia obsługi do komory roboczej.</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1.4.4.3. Płyta przykrycia studzienki lub komory - płyta przykrywająca komorę roboczą.</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1.4.4.4. Właz kanałowy - element żeliwny przeznaczony do przykrycia podziemnych studzienek rewizyjnych lub komór kanalizacyjnych, umożliwiający dostęp do urządzeń kanalizacyjnych.</w:t>
      </w:r>
    </w:p>
    <w:p w:rsidR="006947FD" w:rsidRPr="002B2176"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1.4.4.5. Kineta - </w:t>
      </w:r>
      <w:r w:rsidRPr="002B2176">
        <w:rPr>
          <w:rFonts w:asciiTheme="minorHAnsi" w:hAnsiTheme="minorHAnsi" w:cs="Calibri"/>
          <w:sz w:val="20"/>
          <w:szCs w:val="20"/>
        </w:rPr>
        <w:t>wyprofilowany rowek w dnie studzienki, przeznaczony do przepływu w nim ścieków.</w:t>
      </w:r>
    </w:p>
    <w:p w:rsidR="006947FD" w:rsidRPr="002B2176" w:rsidRDefault="006947FD" w:rsidP="006947FD">
      <w:pPr>
        <w:pStyle w:val="StylIwony"/>
        <w:spacing w:before="0" w:after="0"/>
        <w:rPr>
          <w:rFonts w:asciiTheme="minorHAnsi" w:hAnsiTheme="minorHAnsi" w:cs="Calibri"/>
          <w:sz w:val="20"/>
          <w:szCs w:val="20"/>
        </w:rPr>
      </w:pPr>
      <w:r w:rsidRPr="002B2176">
        <w:rPr>
          <w:rFonts w:asciiTheme="minorHAnsi" w:hAnsiTheme="minorHAnsi" w:cs="Calibri"/>
          <w:sz w:val="20"/>
          <w:szCs w:val="20"/>
        </w:rPr>
        <w:t>1.4.4.6. Spocznik - element dna studzienki lub komory kanalizacyjnej pomiędzy kinetą a ścianą komory roboczej.</w:t>
      </w:r>
    </w:p>
    <w:p w:rsidR="006947FD" w:rsidRPr="002B2176" w:rsidRDefault="006947FD" w:rsidP="006947FD">
      <w:pPr>
        <w:overflowPunct/>
        <w:textAlignment w:val="auto"/>
        <w:rPr>
          <w:rFonts w:asciiTheme="minorHAnsi" w:hAnsiTheme="minorHAnsi" w:cs="Calibri"/>
        </w:rPr>
      </w:pPr>
      <w:r w:rsidRPr="002B2176">
        <w:rPr>
          <w:rFonts w:asciiTheme="minorHAnsi" w:hAnsiTheme="minorHAnsi" w:cs="Calibri"/>
        </w:rPr>
        <w:t>1.4.4.7.Osadnik – element wpustu, krąg żelbetowy usytuowany poniżej wlotu przykanalika, zakończony kinetą, służący do zbierania zanieczyszczeń.</w:t>
      </w:r>
    </w:p>
    <w:p w:rsidR="006947FD" w:rsidRPr="002B2176" w:rsidRDefault="006947FD" w:rsidP="006947FD">
      <w:pPr>
        <w:pStyle w:val="StylIwony"/>
        <w:spacing w:before="0" w:after="0"/>
        <w:rPr>
          <w:rFonts w:asciiTheme="minorHAnsi" w:hAnsiTheme="minorHAnsi" w:cs="Calibri"/>
          <w:sz w:val="20"/>
          <w:szCs w:val="20"/>
        </w:rPr>
      </w:pPr>
      <w:r w:rsidRPr="002B2176">
        <w:rPr>
          <w:rFonts w:asciiTheme="minorHAnsi" w:hAnsiTheme="minorHAnsi" w:cs="Calibri"/>
          <w:b/>
          <w:bCs/>
          <w:sz w:val="20"/>
          <w:szCs w:val="20"/>
        </w:rPr>
        <w:lastRenderedPageBreak/>
        <w:t>1.4.5.</w:t>
      </w:r>
      <w:r w:rsidRPr="002B2176">
        <w:rPr>
          <w:rFonts w:asciiTheme="minorHAnsi" w:hAnsiTheme="minorHAnsi" w:cs="Calibri"/>
          <w:sz w:val="20"/>
          <w:szCs w:val="20"/>
        </w:rPr>
        <w:t xml:space="preserve"> Pozostałe określenia podstawowe są zgodne z obowiązującymi, odpowiednimi polskimi normami i z definicjami podanymi w </w:t>
      </w:r>
      <w:r w:rsidR="005B48CA">
        <w:rPr>
          <w:rFonts w:asciiTheme="minorHAnsi" w:hAnsiTheme="minorHAnsi" w:cs="Calibri"/>
          <w:sz w:val="20"/>
          <w:szCs w:val="20"/>
        </w:rPr>
        <w:t>STWiORB</w:t>
      </w:r>
      <w:r w:rsidRPr="002B2176">
        <w:rPr>
          <w:rFonts w:asciiTheme="minorHAnsi" w:hAnsiTheme="minorHAnsi" w:cs="Calibri"/>
          <w:sz w:val="20"/>
          <w:szCs w:val="20"/>
        </w:rPr>
        <w:t xml:space="preserve"> D-M-00.00.00 „Wymagania ogólne” pkt 1.4.</w:t>
      </w:r>
    </w:p>
    <w:p w:rsidR="006947FD" w:rsidRPr="002B2176"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2B2176"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395" w:name="_Toc358023957"/>
      <w:bookmarkStart w:id="396" w:name="_Toc358024372"/>
      <w:bookmarkStart w:id="397" w:name="_Toc358024787"/>
      <w:r w:rsidRPr="002B2176">
        <w:rPr>
          <w:rFonts w:asciiTheme="minorHAnsi" w:hAnsiTheme="minorHAnsi" w:cs="Calibri"/>
        </w:rPr>
        <w:t>1.5. Ogólne wymagania dotyczące robót</w:t>
      </w:r>
      <w:bookmarkEnd w:id="395"/>
      <w:bookmarkEnd w:id="396"/>
      <w:bookmarkEnd w:id="397"/>
    </w:p>
    <w:p w:rsidR="006947FD" w:rsidRPr="002B2176" w:rsidRDefault="006947FD" w:rsidP="006947FD">
      <w:pPr>
        <w:pStyle w:val="StylIwony"/>
        <w:spacing w:before="0" w:after="0"/>
        <w:rPr>
          <w:rFonts w:asciiTheme="minorHAnsi" w:hAnsiTheme="minorHAnsi" w:cs="Calibri"/>
          <w:sz w:val="20"/>
          <w:szCs w:val="20"/>
        </w:rPr>
      </w:pPr>
      <w:r w:rsidRPr="002B2176">
        <w:rPr>
          <w:rFonts w:asciiTheme="minorHAnsi" w:hAnsiTheme="minorHAnsi" w:cs="Calibri"/>
          <w:sz w:val="20"/>
          <w:szCs w:val="20"/>
        </w:rPr>
        <w:t xml:space="preserve">Ogólne wymagania dotyczące robót podano w </w:t>
      </w:r>
      <w:r w:rsidR="005B48CA">
        <w:rPr>
          <w:rFonts w:asciiTheme="minorHAnsi" w:hAnsiTheme="minorHAnsi" w:cs="Calibri"/>
          <w:sz w:val="20"/>
          <w:szCs w:val="20"/>
        </w:rPr>
        <w:t>STWiORB</w:t>
      </w:r>
      <w:r w:rsidR="00E348FF" w:rsidRPr="002B2176">
        <w:rPr>
          <w:rFonts w:asciiTheme="minorHAnsi" w:hAnsiTheme="minorHAnsi" w:cs="Calibri"/>
          <w:sz w:val="20"/>
          <w:szCs w:val="20"/>
        </w:rPr>
        <w:t xml:space="preserve"> </w:t>
      </w:r>
      <w:r w:rsidRPr="002B2176">
        <w:rPr>
          <w:rFonts w:asciiTheme="minorHAnsi" w:hAnsiTheme="minorHAnsi" w:cs="Calibri"/>
          <w:sz w:val="20"/>
          <w:szCs w:val="20"/>
        </w:rPr>
        <w:t>D-M-00.00.00 „Wymagania ogólne” pkt 1.5.</w:t>
      </w:r>
    </w:p>
    <w:p w:rsidR="006947FD" w:rsidRPr="002B2176"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p>
    <w:p w:rsidR="006947FD" w:rsidRPr="002B2176"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398" w:name="_Toc358023958"/>
      <w:bookmarkStart w:id="399" w:name="_Toc358024373"/>
      <w:bookmarkStart w:id="400" w:name="_Toc358024788"/>
      <w:r w:rsidRPr="002B2176">
        <w:rPr>
          <w:rFonts w:asciiTheme="minorHAnsi" w:hAnsiTheme="minorHAnsi" w:cs="Calibri"/>
          <w:sz w:val="20"/>
          <w:szCs w:val="20"/>
        </w:rPr>
        <w:t xml:space="preserve">2. </w:t>
      </w:r>
      <w:r w:rsidR="00A95FEE">
        <w:rPr>
          <w:rFonts w:asciiTheme="minorHAnsi" w:hAnsiTheme="minorHAnsi" w:cs="Calibri"/>
          <w:sz w:val="20"/>
          <w:szCs w:val="20"/>
        </w:rPr>
        <w:t>WYROBY BUDOWLANE</w:t>
      </w:r>
      <w:bookmarkEnd w:id="398"/>
      <w:bookmarkEnd w:id="399"/>
      <w:bookmarkEnd w:id="400"/>
    </w:p>
    <w:p w:rsidR="006947FD" w:rsidRPr="002B2176"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2B2176"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01" w:name="_Toc358023959"/>
      <w:bookmarkStart w:id="402" w:name="_Toc358024374"/>
      <w:bookmarkStart w:id="403" w:name="_Toc358024789"/>
      <w:r w:rsidRPr="002B2176">
        <w:rPr>
          <w:rFonts w:asciiTheme="minorHAnsi" w:hAnsiTheme="minorHAnsi" w:cs="Calibri"/>
        </w:rPr>
        <w:t>2.1. Ogólne wymagania dotyczące materiałów</w:t>
      </w:r>
      <w:bookmarkEnd w:id="401"/>
      <w:bookmarkEnd w:id="402"/>
      <w:bookmarkEnd w:id="403"/>
    </w:p>
    <w:p w:rsidR="006947FD" w:rsidRPr="002B2176" w:rsidRDefault="006947FD" w:rsidP="006947FD">
      <w:pPr>
        <w:pStyle w:val="StylIwony"/>
        <w:spacing w:before="0" w:after="0"/>
        <w:rPr>
          <w:rFonts w:asciiTheme="minorHAnsi" w:hAnsiTheme="minorHAnsi" w:cs="Calibri"/>
          <w:sz w:val="20"/>
          <w:szCs w:val="20"/>
        </w:rPr>
      </w:pPr>
      <w:r w:rsidRPr="002B2176">
        <w:rPr>
          <w:rFonts w:asciiTheme="minorHAnsi" w:hAnsiTheme="minorHAnsi" w:cs="Calibri"/>
          <w:sz w:val="20"/>
          <w:szCs w:val="20"/>
        </w:rPr>
        <w:t xml:space="preserve">Ogólne wymagania dotyczące materiałów, ich pozyskiwania  i składowania podano w </w:t>
      </w:r>
      <w:r w:rsidR="005B48CA">
        <w:rPr>
          <w:rFonts w:asciiTheme="minorHAnsi" w:hAnsiTheme="minorHAnsi" w:cs="Calibri"/>
          <w:sz w:val="20"/>
          <w:szCs w:val="20"/>
        </w:rPr>
        <w:t>STWiORB</w:t>
      </w:r>
      <w:r w:rsidRPr="002B2176">
        <w:rPr>
          <w:rFonts w:asciiTheme="minorHAnsi" w:hAnsiTheme="minorHAnsi" w:cs="Calibri"/>
          <w:sz w:val="20"/>
          <w:szCs w:val="20"/>
        </w:rPr>
        <w:t xml:space="preserve"> D-M-00.00.00 „Wymagania ogólne” pkt 2.</w:t>
      </w:r>
    </w:p>
    <w:p w:rsidR="006947FD" w:rsidRPr="002B2176" w:rsidRDefault="006947FD" w:rsidP="002B2176">
      <w:pPr>
        <w:pStyle w:val="Nagwek3"/>
        <w:numPr>
          <w:ilvl w:val="2"/>
          <w:numId w:val="0"/>
        </w:numPr>
        <w:tabs>
          <w:tab w:val="num" w:pos="0"/>
        </w:tabs>
        <w:suppressAutoHyphens/>
        <w:autoSpaceDN/>
        <w:adjustRightInd/>
        <w:spacing w:before="0" w:after="0" w:line="276" w:lineRule="auto"/>
        <w:rPr>
          <w:rFonts w:asciiTheme="minorHAnsi" w:hAnsiTheme="minorHAnsi" w:cs="Calibri"/>
        </w:rPr>
      </w:pPr>
    </w:p>
    <w:p w:rsidR="006947FD" w:rsidRPr="002B2176" w:rsidRDefault="006947FD" w:rsidP="002B2176">
      <w:pPr>
        <w:pStyle w:val="Nagwek3"/>
        <w:numPr>
          <w:ilvl w:val="2"/>
          <w:numId w:val="0"/>
        </w:numPr>
        <w:tabs>
          <w:tab w:val="num" w:pos="0"/>
        </w:tabs>
        <w:suppressAutoHyphens/>
        <w:autoSpaceDN/>
        <w:adjustRightInd/>
        <w:spacing w:before="0" w:after="0" w:line="276" w:lineRule="auto"/>
        <w:rPr>
          <w:rFonts w:asciiTheme="minorHAnsi" w:hAnsiTheme="minorHAnsi" w:cs="Calibri"/>
        </w:rPr>
      </w:pPr>
      <w:bookmarkStart w:id="404" w:name="_Toc358023960"/>
      <w:bookmarkStart w:id="405" w:name="_Toc358024375"/>
      <w:bookmarkStart w:id="406" w:name="_Toc358024790"/>
      <w:r w:rsidRPr="002B2176">
        <w:rPr>
          <w:rFonts w:asciiTheme="minorHAnsi" w:hAnsiTheme="minorHAnsi" w:cs="Calibri"/>
        </w:rPr>
        <w:t>2.2. Rury kanałowe</w:t>
      </w:r>
      <w:bookmarkEnd w:id="404"/>
      <w:bookmarkEnd w:id="405"/>
      <w:bookmarkEnd w:id="406"/>
    </w:p>
    <w:p w:rsidR="006947FD" w:rsidRPr="00BB3153" w:rsidRDefault="006947FD" w:rsidP="002B2176">
      <w:pPr>
        <w:pStyle w:val="StylIwony"/>
        <w:spacing w:before="0" w:after="0" w:line="276" w:lineRule="auto"/>
        <w:rPr>
          <w:rFonts w:asciiTheme="minorHAnsi" w:hAnsiTheme="minorHAnsi" w:cs="Calibri"/>
          <w:sz w:val="20"/>
          <w:szCs w:val="20"/>
        </w:rPr>
      </w:pPr>
      <w:r w:rsidRPr="002B2176">
        <w:rPr>
          <w:rFonts w:asciiTheme="minorHAnsi" w:hAnsiTheme="minorHAnsi" w:cs="Calibri"/>
          <w:sz w:val="20"/>
          <w:szCs w:val="20"/>
        </w:rPr>
        <w:t>Rury kanalizacyjne powinny być zgodne z PN-EN-1401-1:2009. Rury powinny posiadać sztywność obwodową nie mniejszą niż SN8. Materiał z jakiego wykonane są rury określa dokumentacja projektowa.</w:t>
      </w:r>
      <w:r w:rsidR="00BB3153">
        <w:rPr>
          <w:rFonts w:asciiTheme="minorHAnsi" w:hAnsiTheme="minorHAnsi" w:cs="Calibri"/>
          <w:sz w:val="20"/>
          <w:szCs w:val="20"/>
        </w:rPr>
        <w:t xml:space="preserve"> </w:t>
      </w:r>
      <w:r w:rsidR="00BB3153" w:rsidRPr="00BB3153">
        <w:rPr>
          <w:rFonts w:asciiTheme="minorHAnsi" w:hAnsiTheme="minorHAnsi"/>
          <w:sz w:val="20"/>
          <w:szCs w:val="20"/>
        </w:rPr>
        <w:t>Ze wzgl</w:t>
      </w:r>
      <w:r w:rsidR="00BB3153" w:rsidRPr="00BB3153">
        <w:rPr>
          <w:rFonts w:asciiTheme="minorHAnsi" w:eastAsia="TimesNewRoman" w:hAnsiTheme="minorHAnsi"/>
          <w:sz w:val="20"/>
          <w:szCs w:val="20"/>
        </w:rPr>
        <w:t>ę</w:t>
      </w:r>
      <w:r w:rsidR="00BB3153" w:rsidRPr="00BB3153">
        <w:rPr>
          <w:rFonts w:asciiTheme="minorHAnsi" w:hAnsiTheme="minorHAnsi"/>
          <w:sz w:val="20"/>
          <w:szCs w:val="20"/>
        </w:rPr>
        <w:t>du na przyszłe inspekcje telewizyjne kolektora rura musi posiada</w:t>
      </w:r>
      <w:r w:rsidR="00BB3153" w:rsidRPr="00BB3153">
        <w:rPr>
          <w:rFonts w:asciiTheme="minorHAnsi" w:eastAsia="TimesNewRoman" w:hAnsiTheme="minorHAnsi"/>
          <w:sz w:val="20"/>
          <w:szCs w:val="20"/>
        </w:rPr>
        <w:t xml:space="preserve">ć </w:t>
      </w:r>
      <w:r w:rsidR="00BB3153" w:rsidRPr="00BB3153">
        <w:rPr>
          <w:rFonts w:asciiTheme="minorHAnsi" w:hAnsiTheme="minorHAnsi"/>
          <w:sz w:val="20"/>
          <w:szCs w:val="20"/>
        </w:rPr>
        <w:t>wewn</w:t>
      </w:r>
      <w:r w:rsidR="00BB3153" w:rsidRPr="00BB3153">
        <w:rPr>
          <w:rFonts w:asciiTheme="minorHAnsi" w:eastAsia="TimesNewRoman" w:hAnsiTheme="minorHAnsi"/>
          <w:sz w:val="20"/>
          <w:szCs w:val="20"/>
        </w:rPr>
        <w:t>ą</w:t>
      </w:r>
      <w:r w:rsidR="00BB3153" w:rsidRPr="00BB3153">
        <w:rPr>
          <w:rFonts w:asciiTheme="minorHAnsi" w:hAnsiTheme="minorHAnsi"/>
          <w:sz w:val="20"/>
          <w:szCs w:val="20"/>
        </w:rPr>
        <w:t>trz</w:t>
      </w:r>
      <w:r w:rsidR="00BB3153">
        <w:rPr>
          <w:rFonts w:asciiTheme="minorHAnsi" w:hAnsiTheme="minorHAnsi"/>
          <w:sz w:val="20"/>
          <w:szCs w:val="20"/>
        </w:rPr>
        <w:t xml:space="preserve"> jasny kolor</w:t>
      </w:r>
    </w:p>
    <w:p w:rsidR="002B2176" w:rsidRPr="002B2176" w:rsidRDefault="002B2176" w:rsidP="002B2176">
      <w:pPr>
        <w:spacing w:line="276" w:lineRule="auto"/>
        <w:ind w:firstLine="539"/>
        <w:jc w:val="left"/>
        <w:rPr>
          <w:rFonts w:asciiTheme="minorHAnsi" w:hAnsiTheme="minorHAnsi" w:cs="Calibri"/>
          <w:bCs/>
        </w:rPr>
      </w:pPr>
      <w:r w:rsidRPr="002B2176">
        <w:rPr>
          <w:rFonts w:asciiTheme="minorHAnsi" w:hAnsiTheme="minorHAnsi" w:cs="Calibri"/>
        </w:rPr>
        <w:t>Kolektory grawitacyjne wykonać o średnic</w:t>
      </w:r>
      <w:r w:rsidR="00204D6D">
        <w:rPr>
          <w:rFonts w:asciiTheme="minorHAnsi" w:hAnsiTheme="minorHAnsi" w:cs="Calibri"/>
        </w:rPr>
        <w:t>ac</w:t>
      </w:r>
      <w:r w:rsidRPr="002B2176">
        <w:rPr>
          <w:rFonts w:asciiTheme="minorHAnsi" w:hAnsiTheme="minorHAnsi" w:cs="Calibri"/>
        </w:rPr>
        <w:t xml:space="preserve">h min. </w:t>
      </w:r>
      <w:r w:rsidR="000D4846">
        <w:rPr>
          <w:rFonts w:asciiTheme="minorHAnsi" w:hAnsiTheme="minorHAnsi" w:cs="Calibri"/>
        </w:rPr>
        <w:t>2</w:t>
      </w:r>
      <w:r w:rsidRPr="002B2176">
        <w:rPr>
          <w:rFonts w:asciiTheme="minorHAnsi" w:hAnsiTheme="minorHAnsi" w:cs="Calibri"/>
        </w:rPr>
        <w:t xml:space="preserve">00mm. </w:t>
      </w:r>
      <w:r w:rsidR="00204D6D">
        <w:rPr>
          <w:rFonts w:asciiTheme="minorHAnsi" w:hAnsiTheme="minorHAnsi" w:cs="Calibri"/>
        </w:rPr>
        <w:t>K</w:t>
      </w:r>
      <w:r w:rsidRPr="002B2176">
        <w:rPr>
          <w:rFonts w:asciiTheme="minorHAnsi" w:hAnsiTheme="minorHAnsi" w:cs="Calibri"/>
        </w:rPr>
        <w:t xml:space="preserve">olektory należy zaprojektować i wykonać z PP - polipropylenu bez dodatków innych tworzyw sztucznych. Rury muszą spełniać wymagania wytrzymałościowe </w:t>
      </w:r>
      <w:r w:rsidR="00204D6D">
        <w:rPr>
          <w:rFonts w:asciiTheme="minorHAnsi" w:hAnsiTheme="minorHAnsi" w:cs="Calibri"/>
        </w:rPr>
        <w:t>8</w:t>
      </w:r>
      <w:r w:rsidRPr="002B2176">
        <w:rPr>
          <w:rFonts w:asciiTheme="minorHAnsi" w:hAnsiTheme="minorHAnsi" w:cs="Calibri"/>
        </w:rPr>
        <w:t xml:space="preserve"> kN/m2 wg ISO 9969. Średnice kanałów należy ustalić na podstawie obliczeń. Rury łączone są poprzez kielichy z uszczelką wargową lub dwukielichy z  uszczelką wargową .</w:t>
      </w:r>
    </w:p>
    <w:p w:rsidR="002B2176" w:rsidRDefault="002B2176" w:rsidP="002B2176">
      <w:pPr>
        <w:spacing w:line="276" w:lineRule="auto"/>
        <w:ind w:firstLine="539"/>
        <w:rPr>
          <w:rFonts w:asciiTheme="minorHAnsi" w:hAnsiTheme="minorHAnsi" w:cs="Calibri"/>
        </w:rPr>
      </w:pPr>
      <w:r w:rsidRPr="002B2176">
        <w:rPr>
          <w:rFonts w:asciiTheme="minorHAnsi" w:hAnsiTheme="minorHAnsi" w:cs="Calibri"/>
        </w:rPr>
        <w:t>.</w:t>
      </w:r>
    </w:p>
    <w:p w:rsidR="00BB3153" w:rsidRPr="00BB3153" w:rsidRDefault="00BB3153" w:rsidP="002B2176">
      <w:pPr>
        <w:spacing w:line="276" w:lineRule="auto"/>
        <w:ind w:firstLine="539"/>
        <w:rPr>
          <w:rFonts w:asciiTheme="minorHAnsi" w:hAnsiTheme="minorHAnsi"/>
          <w:bCs/>
        </w:rPr>
      </w:pPr>
      <w:r w:rsidRPr="00BB3153">
        <w:rPr>
          <w:rFonts w:asciiTheme="minorHAnsi" w:hAnsiTheme="minorHAnsi"/>
        </w:rPr>
        <w:t>Zastosowane rury i kształtki musz</w:t>
      </w:r>
      <w:r w:rsidRPr="00BB3153">
        <w:rPr>
          <w:rFonts w:asciiTheme="minorHAnsi" w:eastAsia="TimesNewRoman" w:hAnsiTheme="minorHAnsi"/>
        </w:rPr>
        <w:t xml:space="preserve">ą </w:t>
      </w:r>
      <w:r w:rsidRPr="00BB3153">
        <w:rPr>
          <w:rFonts w:asciiTheme="minorHAnsi" w:hAnsiTheme="minorHAnsi"/>
        </w:rPr>
        <w:t>by</w:t>
      </w:r>
      <w:r w:rsidRPr="00BB3153">
        <w:rPr>
          <w:rFonts w:asciiTheme="minorHAnsi" w:eastAsia="TimesNewRoman" w:hAnsiTheme="minorHAnsi"/>
        </w:rPr>
        <w:t xml:space="preserve">ć </w:t>
      </w:r>
      <w:r w:rsidRPr="00BB3153">
        <w:rPr>
          <w:rFonts w:asciiTheme="minorHAnsi" w:hAnsiTheme="minorHAnsi"/>
        </w:rPr>
        <w:t>ze sob</w:t>
      </w:r>
      <w:r w:rsidRPr="00BB3153">
        <w:rPr>
          <w:rFonts w:asciiTheme="minorHAnsi" w:eastAsia="TimesNewRoman" w:hAnsiTheme="minorHAnsi"/>
        </w:rPr>
        <w:t xml:space="preserve">ą </w:t>
      </w:r>
      <w:r w:rsidRPr="00BB3153">
        <w:rPr>
          <w:rFonts w:asciiTheme="minorHAnsi" w:hAnsiTheme="minorHAnsi"/>
        </w:rPr>
        <w:t>kompatybilne, a wi</w:t>
      </w:r>
      <w:r w:rsidRPr="00BB3153">
        <w:rPr>
          <w:rFonts w:asciiTheme="minorHAnsi" w:eastAsia="TimesNewRoman" w:hAnsiTheme="minorHAnsi"/>
        </w:rPr>
        <w:t>ę</w:t>
      </w:r>
      <w:r w:rsidRPr="00BB3153">
        <w:rPr>
          <w:rFonts w:asciiTheme="minorHAnsi" w:hAnsiTheme="minorHAnsi"/>
        </w:rPr>
        <w:t>c stanowi</w:t>
      </w:r>
      <w:r w:rsidRPr="00BB3153">
        <w:rPr>
          <w:rFonts w:asciiTheme="minorHAnsi" w:eastAsia="TimesNewRoman" w:hAnsiTheme="minorHAnsi"/>
        </w:rPr>
        <w:t xml:space="preserve">ć </w:t>
      </w:r>
      <w:r w:rsidRPr="00BB3153">
        <w:rPr>
          <w:rFonts w:asciiTheme="minorHAnsi" w:hAnsiTheme="minorHAnsi"/>
        </w:rPr>
        <w:t>jeden system i by</w:t>
      </w:r>
      <w:r w:rsidRPr="00BB3153">
        <w:rPr>
          <w:rFonts w:asciiTheme="minorHAnsi" w:eastAsia="TimesNewRoman" w:hAnsiTheme="minorHAnsi"/>
        </w:rPr>
        <w:t xml:space="preserve">ć </w:t>
      </w:r>
      <w:r w:rsidRPr="00BB3153">
        <w:rPr>
          <w:rFonts w:asciiTheme="minorHAnsi" w:hAnsiTheme="minorHAnsi"/>
        </w:rPr>
        <w:t>produkowane przez jednego producenta (ze wzgl</w:t>
      </w:r>
      <w:r w:rsidRPr="00BB3153">
        <w:rPr>
          <w:rFonts w:asciiTheme="minorHAnsi" w:eastAsia="TimesNewRoman" w:hAnsiTheme="minorHAnsi"/>
        </w:rPr>
        <w:t>ę</w:t>
      </w:r>
      <w:r w:rsidRPr="00BB3153">
        <w:rPr>
          <w:rFonts w:asciiTheme="minorHAnsi" w:hAnsiTheme="minorHAnsi"/>
        </w:rPr>
        <w:t>du na różnice w tolerancji wykonania) oraz musz</w:t>
      </w:r>
      <w:r w:rsidRPr="00BB3153">
        <w:rPr>
          <w:rFonts w:asciiTheme="minorHAnsi" w:eastAsia="TimesNewRoman" w:hAnsiTheme="minorHAnsi"/>
        </w:rPr>
        <w:t xml:space="preserve">ą </w:t>
      </w:r>
      <w:r w:rsidRPr="00BB3153">
        <w:rPr>
          <w:rFonts w:asciiTheme="minorHAnsi" w:hAnsiTheme="minorHAnsi"/>
        </w:rPr>
        <w:t>posiada</w:t>
      </w:r>
      <w:r w:rsidRPr="00BB3153">
        <w:rPr>
          <w:rFonts w:asciiTheme="minorHAnsi" w:eastAsia="TimesNewRoman" w:hAnsiTheme="minorHAnsi"/>
        </w:rPr>
        <w:t xml:space="preserve">ć </w:t>
      </w:r>
      <w:r w:rsidRPr="00BB3153">
        <w:rPr>
          <w:rFonts w:asciiTheme="minorHAnsi" w:hAnsiTheme="minorHAnsi"/>
        </w:rPr>
        <w:t>Aprobat</w:t>
      </w:r>
      <w:r w:rsidRPr="00BB3153">
        <w:rPr>
          <w:rFonts w:asciiTheme="minorHAnsi" w:eastAsia="TimesNewRoman" w:hAnsiTheme="minorHAnsi"/>
        </w:rPr>
        <w:t xml:space="preserve">ę </w:t>
      </w:r>
      <w:r w:rsidRPr="00BB3153">
        <w:rPr>
          <w:rFonts w:asciiTheme="minorHAnsi" w:hAnsiTheme="minorHAnsi"/>
        </w:rPr>
        <w:t>Techniczn</w:t>
      </w:r>
      <w:r w:rsidRPr="00BB3153">
        <w:rPr>
          <w:rFonts w:asciiTheme="minorHAnsi" w:eastAsia="TimesNewRoman" w:hAnsiTheme="minorHAnsi"/>
        </w:rPr>
        <w:t xml:space="preserve">ą </w:t>
      </w:r>
      <w:r w:rsidRPr="00BB3153">
        <w:rPr>
          <w:rFonts w:asciiTheme="minorHAnsi" w:hAnsiTheme="minorHAnsi"/>
        </w:rPr>
        <w:t>ITB</w:t>
      </w:r>
    </w:p>
    <w:p w:rsidR="006947FD" w:rsidRPr="002B2176" w:rsidRDefault="006947FD" w:rsidP="002B2176">
      <w:pPr>
        <w:pStyle w:val="Nagwek3"/>
        <w:numPr>
          <w:ilvl w:val="2"/>
          <w:numId w:val="0"/>
        </w:numPr>
        <w:tabs>
          <w:tab w:val="num" w:pos="0"/>
        </w:tabs>
        <w:suppressAutoHyphens/>
        <w:autoSpaceDN/>
        <w:adjustRightInd/>
        <w:spacing w:before="0" w:after="0" w:line="276" w:lineRule="auto"/>
        <w:rPr>
          <w:rFonts w:asciiTheme="minorHAnsi" w:hAnsiTheme="minorHAnsi" w:cs="Calibri"/>
        </w:rPr>
      </w:pPr>
    </w:p>
    <w:p w:rsidR="006947FD" w:rsidRPr="002B2176" w:rsidRDefault="006947FD" w:rsidP="002B2176">
      <w:pPr>
        <w:pStyle w:val="Nagwek3"/>
        <w:numPr>
          <w:ilvl w:val="2"/>
          <w:numId w:val="0"/>
        </w:numPr>
        <w:tabs>
          <w:tab w:val="num" w:pos="0"/>
        </w:tabs>
        <w:suppressAutoHyphens/>
        <w:autoSpaceDN/>
        <w:adjustRightInd/>
        <w:spacing w:before="0" w:after="0" w:line="276" w:lineRule="auto"/>
        <w:rPr>
          <w:rFonts w:asciiTheme="minorHAnsi" w:hAnsiTheme="minorHAnsi" w:cs="Calibri"/>
        </w:rPr>
      </w:pPr>
      <w:bookmarkStart w:id="407" w:name="_Toc358023961"/>
      <w:bookmarkStart w:id="408" w:name="_Toc358024376"/>
      <w:bookmarkStart w:id="409" w:name="_Toc358024791"/>
      <w:r w:rsidRPr="002B2176">
        <w:rPr>
          <w:rFonts w:asciiTheme="minorHAnsi" w:hAnsiTheme="minorHAnsi" w:cs="Calibri"/>
        </w:rPr>
        <w:t>2.3. Studzienki kanalizacyjne</w:t>
      </w:r>
      <w:bookmarkEnd w:id="407"/>
      <w:bookmarkEnd w:id="408"/>
      <w:bookmarkEnd w:id="409"/>
    </w:p>
    <w:p w:rsidR="006947FD" w:rsidRPr="002B2176" w:rsidRDefault="006947FD" w:rsidP="002B2176">
      <w:pPr>
        <w:pStyle w:val="StylIwony"/>
        <w:spacing w:before="0" w:after="0" w:line="276" w:lineRule="auto"/>
        <w:rPr>
          <w:rFonts w:asciiTheme="minorHAnsi" w:hAnsiTheme="minorHAnsi" w:cs="Calibri"/>
          <w:sz w:val="20"/>
          <w:szCs w:val="20"/>
        </w:rPr>
      </w:pPr>
      <w:r w:rsidRPr="002B2176">
        <w:rPr>
          <w:rFonts w:asciiTheme="minorHAnsi" w:hAnsiTheme="minorHAnsi" w:cs="Calibri"/>
          <w:sz w:val="20"/>
          <w:szCs w:val="20"/>
        </w:rPr>
        <w:t xml:space="preserve">Studzienki kanałowe projektuje się jako prefabrykowane betonowe lub żelbetonowe z betonu klasy nie mniejszej, niż C35/45 (B45), nasiąkliwości nie większej, niż 5%. Studnie powinny posiadać aprobatę techniczną wydaną przez uprawnioną jednostkę. </w:t>
      </w:r>
    </w:p>
    <w:p w:rsidR="006947FD" w:rsidRPr="002B2176" w:rsidRDefault="006947FD" w:rsidP="006947FD">
      <w:pPr>
        <w:pStyle w:val="StylIwony"/>
        <w:spacing w:before="0" w:after="0"/>
        <w:rPr>
          <w:rFonts w:asciiTheme="minorHAnsi" w:hAnsiTheme="minorHAnsi" w:cs="Calibri"/>
          <w:sz w:val="20"/>
          <w:szCs w:val="20"/>
        </w:rPr>
      </w:pPr>
      <w:r w:rsidRPr="002B2176">
        <w:rPr>
          <w:rFonts w:asciiTheme="minorHAnsi" w:hAnsiTheme="minorHAnsi" w:cs="Calibri"/>
          <w:sz w:val="20"/>
          <w:szCs w:val="20"/>
        </w:rPr>
        <w:t>Włazy kanałowe należy wykonywać jako:</w:t>
      </w:r>
    </w:p>
    <w:p w:rsidR="006947FD" w:rsidRPr="00A8518B" w:rsidRDefault="006947FD" w:rsidP="006947FD">
      <w:pPr>
        <w:pStyle w:val="StylIwony"/>
        <w:numPr>
          <w:ilvl w:val="0"/>
          <w:numId w:val="1"/>
        </w:numPr>
        <w:spacing w:before="0" w:after="0"/>
        <w:rPr>
          <w:rFonts w:asciiTheme="minorHAnsi" w:hAnsiTheme="minorHAnsi" w:cs="Calibri"/>
          <w:sz w:val="20"/>
          <w:szCs w:val="20"/>
        </w:rPr>
      </w:pPr>
      <w:r w:rsidRPr="00A8518B">
        <w:rPr>
          <w:rFonts w:asciiTheme="minorHAnsi" w:hAnsiTheme="minorHAnsi" w:cs="Calibri"/>
          <w:sz w:val="20"/>
          <w:szCs w:val="20"/>
        </w:rPr>
        <w:t>włazy żeliwne typu ciężkiego (D400) odpowiadające wymaganiom PN-H-74051-02 umieszczane w korpusie drogi,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Zwieńczenia studzienek wykonać zgodnie z normą PN-EN124:2000.</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Zastosować zwężki stosownie do wymaganej nośności.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Część spodnia studni (dennica) powinna być elementem monolitycznym z wibrowanego betonu o klasie nie niższej, niż B-45, zawierającym płytę denną, wypełnienie betonowe z wyprofilowaną stosownie do przepływu ścieków kinetą, elementy podłączeniowe umożliwiające szczelne i elastyczne podłączenie rur kanalizacyjnych do studni.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Studnie winny posiadać stopnie złazowe żeliwne odpowiadające wymaganiom PN-H-74086, powlekane warstwą z tworzywa sztucznego.</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Studzienki montować zgodnie z wytycznymi wybranego producenta studni.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Elementy studzienek powinny posiadać aprobatę techniczną.</w:t>
      </w:r>
    </w:p>
    <w:p w:rsidR="006947FD" w:rsidRPr="00A8518B" w:rsidRDefault="006947FD" w:rsidP="006947FD">
      <w:pPr>
        <w:rPr>
          <w:rFonts w:asciiTheme="minorHAnsi" w:hAnsiTheme="minorHAnsi" w:cs="Calibri"/>
        </w:rPr>
      </w:pPr>
      <w:r w:rsidRPr="00A8518B">
        <w:rPr>
          <w:rFonts w:asciiTheme="minorHAnsi" w:hAnsiTheme="minorHAnsi" w:cs="Calibri"/>
        </w:rPr>
        <w:t xml:space="preserve">Studzienki te przykryć włazem </w:t>
      </w:r>
      <w:r w:rsidR="000B2087">
        <w:rPr>
          <w:rFonts w:asciiTheme="minorHAnsi" w:hAnsiTheme="minorHAnsi" w:cs="Calibri"/>
        </w:rPr>
        <w:t xml:space="preserve">z zabezpieczeniem w postaci co najmniej jednego </w:t>
      </w:r>
      <w:r w:rsidRPr="00A8518B">
        <w:rPr>
          <w:rFonts w:asciiTheme="minorHAnsi" w:hAnsiTheme="minorHAnsi" w:cs="Calibri"/>
        </w:rPr>
        <w:t>rygla</w:t>
      </w:r>
      <w:r w:rsidR="000B2087">
        <w:rPr>
          <w:rFonts w:asciiTheme="minorHAnsi" w:hAnsiTheme="minorHAnsi" w:cs="Calibri"/>
        </w:rPr>
        <w:t>.</w:t>
      </w:r>
      <w:r w:rsidRPr="00A8518B">
        <w:rPr>
          <w:rFonts w:asciiTheme="minorHAnsi" w:hAnsiTheme="minorHAnsi" w:cs="Calibri"/>
        </w:rPr>
        <w:t xml:space="preserve"> </w:t>
      </w:r>
      <w:r w:rsidR="000B2087">
        <w:rPr>
          <w:rFonts w:asciiTheme="minorHAnsi" w:hAnsiTheme="minorHAnsi" w:cs="Calibri"/>
        </w:rPr>
        <w:t>Z</w:t>
      </w:r>
      <w:r w:rsidRPr="00A8518B">
        <w:rPr>
          <w:rFonts w:asciiTheme="minorHAnsi" w:hAnsiTheme="minorHAnsi" w:cs="Calibri"/>
        </w:rPr>
        <w:t xml:space="preserve">wieńczenie </w:t>
      </w:r>
      <w:r w:rsidR="000B2087">
        <w:rPr>
          <w:rFonts w:asciiTheme="minorHAnsi" w:hAnsiTheme="minorHAnsi" w:cs="Calibri"/>
        </w:rPr>
        <w:t>typu</w:t>
      </w:r>
      <w:r w:rsidRPr="00A8518B">
        <w:rPr>
          <w:rFonts w:asciiTheme="minorHAnsi" w:hAnsiTheme="minorHAnsi" w:cs="Calibri"/>
        </w:rPr>
        <w:t xml:space="preserve"> BEGU</w:t>
      </w:r>
      <w:r w:rsidR="000B2087">
        <w:rPr>
          <w:rFonts w:asciiTheme="minorHAnsi" w:hAnsiTheme="minorHAnsi" w:cs="Calibri"/>
        </w:rPr>
        <w:t xml:space="preserve"> lub żeliwne</w:t>
      </w:r>
      <w:r w:rsidRPr="00A8518B">
        <w:rPr>
          <w:rFonts w:asciiTheme="minorHAnsi" w:hAnsiTheme="minorHAnsi" w:cs="Calibri"/>
        </w:rPr>
        <w:t>.</w:t>
      </w:r>
    </w:p>
    <w:p w:rsidR="006947FD" w:rsidRPr="00A8518B" w:rsidRDefault="006947FD" w:rsidP="006947FD">
      <w:pPr>
        <w:rPr>
          <w:rFonts w:asciiTheme="minorHAnsi" w:hAnsiTheme="minorHAnsi" w:cs="Calibri"/>
          <w:color w:val="000000"/>
        </w:rPr>
      </w:pPr>
      <w:r w:rsidRPr="00A8518B">
        <w:rPr>
          <w:rFonts w:asciiTheme="minorHAnsi" w:hAnsiTheme="minorHAnsi" w:cs="Calibri"/>
          <w:color w:val="000000"/>
        </w:rPr>
        <w:t>Wymogi jakie muszą spełniać włazy kanałowe studzienek określa norma PN-EN 124:2000.</w:t>
      </w:r>
    </w:p>
    <w:p w:rsidR="006947FD" w:rsidRPr="00A8518B" w:rsidRDefault="006947FD" w:rsidP="006947FD">
      <w:pPr>
        <w:rPr>
          <w:rFonts w:asciiTheme="minorHAnsi" w:hAnsiTheme="minorHAnsi" w:cs="Calibri"/>
        </w:rPr>
      </w:pPr>
      <w:r w:rsidRPr="00A8518B">
        <w:rPr>
          <w:rFonts w:asciiTheme="minorHAnsi" w:hAnsiTheme="minorHAnsi" w:cs="Calibri"/>
        </w:rPr>
        <w:t>Przejścia przez ściany studzienek powinny być szczelne, z zastosowaniem systemowej prefabrykowanej tulei ochronnej z uszczelnieniem.</w:t>
      </w:r>
    </w:p>
    <w:p w:rsidR="006947FD" w:rsidRPr="00A8518B" w:rsidRDefault="006947FD" w:rsidP="006947FD">
      <w:pPr>
        <w:rPr>
          <w:rFonts w:asciiTheme="minorHAnsi" w:hAnsiTheme="minorHAnsi" w:cs="Calibri"/>
        </w:rPr>
      </w:pPr>
      <w:r w:rsidRPr="00A8518B">
        <w:rPr>
          <w:rFonts w:asciiTheme="minorHAnsi" w:hAnsiTheme="minorHAnsi" w:cs="Calibri"/>
        </w:rPr>
        <w:t>Studzienkę montować zgodnie z instrukcjami producenta.</w:t>
      </w:r>
    </w:p>
    <w:p w:rsidR="006947FD" w:rsidRPr="00A8518B" w:rsidRDefault="006947FD" w:rsidP="006947FD">
      <w:pPr>
        <w:pStyle w:val="WW-Tekstpodstawowywcity3"/>
        <w:ind w:left="0"/>
        <w:rPr>
          <w:rFonts w:asciiTheme="minorHAnsi" w:hAnsiTheme="minorHAnsi" w:cs="Calibri"/>
          <w:sz w:val="20"/>
          <w:szCs w:val="20"/>
        </w:rPr>
      </w:pPr>
      <w:r w:rsidRPr="00A8518B">
        <w:rPr>
          <w:rFonts w:asciiTheme="minorHAnsi" w:hAnsiTheme="minorHAnsi" w:cs="Calibri"/>
          <w:sz w:val="20"/>
          <w:szCs w:val="20"/>
        </w:rPr>
        <w:t>Wszystkie elementy studzienek powinny posiadać stosowne Aprobaty Techniczne</w:t>
      </w:r>
      <w:r w:rsidRPr="00A8518B">
        <w:rPr>
          <w:rFonts w:asciiTheme="minorHAnsi" w:hAnsiTheme="minorHAnsi" w:cs="Calibri"/>
          <w:color w:val="000000"/>
          <w:sz w:val="20"/>
          <w:szCs w:val="20"/>
        </w:rPr>
        <w:t xml:space="preserve"> (np. AT wydawane przez Instytut Badawczy Dróg i Mostów w Warszawie)</w:t>
      </w:r>
      <w:r w:rsidRPr="00A8518B">
        <w:rPr>
          <w:rFonts w:asciiTheme="minorHAnsi" w:hAnsiTheme="minorHAnsi" w:cs="Calibri"/>
          <w:sz w:val="20"/>
          <w:szCs w:val="20"/>
        </w:rPr>
        <w:t>.</w:t>
      </w:r>
    </w:p>
    <w:p w:rsidR="006947FD" w:rsidRPr="00A8518B" w:rsidRDefault="006947FD" w:rsidP="006947FD">
      <w:pPr>
        <w:overflowPunct/>
        <w:textAlignment w:val="auto"/>
        <w:rPr>
          <w:rFonts w:asciiTheme="minorHAnsi" w:hAnsiTheme="minorHAnsi" w:cs="Calibri"/>
          <w:b/>
          <w:bCs/>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10" w:name="_Toc358023962"/>
      <w:bookmarkStart w:id="411" w:name="_Toc358024377"/>
      <w:bookmarkStart w:id="412" w:name="_Toc358024792"/>
      <w:r w:rsidRPr="00A8518B">
        <w:rPr>
          <w:rFonts w:asciiTheme="minorHAnsi" w:hAnsiTheme="minorHAnsi" w:cs="Calibri"/>
        </w:rPr>
        <w:t>2.4. Studzienki ściekowe</w:t>
      </w:r>
      <w:bookmarkEnd w:id="410"/>
      <w:bookmarkEnd w:id="411"/>
      <w:bookmarkEnd w:id="412"/>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2.4.1.</w:t>
      </w:r>
      <w:r w:rsidRPr="00A8518B">
        <w:rPr>
          <w:rFonts w:asciiTheme="minorHAnsi" w:hAnsiTheme="minorHAnsi" w:cs="Calibri"/>
          <w:sz w:val="20"/>
          <w:szCs w:val="20"/>
        </w:rPr>
        <w:t xml:space="preserve"> Wpusty uliczne żeliwne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lastRenderedPageBreak/>
        <w:t>Wpusty uliczne żeliwne powinny odpowiadać wymaganiom PN-H-74080-01 i PN-H-74080-04.</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Zastosować wpusty typowe. Wpusty powinny być zabezpieczone przed kradzieżą (np. wpusty z zawiasem i ryglem).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2.4.2.</w:t>
      </w:r>
      <w:r w:rsidRPr="00A8518B">
        <w:rPr>
          <w:rFonts w:asciiTheme="minorHAnsi" w:hAnsiTheme="minorHAnsi" w:cs="Calibri"/>
          <w:sz w:val="20"/>
          <w:szCs w:val="20"/>
        </w:rPr>
        <w:t xml:space="preserve"> Kręgi betonowe prefabrykowane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Na studzienki ściekowe stosowane są prefabrykowane kręgi betonowe o średnicy 50 cm, wysokości 30 cm lub 60 cm, z betonu klasy B 45, wg KB1-22.2.6 (6).</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2.4.3.</w:t>
      </w:r>
      <w:r w:rsidRPr="00A8518B">
        <w:rPr>
          <w:rFonts w:asciiTheme="minorHAnsi" w:hAnsiTheme="minorHAnsi" w:cs="Calibri"/>
          <w:sz w:val="20"/>
          <w:szCs w:val="20"/>
        </w:rPr>
        <w:t xml:space="preserve"> Pierścienie żelbetowe prefabrykowane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Pierścienie żelbetowe prefabrykowane o średnicy 65 cm powinny być wykonane z betonu wibrowanego klasy B 20 zbrojonego stalą StOS.</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2.4.4.</w:t>
      </w:r>
      <w:r w:rsidRPr="00A8518B">
        <w:rPr>
          <w:rFonts w:asciiTheme="minorHAnsi" w:hAnsiTheme="minorHAnsi" w:cs="Calibri"/>
          <w:sz w:val="20"/>
          <w:szCs w:val="20"/>
        </w:rPr>
        <w:t xml:space="preserve"> Płyty żelbetowe prefabrykowane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Płyty żelbetowe prefabrykowane powinny mieć grubość 11 cm i być wykonane z betonu wibrowanego klasy B 20 zbrojonego stalą StOS.</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2.4.5.</w:t>
      </w:r>
      <w:r w:rsidRPr="00A8518B">
        <w:rPr>
          <w:rFonts w:asciiTheme="minorHAnsi" w:hAnsiTheme="minorHAnsi" w:cs="Calibri"/>
          <w:sz w:val="20"/>
          <w:szCs w:val="20"/>
        </w:rPr>
        <w:t xml:space="preserve"> Płyty fundamentowe zbrojone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Płyty fundamentowe zbrojone powinny posiadać grubość 15 cm i być wykonane z betonu klasy B 15.</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2.4.6.</w:t>
      </w:r>
      <w:r w:rsidRPr="00A8518B">
        <w:rPr>
          <w:rFonts w:asciiTheme="minorHAnsi" w:hAnsiTheme="minorHAnsi" w:cs="Calibri"/>
          <w:sz w:val="20"/>
          <w:szCs w:val="20"/>
        </w:rPr>
        <w:t xml:space="preserve"> Kruszywo na podsypkę</w:t>
      </w:r>
    </w:p>
    <w:p w:rsidR="006947FD" w:rsidRPr="00BB3153" w:rsidRDefault="00BB3153" w:rsidP="006947FD">
      <w:pPr>
        <w:pStyle w:val="StylIwony"/>
        <w:spacing w:before="0" w:after="0"/>
        <w:rPr>
          <w:rFonts w:asciiTheme="minorHAnsi" w:hAnsiTheme="minorHAnsi" w:cs="Calibri"/>
          <w:sz w:val="20"/>
          <w:szCs w:val="20"/>
        </w:rPr>
      </w:pPr>
      <w:r w:rsidRPr="00BB3153">
        <w:rPr>
          <w:rFonts w:asciiTheme="minorHAnsi" w:hAnsiTheme="minorHAnsi"/>
          <w:sz w:val="20"/>
          <w:szCs w:val="20"/>
        </w:rPr>
        <w:t>Kruszywo naturalne 0/2 na podsypk</w:t>
      </w:r>
      <w:r w:rsidRPr="00BB3153">
        <w:rPr>
          <w:rFonts w:asciiTheme="minorHAnsi" w:eastAsia="TimesNewRoman" w:hAnsiTheme="minorHAnsi"/>
          <w:sz w:val="20"/>
          <w:szCs w:val="20"/>
        </w:rPr>
        <w:t xml:space="preserve">ę </w:t>
      </w:r>
      <w:r w:rsidRPr="00BB3153">
        <w:rPr>
          <w:rFonts w:asciiTheme="minorHAnsi" w:hAnsiTheme="minorHAnsi"/>
          <w:sz w:val="20"/>
          <w:szCs w:val="20"/>
        </w:rPr>
        <w:t>i obsypk</w:t>
      </w:r>
      <w:r w:rsidRPr="00BB3153">
        <w:rPr>
          <w:rFonts w:asciiTheme="minorHAnsi" w:eastAsia="TimesNewRoman" w:hAnsiTheme="minorHAnsi"/>
          <w:sz w:val="20"/>
          <w:szCs w:val="20"/>
        </w:rPr>
        <w:t xml:space="preserve">ę </w:t>
      </w:r>
      <w:r w:rsidRPr="00BB3153">
        <w:rPr>
          <w:rFonts w:asciiTheme="minorHAnsi" w:hAnsiTheme="minorHAnsi"/>
          <w:sz w:val="20"/>
          <w:szCs w:val="20"/>
        </w:rPr>
        <w:t>rur kanalizacyjnych wg PN-EN 13242 kategorii GF80 i f17 o wska</w:t>
      </w:r>
      <w:r w:rsidRPr="00BB3153">
        <w:rPr>
          <w:rFonts w:asciiTheme="minorHAnsi" w:eastAsia="TimesNewRoman" w:hAnsiTheme="minorHAnsi"/>
          <w:sz w:val="20"/>
          <w:szCs w:val="20"/>
        </w:rPr>
        <w:t>ź</w:t>
      </w:r>
      <w:r w:rsidRPr="00BB3153">
        <w:rPr>
          <w:rFonts w:asciiTheme="minorHAnsi" w:hAnsiTheme="minorHAnsi"/>
          <w:sz w:val="20"/>
          <w:szCs w:val="20"/>
        </w:rPr>
        <w:t>niku różnoziarnisto</w:t>
      </w:r>
      <w:r w:rsidRPr="00BB3153">
        <w:rPr>
          <w:rFonts w:asciiTheme="minorHAnsi" w:eastAsia="TimesNewRoman" w:hAnsiTheme="minorHAnsi"/>
          <w:sz w:val="20"/>
          <w:szCs w:val="20"/>
        </w:rPr>
        <w:t>ś</w:t>
      </w:r>
      <w:r w:rsidRPr="00BB3153">
        <w:rPr>
          <w:rFonts w:asciiTheme="minorHAnsi" w:hAnsiTheme="minorHAnsi"/>
          <w:sz w:val="20"/>
          <w:szCs w:val="20"/>
        </w:rPr>
        <w:t xml:space="preserve">ci </w:t>
      </w:r>
      <w:r w:rsidRPr="00BB3153">
        <w:rPr>
          <w:rFonts w:asciiTheme="minorHAnsi" w:eastAsia="TimesNewRoman" w:hAnsiTheme="minorHAnsi"/>
          <w:sz w:val="20"/>
          <w:szCs w:val="20"/>
        </w:rPr>
        <w:t>≥</w:t>
      </w:r>
      <w:r w:rsidRPr="00BB3153">
        <w:rPr>
          <w:rFonts w:asciiTheme="minorHAnsi" w:hAnsiTheme="minorHAnsi"/>
          <w:sz w:val="20"/>
          <w:szCs w:val="20"/>
        </w:rPr>
        <w:t>5</w:t>
      </w:r>
      <w:r w:rsidR="006947FD" w:rsidRPr="00BB3153">
        <w:rPr>
          <w:rFonts w:asciiTheme="minorHAnsi" w:hAnsiTheme="minorHAnsi" w:cs="Calibri"/>
          <w:sz w:val="20"/>
          <w:szCs w:val="20"/>
        </w:rPr>
        <w:t>.</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13" w:name="_Toc358023963"/>
      <w:bookmarkStart w:id="414" w:name="_Toc358024378"/>
      <w:bookmarkStart w:id="415" w:name="_Toc358024793"/>
      <w:r w:rsidRPr="00A8518B">
        <w:rPr>
          <w:rFonts w:asciiTheme="minorHAnsi" w:hAnsiTheme="minorHAnsi" w:cs="Calibri"/>
        </w:rPr>
        <w:t>2.5. Beton</w:t>
      </w:r>
      <w:bookmarkEnd w:id="413"/>
      <w:bookmarkEnd w:id="414"/>
      <w:bookmarkEnd w:id="415"/>
    </w:p>
    <w:p w:rsidR="00BB3153" w:rsidRPr="00BB3153" w:rsidRDefault="006947FD" w:rsidP="00BB3153">
      <w:pPr>
        <w:pStyle w:val="StylIwony"/>
        <w:spacing w:before="0" w:after="0"/>
        <w:rPr>
          <w:rFonts w:asciiTheme="minorHAnsi" w:hAnsiTheme="minorHAnsi"/>
          <w:sz w:val="20"/>
        </w:rPr>
      </w:pPr>
      <w:r w:rsidRPr="00BB3153">
        <w:rPr>
          <w:rFonts w:asciiTheme="minorHAnsi" w:hAnsiTheme="minorHAnsi" w:cs="Calibri"/>
          <w:sz w:val="20"/>
          <w:szCs w:val="20"/>
        </w:rPr>
        <w:t xml:space="preserve">Beton </w:t>
      </w:r>
      <w:r w:rsidR="00BB3153" w:rsidRPr="00BB3153">
        <w:rPr>
          <w:rFonts w:asciiTheme="minorHAnsi" w:hAnsiTheme="minorHAnsi"/>
          <w:sz w:val="20"/>
        </w:rPr>
        <w:t>winien odpowiadać wymaganiom PN-EN 206-1.</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16" w:name="_Toc358023964"/>
      <w:bookmarkStart w:id="417" w:name="_Toc358024379"/>
      <w:bookmarkStart w:id="418" w:name="_Toc358024794"/>
      <w:r w:rsidRPr="00A8518B">
        <w:rPr>
          <w:rFonts w:asciiTheme="minorHAnsi" w:hAnsiTheme="minorHAnsi" w:cs="Calibri"/>
        </w:rPr>
        <w:t>2.6. Zaprawa cementowa</w:t>
      </w:r>
      <w:bookmarkEnd w:id="416"/>
      <w:bookmarkEnd w:id="417"/>
      <w:bookmarkEnd w:id="418"/>
    </w:p>
    <w:p w:rsidR="006947FD"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Zaprawa cementowa powinna odpowiadać wymaganiom PN-B-14501</w:t>
      </w:r>
      <w:r w:rsidR="00BB3153">
        <w:rPr>
          <w:rFonts w:asciiTheme="minorHAnsi" w:hAnsiTheme="minorHAnsi" w:cs="Calibri"/>
          <w:sz w:val="20"/>
          <w:szCs w:val="20"/>
        </w:rPr>
        <w:t>:1990</w:t>
      </w:r>
      <w:r w:rsidRPr="00A8518B">
        <w:rPr>
          <w:rFonts w:asciiTheme="minorHAnsi" w:hAnsiTheme="minorHAnsi" w:cs="Calibri"/>
          <w:sz w:val="20"/>
          <w:szCs w:val="20"/>
        </w:rPr>
        <w:t>.</w:t>
      </w:r>
    </w:p>
    <w:p w:rsidR="00466D6D" w:rsidRDefault="00466D6D" w:rsidP="006947FD">
      <w:pPr>
        <w:pStyle w:val="StylIwony"/>
        <w:spacing w:before="0" w:after="0"/>
        <w:rPr>
          <w:rFonts w:asciiTheme="minorHAnsi" w:hAnsiTheme="minorHAnsi" w:cs="Calibri"/>
          <w:sz w:val="20"/>
          <w:szCs w:val="20"/>
        </w:rPr>
      </w:pPr>
    </w:p>
    <w:p w:rsidR="00466D6D" w:rsidRPr="00466D6D" w:rsidRDefault="00466D6D" w:rsidP="00466D6D">
      <w:pPr>
        <w:pStyle w:val="Tekstpodstawowy"/>
        <w:tabs>
          <w:tab w:val="left" w:pos="720"/>
        </w:tabs>
        <w:suppressAutoHyphens/>
        <w:overflowPunct/>
        <w:autoSpaceDE/>
        <w:adjustRightInd/>
        <w:spacing w:line="240" w:lineRule="auto"/>
        <w:jc w:val="both"/>
        <w:textAlignment w:val="auto"/>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19" w:name="_Toc358023965"/>
      <w:bookmarkStart w:id="420" w:name="_Toc358024380"/>
      <w:bookmarkStart w:id="421" w:name="_Toc358024795"/>
      <w:r w:rsidRPr="00A8518B">
        <w:rPr>
          <w:rFonts w:asciiTheme="minorHAnsi" w:hAnsiTheme="minorHAnsi" w:cs="Calibri"/>
        </w:rPr>
        <w:t>2.</w:t>
      </w:r>
      <w:r w:rsidR="00466D6D">
        <w:rPr>
          <w:rFonts w:asciiTheme="minorHAnsi" w:hAnsiTheme="minorHAnsi" w:cs="Calibri"/>
        </w:rPr>
        <w:t>8</w:t>
      </w:r>
      <w:r w:rsidRPr="00A8518B">
        <w:rPr>
          <w:rFonts w:asciiTheme="minorHAnsi" w:hAnsiTheme="minorHAnsi" w:cs="Calibri"/>
        </w:rPr>
        <w:t>. Składowanie materiałów</w:t>
      </w:r>
      <w:bookmarkEnd w:id="419"/>
      <w:bookmarkEnd w:id="420"/>
      <w:bookmarkEnd w:id="421"/>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2.</w:t>
      </w:r>
      <w:r w:rsidR="00466D6D">
        <w:rPr>
          <w:rFonts w:asciiTheme="minorHAnsi" w:hAnsiTheme="minorHAnsi" w:cs="Calibri"/>
          <w:b/>
          <w:bCs/>
          <w:sz w:val="20"/>
          <w:szCs w:val="20"/>
        </w:rPr>
        <w:t>8</w:t>
      </w:r>
      <w:r w:rsidRPr="00A8518B">
        <w:rPr>
          <w:rFonts w:asciiTheme="minorHAnsi" w:hAnsiTheme="minorHAnsi" w:cs="Calibri"/>
          <w:b/>
          <w:bCs/>
          <w:sz w:val="20"/>
          <w:szCs w:val="20"/>
        </w:rPr>
        <w:t>.1.</w:t>
      </w:r>
      <w:r w:rsidRPr="00A8518B">
        <w:rPr>
          <w:rFonts w:asciiTheme="minorHAnsi" w:hAnsiTheme="minorHAnsi" w:cs="Calibri"/>
          <w:sz w:val="20"/>
          <w:szCs w:val="20"/>
        </w:rPr>
        <w:t xml:space="preserve"> Rury kanałowe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Rury można składować na otwartej przestrzeni, układając je w pozycji leżącej jedno- lub wielowarstwowo, albo w pozycji stojącej.</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Powierzchnia składowania powinna być utwardzona i zabezpieczona przed gromadzeniem się wód opadowych.</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 przypadku składowania poziomego pierwszą warstwę rur należy ułożyć na podkładach drewnianych. Podobnie na podkładach drewnianych należy układać wyroby w pozycji stojącej i jeżeli powierzchnia składowania nie odpowiada ww. wymaganiom.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Wykonawca jest zobowiązany układać rury według poszczególnych grup, wielkości i gatunków w sposób zapewniający stateczność oraz umożliwiający dostęp do poszczególnych stosów lub pojedynczych rur.</w:t>
      </w:r>
    </w:p>
    <w:p w:rsidR="006947FD" w:rsidRPr="00A8518B" w:rsidRDefault="00466D6D" w:rsidP="006947FD">
      <w:pPr>
        <w:pStyle w:val="StylIwony"/>
        <w:spacing w:before="0" w:after="0"/>
        <w:rPr>
          <w:rFonts w:asciiTheme="minorHAnsi" w:hAnsiTheme="minorHAnsi" w:cs="Calibri"/>
          <w:sz w:val="20"/>
          <w:szCs w:val="20"/>
        </w:rPr>
      </w:pPr>
      <w:r>
        <w:rPr>
          <w:rFonts w:asciiTheme="minorHAnsi" w:hAnsiTheme="minorHAnsi" w:cs="Calibri"/>
          <w:b/>
          <w:bCs/>
          <w:sz w:val="20"/>
          <w:szCs w:val="20"/>
        </w:rPr>
        <w:t>2.8</w:t>
      </w:r>
      <w:r w:rsidR="006947FD" w:rsidRPr="00A8518B">
        <w:rPr>
          <w:rFonts w:asciiTheme="minorHAnsi" w:hAnsiTheme="minorHAnsi" w:cs="Calibri"/>
          <w:b/>
          <w:bCs/>
          <w:sz w:val="20"/>
          <w:szCs w:val="20"/>
        </w:rPr>
        <w:t>.2.</w:t>
      </w:r>
      <w:r w:rsidR="006947FD" w:rsidRPr="00A8518B">
        <w:rPr>
          <w:rFonts w:asciiTheme="minorHAnsi" w:hAnsiTheme="minorHAnsi" w:cs="Calibri"/>
          <w:sz w:val="20"/>
          <w:szCs w:val="20"/>
        </w:rPr>
        <w:t xml:space="preserve"> Studnie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Studnie  można składować na powierzchni nieutwardzonej pod warunkiem, że nacisk przekazywany na grunt nie przekracza 0,5 MPa.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Przy składowaniu wyrobów w pozycji wbudowania wysokość składowania nie powinna przekraczać 1,8 m. Składowanie powinno umożliwiać dostęp do poszczególnych stosów wyrobów.</w:t>
      </w:r>
    </w:p>
    <w:p w:rsidR="006947FD" w:rsidRPr="00A8518B" w:rsidRDefault="00466D6D" w:rsidP="006947FD">
      <w:pPr>
        <w:pStyle w:val="StylIwony"/>
        <w:spacing w:before="0" w:after="0"/>
        <w:rPr>
          <w:rFonts w:asciiTheme="minorHAnsi" w:hAnsiTheme="minorHAnsi" w:cs="Calibri"/>
          <w:sz w:val="20"/>
          <w:szCs w:val="20"/>
        </w:rPr>
      </w:pPr>
      <w:r>
        <w:rPr>
          <w:rFonts w:asciiTheme="minorHAnsi" w:hAnsiTheme="minorHAnsi" w:cs="Calibri"/>
          <w:b/>
          <w:bCs/>
          <w:sz w:val="20"/>
          <w:szCs w:val="20"/>
        </w:rPr>
        <w:t>2.8</w:t>
      </w:r>
      <w:r w:rsidR="006947FD" w:rsidRPr="00A8518B">
        <w:rPr>
          <w:rFonts w:asciiTheme="minorHAnsi" w:hAnsiTheme="minorHAnsi" w:cs="Calibri"/>
          <w:b/>
          <w:bCs/>
          <w:sz w:val="20"/>
          <w:szCs w:val="20"/>
        </w:rPr>
        <w:t>.3.</w:t>
      </w:r>
      <w:r w:rsidR="006947FD" w:rsidRPr="00A8518B">
        <w:rPr>
          <w:rFonts w:asciiTheme="minorHAnsi" w:hAnsiTheme="minorHAnsi" w:cs="Calibri"/>
          <w:sz w:val="20"/>
          <w:szCs w:val="20"/>
        </w:rPr>
        <w:t xml:space="preserve"> Włazy kanałowe i stopnie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Włazy kanałowe i stopnie powinny być składowane z dala od substancji działających korodująco. Włazy powinny być posegregowane wg klas. Powierzchnia składowania powinna być utwardzona i odwodniona.</w:t>
      </w:r>
    </w:p>
    <w:p w:rsidR="006947FD" w:rsidRPr="00A8518B" w:rsidRDefault="00466D6D" w:rsidP="006947FD">
      <w:pPr>
        <w:pStyle w:val="StylIwony"/>
        <w:spacing w:before="0" w:after="0"/>
        <w:rPr>
          <w:rFonts w:asciiTheme="minorHAnsi" w:hAnsiTheme="minorHAnsi" w:cs="Calibri"/>
          <w:sz w:val="20"/>
          <w:szCs w:val="20"/>
        </w:rPr>
      </w:pPr>
      <w:r>
        <w:rPr>
          <w:rFonts w:asciiTheme="minorHAnsi" w:hAnsiTheme="minorHAnsi" w:cs="Calibri"/>
          <w:b/>
          <w:bCs/>
          <w:sz w:val="20"/>
          <w:szCs w:val="20"/>
        </w:rPr>
        <w:t>2.8</w:t>
      </w:r>
      <w:r w:rsidR="006947FD" w:rsidRPr="00A8518B">
        <w:rPr>
          <w:rFonts w:asciiTheme="minorHAnsi" w:hAnsiTheme="minorHAnsi" w:cs="Calibri"/>
          <w:b/>
          <w:bCs/>
          <w:sz w:val="20"/>
          <w:szCs w:val="20"/>
        </w:rPr>
        <w:t>.4.</w:t>
      </w:r>
      <w:r w:rsidR="006947FD" w:rsidRPr="00A8518B">
        <w:rPr>
          <w:rFonts w:asciiTheme="minorHAnsi" w:hAnsiTheme="minorHAnsi" w:cs="Calibri"/>
          <w:sz w:val="20"/>
          <w:szCs w:val="20"/>
        </w:rPr>
        <w:t xml:space="preserve"> Wpusty żeliwne</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Skrzynki lub ramki wpustów mogą  być składowane na otwartej przestrzeni, na paletach w stosach o wysokości maksimum 1,5 m.</w:t>
      </w:r>
    </w:p>
    <w:p w:rsidR="006947FD" w:rsidRPr="00A8518B" w:rsidRDefault="00466D6D" w:rsidP="006947FD">
      <w:pPr>
        <w:pStyle w:val="StylIwony"/>
        <w:spacing w:before="0" w:after="0"/>
        <w:rPr>
          <w:rFonts w:asciiTheme="minorHAnsi" w:hAnsiTheme="minorHAnsi" w:cs="Calibri"/>
          <w:sz w:val="20"/>
          <w:szCs w:val="20"/>
        </w:rPr>
      </w:pPr>
      <w:r>
        <w:rPr>
          <w:rFonts w:asciiTheme="minorHAnsi" w:hAnsiTheme="minorHAnsi" w:cs="Calibri"/>
          <w:b/>
          <w:bCs/>
          <w:sz w:val="20"/>
          <w:szCs w:val="20"/>
        </w:rPr>
        <w:t>2.8</w:t>
      </w:r>
      <w:r w:rsidR="006947FD" w:rsidRPr="00A8518B">
        <w:rPr>
          <w:rFonts w:asciiTheme="minorHAnsi" w:hAnsiTheme="minorHAnsi" w:cs="Calibri"/>
          <w:b/>
          <w:bCs/>
          <w:sz w:val="20"/>
          <w:szCs w:val="20"/>
        </w:rPr>
        <w:t>.5.</w:t>
      </w:r>
      <w:r w:rsidR="006947FD" w:rsidRPr="00A8518B">
        <w:rPr>
          <w:rFonts w:asciiTheme="minorHAnsi" w:hAnsiTheme="minorHAnsi" w:cs="Calibri"/>
          <w:sz w:val="20"/>
          <w:szCs w:val="20"/>
        </w:rPr>
        <w:t xml:space="preserve"> Kruszywo</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Kruszywo należy składować na utwardzonym i odwodnionym podłożu w sposób zabezpieczający je przed zanieczyszczeniem i zmieszaniem z innymi rodzajami i frakcjami kruszyw.</w:t>
      </w: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422" w:name="_Toc358023966"/>
      <w:bookmarkStart w:id="423" w:name="_Toc358024381"/>
      <w:bookmarkStart w:id="424" w:name="_Toc358024796"/>
      <w:r w:rsidRPr="00A8518B">
        <w:rPr>
          <w:rFonts w:asciiTheme="minorHAnsi" w:hAnsiTheme="minorHAnsi" w:cs="Calibri"/>
          <w:sz w:val="20"/>
          <w:szCs w:val="20"/>
        </w:rPr>
        <w:t>3. SPRZĘT</w:t>
      </w:r>
      <w:bookmarkEnd w:id="422"/>
      <w:bookmarkEnd w:id="423"/>
      <w:bookmarkEnd w:id="424"/>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25" w:name="_Toc358023967"/>
      <w:bookmarkStart w:id="426" w:name="_Toc358024382"/>
      <w:bookmarkStart w:id="427" w:name="_Toc358024797"/>
      <w:r w:rsidRPr="00A8518B">
        <w:rPr>
          <w:rFonts w:asciiTheme="minorHAnsi" w:hAnsiTheme="minorHAnsi" w:cs="Calibri"/>
        </w:rPr>
        <w:t>3.1. Ogólne wymagania dotyczące sprzętu</w:t>
      </w:r>
      <w:bookmarkEnd w:id="425"/>
      <w:bookmarkEnd w:id="426"/>
      <w:bookmarkEnd w:id="427"/>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Ogólne wymagania dotyczące sprzętu podano w </w:t>
      </w:r>
      <w:r w:rsidR="005B48CA">
        <w:rPr>
          <w:rFonts w:ascii="Calibri" w:hAnsi="Calibri" w:cs="Calibri"/>
          <w:sz w:val="20"/>
        </w:rPr>
        <w:t>STWiORB</w:t>
      </w:r>
      <w:r w:rsidRPr="00A8518B">
        <w:rPr>
          <w:rFonts w:asciiTheme="minorHAnsi" w:hAnsiTheme="minorHAnsi" w:cs="Calibri"/>
          <w:sz w:val="20"/>
          <w:szCs w:val="20"/>
        </w:rPr>
        <w:t xml:space="preserve"> D-M-00.00.00 „Wymagania ogólne” pkt 3.</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28" w:name="_Toc358023968"/>
      <w:bookmarkStart w:id="429" w:name="_Toc358024383"/>
      <w:bookmarkStart w:id="430" w:name="_Toc358024798"/>
      <w:r w:rsidRPr="00A8518B">
        <w:rPr>
          <w:rFonts w:asciiTheme="minorHAnsi" w:hAnsiTheme="minorHAnsi" w:cs="Calibri"/>
        </w:rPr>
        <w:t>3.2. Sprzęt do wykonania kanalizacji deszczowej</w:t>
      </w:r>
      <w:bookmarkEnd w:id="428"/>
      <w:bookmarkEnd w:id="429"/>
      <w:bookmarkEnd w:id="430"/>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Wykonawca przystępujący do wykonania kanalizacji deszczowej powinien wykazać się możliwością korzystania z następującego sprzętu:</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żurawi budowlanych samochodowych,</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koparek przedsiębiernych,</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spycharek kołowych lub gąsiennicowych,</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sprzętu do zagęszczania gruntu,</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wciągarek mechanicznych,</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beczkowozów.</w:t>
      </w: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431" w:name="_Toc358023969"/>
      <w:bookmarkStart w:id="432" w:name="_Toc358024384"/>
      <w:bookmarkStart w:id="433" w:name="_Toc358024799"/>
      <w:r w:rsidRPr="00A8518B">
        <w:rPr>
          <w:rFonts w:asciiTheme="minorHAnsi" w:hAnsiTheme="minorHAnsi" w:cs="Calibri"/>
          <w:sz w:val="20"/>
          <w:szCs w:val="20"/>
        </w:rPr>
        <w:t>4. TRANSPORT</w:t>
      </w:r>
      <w:bookmarkEnd w:id="431"/>
      <w:bookmarkEnd w:id="432"/>
      <w:bookmarkEnd w:id="433"/>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34" w:name="_Toc358023970"/>
      <w:bookmarkStart w:id="435" w:name="_Toc358024385"/>
      <w:bookmarkStart w:id="436" w:name="_Toc358024800"/>
      <w:r w:rsidRPr="00A8518B">
        <w:rPr>
          <w:rFonts w:asciiTheme="minorHAnsi" w:hAnsiTheme="minorHAnsi" w:cs="Calibri"/>
        </w:rPr>
        <w:t>4.1. Ogólne wymagania dotyczące transportu</w:t>
      </w:r>
      <w:bookmarkEnd w:id="434"/>
      <w:bookmarkEnd w:id="435"/>
      <w:bookmarkEnd w:id="436"/>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Ogólne wymagania dotyczące transportu podano w </w:t>
      </w:r>
      <w:r w:rsidR="005B48CA">
        <w:rPr>
          <w:rFonts w:ascii="Calibri" w:hAnsi="Calibri" w:cs="Calibri"/>
          <w:sz w:val="20"/>
        </w:rPr>
        <w:t>STWiORB</w:t>
      </w:r>
      <w:r w:rsidRPr="00A8518B">
        <w:rPr>
          <w:rFonts w:asciiTheme="minorHAnsi" w:hAnsiTheme="minorHAnsi" w:cs="Calibri"/>
          <w:sz w:val="20"/>
          <w:szCs w:val="20"/>
        </w:rPr>
        <w:t xml:space="preserve"> D-M-00.00.00 „Wymagania ogólne” pkt 4.</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37" w:name="_Toc358023971"/>
      <w:bookmarkStart w:id="438" w:name="_Toc358024386"/>
      <w:bookmarkStart w:id="439" w:name="_Toc358024801"/>
      <w:r w:rsidRPr="00A8518B">
        <w:rPr>
          <w:rFonts w:asciiTheme="minorHAnsi" w:hAnsiTheme="minorHAnsi" w:cs="Calibri"/>
        </w:rPr>
        <w:t>4.2. Transport rur kanałowych</w:t>
      </w:r>
      <w:bookmarkEnd w:id="437"/>
      <w:bookmarkEnd w:id="438"/>
      <w:bookmarkEnd w:id="439"/>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Rury mogą być przewożone dowolnymi środkami transportu w sposób zabezpieczający je przed uszkodzeniem lub zniszczeniem. </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Wykonawca zapewni przewóz rur w pozycji poziomej wzdłuż środka transportu.</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Wykonawca zabezpieczy wyroby przewożone w pozycji poziomej przed przesuwaniem i przetaczaniem pod wpływem sił bezwładności występujących w czasie ruchu pojazdów.</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Przy wielowarstwowym układaniu rur górna warstwa nie może przewyższać ścian środka transportu o więcej niż 1/3 średnicy zewnętrznej wyrobu (rury kamionkowe nie wyżej niż 2 m).</w:t>
      </w: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40" w:name="_Toc358023972"/>
      <w:bookmarkStart w:id="441" w:name="_Toc358024387"/>
      <w:bookmarkStart w:id="442" w:name="_Toc358024802"/>
      <w:r w:rsidRPr="00A8518B">
        <w:rPr>
          <w:rFonts w:asciiTheme="minorHAnsi" w:hAnsiTheme="minorHAnsi" w:cs="Calibri"/>
        </w:rPr>
        <w:t>4.3. Transport studni</w:t>
      </w:r>
      <w:bookmarkEnd w:id="440"/>
      <w:bookmarkEnd w:id="441"/>
      <w:bookmarkEnd w:id="442"/>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Transport studni powinien odbywać się samochodami w pozycji wbudowania lub prostopadle do pozycji wbudowania.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Dla zabezpieczenia przed uszkodzeniem przewożonych elementów, Wykonawca dokona ich usztywnienia przez zastosowanie przekładek, rozporów i klinów z drewna, gumy lub innych odpowiednich materiałów.</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Podnoszenie i opuszczanie studni należy wykonywać za pomocą minimum trzech lin zawiesia rozmieszczonych równomiernie na obwodzie prefabrykatu.</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43" w:name="_Toc358023973"/>
      <w:bookmarkStart w:id="444" w:name="_Toc358024388"/>
      <w:bookmarkStart w:id="445" w:name="_Toc358024803"/>
      <w:r w:rsidRPr="00A8518B">
        <w:rPr>
          <w:rFonts w:asciiTheme="minorHAnsi" w:hAnsiTheme="minorHAnsi" w:cs="Calibri"/>
        </w:rPr>
        <w:t>4.4. Transport włazów kanałowych</w:t>
      </w:r>
      <w:bookmarkEnd w:id="443"/>
      <w:bookmarkEnd w:id="444"/>
      <w:bookmarkEnd w:id="445"/>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Włazy kanałowe mogą być transportowane dowolnymi środkami transportu w sposób zabezpieczony przed przemieszczaniem i uszkodzeniem.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Włazy mogą być przewożone luzem.</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46" w:name="_Toc358023974"/>
      <w:bookmarkStart w:id="447" w:name="_Toc358024389"/>
      <w:bookmarkStart w:id="448" w:name="_Toc358024804"/>
      <w:r w:rsidRPr="00A8518B">
        <w:rPr>
          <w:rFonts w:asciiTheme="minorHAnsi" w:hAnsiTheme="minorHAnsi" w:cs="Calibri"/>
        </w:rPr>
        <w:t>4.5. Transport wpustów żeliwnych</w:t>
      </w:r>
      <w:bookmarkEnd w:id="446"/>
      <w:bookmarkEnd w:id="447"/>
      <w:bookmarkEnd w:id="448"/>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Skrzynki lub ramki wpustów mogą być przewożone dowolnymi środkami transportu w sposób zabezpieczony przed przesuwaniem się podczas transportu.</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49" w:name="_Toc358023975"/>
      <w:bookmarkStart w:id="450" w:name="_Toc358024390"/>
      <w:bookmarkStart w:id="451" w:name="_Toc358024805"/>
      <w:r w:rsidRPr="00A8518B">
        <w:rPr>
          <w:rFonts w:asciiTheme="minorHAnsi" w:hAnsiTheme="minorHAnsi" w:cs="Calibri"/>
        </w:rPr>
        <w:t>4.6. Transport mieszanki betonowej</w:t>
      </w:r>
      <w:bookmarkEnd w:id="449"/>
      <w:bookmarkEnd w:id="450"/>
      <w:bookmarkEnd w:id="451"/>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52" w:name="_Toc358023976"/>
      <w:bookmarkStart w:id="453" w:name="_Toc358024391"/>
      <w:bookmarkStart w:id="454" w:name="_Toc358024806"/>
      <w:r w:rsidRPr="00A8518B">
        <w:rPr>
          <w:rFonts w:asciiTheme="minorHAnsi" w:hAnsiTheme="minorHAnsi" w:cs="Calibri"/>
        </w:rPr>
        <w:t>4.7. Transport kruszyw</w:t>
      </w:r>
      <w:bookmarkEnd w:id="452"/>
      <w:bookmarkEnd w:id="453"/>
      <w:bookmarkEnd w:id="454"/>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Kruszywa mogą być przewożone dowolnymi środkami transportu, w sposób zabezpieczający je przed zanieczyszczeniem i nadmiernym zawilgoceniem.</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55" w:name="_Toc358023977"/>
      <w:bookmarkStart w:id="456" w:name="_Toc358024392"/>
      <w:bookmarkStart w:id="457" w:name="_Toc358024807"/>
      <w:r w:rsidRPr="00A8518B">
        <w:rPr>
          <w:rFonts w:asciiTheme="minorHAnsi" w:hAnsiTheme="minorHAnsi" w:cs="Calibri"/>
        </w:rPr>
        <w:t>4.8. Transport cementu i jego przechowywanie</w:t>
      </w:r>
      <w:bookmarkEnd w:id="455"/>
      <w:bookmarkEnd w:id="456"/>
      <w:bookmarkEnd w:id="457"/>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Transport cementu i przechowywanie powinny być zgodne z BN-88/6731-08.</w:t>
      </w: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458" w:name="_Toc358023978"/>
      <w:bookmarkStart w:id="459" w:name="_Toc358024393"/>
      <w:bookmarkStart w:id="460" w:name="_Toc358024808"/>
      <w:r w:rsidRPr="00A8518B">
        <w:rPr>
          <w:rFonts w:asciiTheme="minorHAnsi" w:hAnsiTheme="minorHAnsi" w:cs="Calibri"/>
          <w:sz w:val="20"/>
          <w:szCs w:val="20"/>
        </w:rPr>
        <w:t>5. WYKONANIE ROBÓT</w:t>
      </w:r>
      <w:bookmarkEnd w:id="458"/>
      <w:bookmarkEnd w:id="459"/>
      <w:bookmarkEnd w:id="460"/>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61" w:name="_Toc358023979"/>
      <w:bookmarkStart w:id="462" w:name="_Toc358024394"/>
      <w:bookmarkStart w:id="463" w:name="_Toc358024809"/>
      <w:r w:rsidRPr="00A8518B">
        <w:rPr>
          <w:rFonts w:asciiTheme="minorHAnsi" w:hAnsiTheme="minorHAnsi" w:cs="Calibri"/>
        </w:rPr>
        <w:t>5.1. Ogólne zasady wykonania robót</w:t>
      </w:r>
      <w:bookmarkEnd w:id="461"/>
      <w:bookmarkEnd w:id="462"/>
      <w:bookmarkEnd w:id="463"/>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Ogólne zasady wykonania robót podano w </w:t>
      </w:r>
      <w:r w:rsidR="005B48CA">
        <w:rPr>
          <w:rFonts w:ascii="Calibri" w:hAnsi="Calibri" w:cs="Calibri"/>
          <w:sz w:val="20"/>
        </w:rPr>
        <w:t>STWiORB</w:t>
      </w:r>
      <w:r w:rsidR="00E348FF" w:rsidRPr="000B2087">
        <w:rPr>
          <w:rFonts w:asciiTheme="minorHAnsi" w:hAnsiTheme="minorHAnsi" w:cs="Calibri"/>
          <w:sz w:val="16"/>
          <w:szCs w:val="20"/>
        </w:rPr>
        <w:t xml:space="preserve"> </w:t>
      </w:r>
      <w:r w:rsidRPr="00A8518B">
        <w:rPr>
          <w:rFonts w:asciiTheme="minorHAnsi" w:hAnsiTheme="minorHAnsi" w:cs="Calibri"/>
          <w:sz w:val="20"/>
          <w:szCs w:val="20"/>
        </w:rPr>
        <w:t>D-M-00.00.00 „Wymagania ogólne” pkt 5.</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64" w:name="_Toc358023980"/>
      <w:bookmarkStart w:id="465" w:name="_Toc358024395"/>
      <w:bookmarkStart w:id="466" w:name="_Toc358024810"/>
      <w:r w:rsidRPr="00A8518B">
        <w:rPr>
          <w:rFonts w:asciiTheme="minorHAnsi" w:hAnsiTheme="minorHAnsi" w:cs="Calibri"/>
        </w:rPr>
        <w:t>5.2. Roboty przygotowawcze</w:t>
      </w:r>
      <w:bookmarkEnd w:id="464"/>
      <w:bookmarkEnd w:id="465"/>
      <w:bookmarkEnd w:id="466"/>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Przed przystąpieniem do robót Wykonawca dokona ich wytyczenia i trwale oznaczy je w terenie za pomocą kołków osiowych, kołków świadków i kołków krawędziowych.</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 przypadku niedostatecznej ilości reperów stałych, Wykonawca wbuduje repery tymczasowe (z rzędnymi sprawdzonymi przez służby geodezyjne), a szkice sytuacyjne reperów i ich rzędne przekaże Inżynierowi.</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67" w:name="_Toc358023981"/>
      <w:bookmarkStart w:id="468" w:name="_Toc358024396"/>
      <w:bookmarkStart w:id="469" w:name="_Toc358024811"/>
      <w:r w:rsidRPr="00A8518B">
        <w:rPr>
          <w:rFonts w:asciiTheme="minorHAnsi" w:hAnsiTheme="minorHAnsi" w:cs="Calibri"/>
        </w:rPr>
        <w:t>5.3. Roboty ziemne</w:t>
      </w:r>
      <w:bookmarkEnd w:id="467"/>
      <w:bookmarkEnd w:id="468"/>
      <w:bookmarkEnd w:id="469"/>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Wykopy należy wykonać jako wykopy otwarte obudowane. Metody wykonania robót - wykopu (ręcznie lub mechanicznie) powinny być dostosowane do głębokości wykopu, danych geotechnicznych oraz posiadanego sprzętu mechanicznego.</w:t>
      </w:r>
      <w:r w:rsidR="00BB3153">
        <w:rPr>
          <w:rFonts w:asciiTheme="minorHAnsi" w:hAnsiTheme="minorHAnsi" w:cs="Calibri"/>
          <w:sz w:val="20"/>
          <w:szCs w:val="20"/>
        </w:rPr>
        <w:t xml:space="preserve"> </w:t>
      </w:r>
      <w:r w:rsidR="00BB3153" w:rsidRPr="00BB3153">
        <w:rPr>
          <w:rFonts w:asciiTheme="minorHAnsi" w:hAnsiTheme="minorHAnsi"/>
          <w:sz w:val="20"/>
          <w:szCs w:val="20"/>
        </w:rPr>
        <w:t>Stateczno</w:t>
      </w:r>
      <w:r w:rsidR="00BB3153" w:rsidRPr="00BB3153">
        <w:rPr>
          <w:rFonts w:asciiTheme="minorHAnsi" w:eastAsia="TimesNewRoman" w:hAnsiTheme="minorHAnsi"/>
          <w:sz w:val="20"/>
          <w:szCs w:val="20"/>
        </w:rPr>
        <w:t>ść ś</w:t>
      </w:r>
      <w:r w:rsidR="00BB3153" w:rsidRPr="00BB3153">
        <w:rPr>
          <w:rFonts w:asciiTheme="minorHAnsi" w:hAnsiTheme="minorHAnsi"/>
          <w:sz w:val="20"/>
          <w:szCs w:val="20"/>
        </w:rPr>
        <w:t>cian wykopu należy zabezpieczy</w:t>
      </w:r>
      <w:r w:rsidR="00BB3153" w:rsidRPr="00BB3153">
        <w:rPr>
          <w:rFonts w:asciiTheme="minorHAnsi" w:eastAsia="TimesNewRoman" w:hAnsiTheme="minorHAnsi"/>
          <w:sz w:val="20"/>
          <w:szCs w:val="20"/>
        </w:rPr>
        <w:t xml:space="preserve">ć </w:t>
      </w:r>
      <w:r w:rsidR="00BB3153" w:rsidRPr="00BB3153">
        <w:rPr>
          <w:rFonts w:asciiTheme="minorHAnsi" w:hAnsiTheme="minorHAnsi"/>
          <w:sz w:val="20"/>
          <w:szCs w:val="20"/>
        </w:rPr>
        <w:t>poprzez zastosowanie odpowiedniego szalowania lub utrzymania k</w:t>
      </w:r>
      <w:r w:rsidR="00BB3153" w:rsidRPr="00BB3153">
        <w:rPr>
          <w:rFonts w:asciiTheme="minorHAnsi" w:eastAsia="TimesNewRoman" w:hAnsiTheme="minorHAnsi"/>
          <w:sz w:val="20"/>
          <w:szCs w:val="20"/>
        </w:rPr>
        <w:t>ą</w:t>
      </w:r>
      <w:r w:rsidR="00BB3153" w:rsidRPr="00BB3153">
        <w:rPr>
          <w:rFonts w:asciiTheme="minorHAnsi" w:hAnsiTheme="minorHAnsi"/>
          <w:sz w:val="20"/>
          <w:szCs w:val="20"/>
        </w:rPr>
        <w:t xml:space="preserve">ta nachylenia </w:t>
      </w:r>
      <w:r w:rsidR="00BB3153" w:rsidRPr="00BB3153">
        <w:rPr>
          <w:rFonts w:asciiTheme="minorHAnsi" w:eastAsia="TimesNewRoman" w:hAnsiTheme="minorHAnsi"/>
          <w:sz w:val="20"/>
          <w:szCs w:val="20"/>
        </w:rPr>
        <w:t>ś</w:t>
      </w:r>
      <w:r w:rsidR="00BB3153" w:rsidRPr="00BB3153">
        <w:rPr>
          <w:rFonts w:asciiTheme="minorHAnsi" w:hAnsiTheme="minorHAnsi"/>
          <w:sz w:val="20"/>
          <w:szCs w:val="20"/>
        </w:rPr>
        <w:t>cian wykopów ze skarpami. Wykopy należy wykonywa</w:t>
      </w:r>
      <w:r w:rsidR="00BB3153" w:rsidRPr="00BB3153">
        <w:rPr>
          <w:rFonts w:asciiTheme="minorHAnsi" w:eastAsia="TimesNewRoman" w:hAnsiTheme="minorHAnsi"/>
          <w:sz w:val="20"/>
          <w:szCs w:val="20"/>
        </w:rPr>
        <w:t xml:space="preserve">ć </w:t>
      </w:r>
      <w:r w:rsidR="00BB3153" w:rsidRPr="00BB3153">
        <w:rPr>
          <w:rFonts w:asciiTheme="minorHAnsi" w:hAnsiTheme="minorHAnsi"/>
          <w:sz w:val="20"/>
          <w:szCs w:val="20"/>
        </w:rPr>
        <w:t>jako w</w:t>
      </w:r>
      <w:r w:rsidR="00BB3153" w:rsidRPr="00BB3153">
        <w:rPr>
          <w:rFonts w:asciiTheme="minorHAnsi" w:eastAsia="TimesNewRoman" w:hAnsiTheme="minorHAnsi"/>
          <w:sz w:val="20"/>
          <w:szCs w:val="20"/>
        </w:rPr>
        <w:t>ą</w:t>
      </w:r>
      <w:r w:rsidR="00BB3153" w:rsidRPr="00BB3153">
        <w:rPr>
          <w:rFonts w:asciiTheme="minorHAnsi" w:hAnsiTheme="minorHAnsi"/>
          <w:sz w:val="20"/>
          <w:szCs w:val="20"/>
        </w:rPr>
        <w:t xml:space="preserve">skoprzestrzenne o </w:t>
      </w:r>
      <w:r w:rsidR="00BB3153" w:rsidRPr="00BB3153">
        <w:rPr>
          <w:rFonts w:asciiTheme="minorHAnsi" w:eastAsia="TimesNewRoman" w:hAnsiTheme="minorHAnsi"/>
          <w:sz w:val="20"/>
          <w:szCs w:val="20"/>
        </w:rPr>
        <w:t>ś</w:t>
      </w:r>
      <w:r w:rsidR="00BB3153" w:rsidRPr="00BB3153">
        <w:rPr>
          <w:rFonts w:asciiTheme="minorHAnsi" w:hAnsiTheme="minorHAnsi"/>
          <w:sz w:val="20"/>
          <w:szCs w:val="20"/>
        </w:rPr>
        <w:t>cianach pionowych, umocnione szalunkami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Szerokość wykopu uwarunkowana jest zewnętrznymi wymiarami kanału, do których dodaje się obustronnie 0,4 m jako zapas potrzebny na deskowanie ścian i uszczelnienie styków. Deskowanie ścian należy prowadzić w miarę jego głębienia. Wydobyty grunt z wykopu powinien być wywieziony przez Wykonawcę na odkład.</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Dno wykopu powinno być równe i wykonane ze spadkiem ustalonym w dokumentacji projektowej, przy czym dno wykopu Wykonawca wykona na poziomie wyższym od rzędnej projektowanej o 0,20 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Zdjęcie pozostawionej warstwy 0,20 m gruntu powinno być wykonane bezpośrednio przed ułożeniem przewodów rurowych. Zdjęcie tej warstwy Wykonawca wykona ręcznie lub w sposób uzgodniony z </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Inżynierem.</w:t>
      </w:r>
    </w:p>
    <w:p w:rsidR="006947FD" w:rsidRDefault="006947FD" w:rsidP="006947FD">
      <w:pPr>
        <w:pStyle w:val="StylIwony"/>
        <w:tabs>
          <w:tab w:val="num" w:pos="0"/>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 gruntach skalistych dno wykopu powinno być wykonane od  0,10 do 0,15 m głębiej od projektowanego poziomu dna.</w:t>
      </w:r>
    </w:p>
    <w:p w:rsidR="00BB3153" w:rsidRPr="00BB3153" w:rsidRDefault="00BB3153" w:rsidP="00BB3153">
      <w:pPr>
        <w:overflowPunct/>
        <w:textAlignment w:val="auto"/>
        <w:rPr>
          <w:rFonts w:asciiTheme="minorHAnsi" w:hAnsiTheme="minorHAnsi"/>
        </w:rPr>
      </w:pPr>
      <w:r w:rsidRPr="00BB3153">
        <w:rPr>
          <w:rFonts w:asciiTheme="minorHAnsi" w:hAnsiTheme="minorHAnsi"/>
        </w:rPr>
        <w:t>Wszystkie napotkane przewody podziemne na trasie wykonywanego wykopu krzyżuj</w:t>
      </w:r>
      <w:r w:rsidRPr="00BB3153">
        <w:rPr>
          <w:rFonts w:asciiTheme="minorHAnsi" w:eastAsia="TimesNewRoman" w:hAnsiTheme="minorHAnsi"/>
        </w:rPr>
        <w:t>ą</w:t>
      </w:r>
      <w:r w:rsidRPr="00BB3153">
        <w:rPr>
          <w:rFonts w:asciiTheme="minorHAnsi" w:hAnsiTheme="minorHAnsi"/>
        </w:rPr>
        <w:t>ce si</w:t>
      </w:r>
      <w:r w:rsidRPr="00BB3153">
        <w:rPr>
          <w:rFonts w:asciiTheme="minorHAnsi" w:eastAsia="TimesNewRoman" w:hAnsiTheme="minorHAnsi"/>
        </w:rPr>
        <w:t xml:space="preserve">ę </w:t>
      </w:r>
      <w:r w:rsidRPr="00BB3153">
        <w:rPr>
          <w:rFonts w:asciiTheme="minorHAnsi" w:hAnsiTheme="minorHAnsi"/>
        </w:rPr>
        <w:t>lub biegn</w:t>
      </w:r>
      <w:r w:rsidRPr="00BB3153">
        <w:rPr>
          <w:rFonts w:asciiTheme="minorHAnsi" w:eastAsia="TimesNewRoman" w:hAnsiTheme="minorHAnsi"/>
        </w:rPr>
        <w:t>ą</w:t>
      </w:r>
      <w:r w:rsidRPr="00BB3153">
        <w:rPr>
          <w:rFonts w:asciiTheme="minorHAnsi" w:hAnsiTheme="minorHAnsi"/>
        </w:rPr>
        <w:t>ce równolegle z wykopem, powinny by</w:t>
      </w:r>
      <w:r w:rsidRPr="00BB3153">
        <w:rPr>
          <w:rFonts w:asciiTheme="minorHAnsi" w:eastAsia="TimesNewRoman" w:hAnsiTheme="minorHAnsi"/>
        </w:rPr>
        <w:t xml:space="preserve">ć </w:t>
      </w:r>
      <w:r w:rsidRPr="00BB3153">
        <w:rPr>
          <w:rFonts w:asciiTheme="minorHAnsi" w:hAnsiTheme="minorHAnsi"/>
        </w:rPr>
        <w:t>zabezpieczone przed uszkodzeniem, a w razie potrzeby podwieszone w sposób zapewniaj</w:t>
      </w:r>
      <w:r w:rsidRPr="00BB3153">
        <w:rPr>
          <w:rFonts w:asciiTheme="minorHAnsi" w:eastAsia="TimesNewRoman" w:hAnsiTheme="minorHAnsi"/>
        </w:rPr>
        <w:t>ą</w:t>
      </w:r>
      <w:r w:rsidRPr="00BB3153">
        <w:rPr>
          <w:rFonts w:asciiTheme="minorHAnsi" w:hAnsiTheme="minorHAnsi"/>
        </w:rPr>
        <w:t>cy ich eksploatacj</w:t>
      </w:r>
      <w:r w:rsidRPr="00BB3153">
        <w:rPr>
          <w:rFonts w:asciiTheme="minorHAnsi" w:eastAsia="TimesNewRoman" w:hAnsiTheme="minorHAnsi"/>
        </w:rPr>
        <w:t>ę</w:t>
      </w:r>
      <w:r w:rsidRPr="00BB3153">
        <w:rPr>
          <w:rFonts w:asciiTheme="minorHAnsi" w:hAnsiTheme="minorHAnsi"/>
        </w:rPr>
        <w:t>. Również</w:t>
      </w:r>
      <w:r w:rsidRPr="00BB3153">
        <w:rPr>
          <w:rFonts w:asciiTheme="minorHAnsi" w:eastAsia="TimesNewRoman" w:hAnsiTheme="minorHAnsi"/>
        </w:rPr>
        <w:t xml:space="preserve"> </w:t>
      </w:r>
      <w:r w:rsidRPr="00BB3153">
        <w:rPr>
          <w:rFonts w:asciiTheme="minorHAnsi" w:hAnsiTheme="minorHAnsi"/>
        </w:rPr>
        <w:t>zwraca si</w:t>
      </w:r>
      <w:r w:rsidRPr="00BB3153">
        <w:rPr>
          <w:rFonts w:asciiTheme="minorHAnsi" w:eastAsia="TimesNewRoman" w:hAnsiTheme="minorHAnsi"/>
        </w:rPr>
        <w:t xml:space="preserve">ę </w:t>
      </w:r>
      <w:r w:rsidRPr="00BB3153">
        <w:rPr>
          <w:rFonts w:asciiTheme="minorHAnsi" w:hAnsiTheme="minorHAnsi"/>
        </w:rPr>
        <w:t>uwag</w:t>
      </w:r>
      <w:r w:rsidRPr="00BB3153">
        <w:rPr>
          <w:rFonts w:asciiTheme="minorHAnsi" w:eastAsia="TimesNewRoman" w:hAnsiTheme="minorHAnsi"/>
        </w:rPr>
        <w:t xml:space="preserve">ę </w:t>
      </w:r>
      <w:r w:rsidRPr="00BB3153">
        <w:rPr>
          <w:rFonts w:asciiTheme="minorHAnsi" w:hAnsiTheme="minorHAnsi"/>
        </w:rPr>
        <w:t>na prace wykonywane sprz</w:t>
      </w:r>
      <w:r w:rsidRPr="00BB3153">
        <w:rPr>
          <w:rFonts w:asciiTheme="minorHAnsi" w:eastAsia="TimesNewRoman" w:hAnsiTheme="minorHAnsi"/>
        </w:rPr>
        <w:t>ę</w:t>
      </w:r>
      <w:r w:rsidRPr="00BB3153">
        <w:rPr>
          <w:rFonts w:asciiTheme="minorHAnsi" w:hAnsiTheme="minorHAnsi"/>
        </w:rPr>
        <w:t>tem mechanicznym w pobli</w:t>
      </w:r>
      <w:r w:rsidRPr="00BB3153">
        <w:rPr>
          <w:rFonts w:asciiTheme="minorHAnsi" w:eastAsia="TimesNewRoman" w:hAnsiTheme="minorHAnsi"/>
        </w:rPr>
        <w:t>ż</w:t>
      </w:r>
      <w:r w:rsidRPr="00BB3153">
        <w:rPr>
          <w:rFonts w:asciiTheme="minorHAnsi" w:hAnsiTheme="minorHAnsi"/>
        </w:rPr>
        <w:t>u napowietrznych linii energetycznych jak i też</w:t>
      </w:r>
      <w:r w:rsidRPr="00BB3153">
        <w:rPr>
          <w:rFonts w:asciiTheme="minorHAnsi" w:eastAsia="TimesNewRoman" w:hAnsiTheme="minorHAnsi"/>
        </w:rPr>
        <w:t xml:space="preserve"> </w:t>
      </w:r>
      <w:r w:rsidRPr="00BB3153">
        <w:rPr>
          <w:rFonts w:asciiTheme="minorHAnsi" w:hAnsiTheme="minorHAnsi"/>
        </w:rPr>
        <w:t>w miejscach ich skrzyżowania z tras</w:t>
      </w:r>
      <w:r w:rsidRPr="00BB3153">
        <w:rPr>
          <w:rFonts w:asciiTheme="minorHAnsi" w:eastAsia="TimesNewRoman" w:hAnsiTheme="minorHAnsi"/>
        </w:rPr>
        <w:t xml:space="preserve">ą </w:t>
      </w:r>
      <w:r w:rsidRPr="00BB3153">
        <w:rPr>
          <w:rFonts w:asciiTheme="minorHAnsi" w:hAnsiTheme="minorHAnsi"/>
        </w:rPr>
        <w:t>kanału.</w:t>
      </w:r>
    </w:p>
    <w:p w:rsidR="00BB3153" w:rsidRPr="00BB3153" w:rsidRDefault="00BB3153" w:rsidP="00BB3153">
      <w:pPr>
        <w:overflowPunct/>
        <w:textAlignment w:val="auto"/>
        <w:rPr>
          <w:rFonts w:asciiTheme="minorHAnsi" w:hAnsiTheme="minorHAnsi"/>
        </w:rPr>
      </w:pPr>
      <w:r w:rsidRPr="00BB3153">
        <w:rPr>
          <w:rFonts w:asciiTheme="minorHAnsi" w:hAnsiTheme="minorHAnsi"/>
        </w:rPr>
        <w:t>Prace te powinny by</w:t>
      </w:r>
      <w:r w:rsidRPr="00BB3153">
        <w:rPr>
          <w:rFonts w:asciiTheme="minorHAnsi" w:eastAsia="TimesNewRoman" w:hAnsiTheme="minorHAnsi"/>
        </w:rPr>
        <w:t xml:space="preserve">ć </w:t>
      </w:r>
      <w:r w:rsidRPr="00BB3153">
        <w:rPr>
          <w:rFonts w:asciiTheme="minorHAnsi" w:hAnsiTheme="minorHAnsi"/>
        </w:rPr>
        <w:t>wykonane zgodnie z norm</w:t>
      </w:r>
      <w:r w:rsidRPr="00BB3153">
        <w:rPr>
          <w:rFonts w:asciiTheme="minorHAnsi" w:eastAsia="TimesNewRoman" w:hAnsiTheme="minorHAnsi"/>
        </w:rPr>
        <w:t xml:space="preserve">ą </w:t>
      </w:r>
      <w:r w:rsidRPr="00BB3153">
        <w:rPr>
          <w:rFonts w:asciiTheme="minorHAnsi" w:hAnsiTheme="minorHAnsi"/>
        </w:rPr>
        <w:t>PN-75/E-05100 oraz wytycznymi zawartymi PBUE Zeszyt Nr 18 z dnia 31.05.1987r.</w:t>
      </w:r>
    </w:p>
    <w:p w:rsidR="00BB3153" w:rsidRPr="00BB3153" w:rsidRDefault="00BB3153" w:rsidP="00BB3153">
      <w:pPr>
        <w:overflowPunct/>
        <w:textAlignment w:val="auto"/>
        <w:rPr>
          <w:rFonts w:asciiTheme="minorHAnsi" w:hAnsiTheme="minorHAnsi"/>
        </w:rPr>
      </w:pPr>
      <w:r w:rsidRPr="00BB3153">
        <w:rPr>
          <w:rFonts w:asciiTheme="minorHAnsi" w:hAnsiTheme="minorHAnsi"/>
        </w:rPr>
        <w:t>Cało</w:t>
      </w:r>
      <w:r w:rsidRPr="00BB3153">
        <w:rPr>
          <w:rFonts w:asciiTheme="minorHAnsi" w:eastAsia="TimesNewRoman" w:hAnsiTheme="minorHAnsi"/>
        </w:rPr>
        <w:t xml:space="preserve">ść </w:t>
      </w:r>
      <w:r w:rsidRPr="00BB3153">
        <w:rPr>
          <w:rFonts w:asciiTheme="minorHAnsi" w:hAnsiTheme="minorHAnsi"/>
        </w:rPr>
        <w:t>robót ziemnych należy wykona</w:t>
      </w:r>
      <w:r w:rsidRPr="00BB3153">
        <w:rPr>
          <w:rFonts w:asciiTheme="minorHAnsi" w:eastAsia="TimesNewRoman" w:hAnsiTheme="minorHAnsi"/>
        </w:rPr>
        <w:t xml:space="preserve">ć </w:t>
      </w:r>
      <w:r w:rsidRPr="00BB3153">
        <w:rPr>
          <w:rFonts w:asciiTheme="minorHAnsi" w:hAnsiTheme="minorHAnsi"/>
        </w:rPr>
        <w:t>zgodnie z PN-99/B-06050 i PN-B-10736:1999.</w:t>
      </w:r>
    </w:p>
    <w:p w:rsidR="00BB3153" w:rsidRPr="007467DC" w:rsidRDefault="00BB3153" w:rsidP="00BB3153">
      <w:pPr>
        <w:overflowPunct/>
        <w:textAlignment w:val="auto"/>
        <w:rPr>
          <w:rFonts w:asciiTheme="minorHAnsi" w:hAnsiTheme="minorHAnsi"/>
        </w:rPr>
      </w:pPr>
      <w:r w:rsidRPr="00BB3153">
        <w:rPr>
          <w:rFonts w:asciiTheme="minorHAnsi" w:hAnsiTheme="minorHAnsi"/>
        </w:rPr>
        <w:t>Oznakowanie robót oraz sposób ich zabezpieczenia należy wykonywa</w:t>
      </w:r>
      <w:r w:rsidRPr="00BB3153">
        <w:rPr>
          <w:rFonts w:asciiTheme="minorHAnsi" w:eastAsia="TimesNewRoman" w:hAnsiTheme="minorHAnsi"/>
        </w:rPr>
        <w:t xml:space="preserve">ć </w:t>
      </w:r>
      <w:r w:rsidRPr="00BB3153">
        <w:rPr>
          <w:rFonts w:asciiTheme="minorHAnsi" w:hAnsiTheme="minorHAnsi"/>
        </w:rPr>
        <w:t>zgodnie z obowi</w:t>
      </w:r>
      <w:r w:rsidRPr="00BB3153">
        <w:rPr>
          <w:rFonts w:asciiTheme="minorHAnsi" w:eastAsia="TimesNewRoman" w:hAnsiTheme="minorHAnsi"/>
        </w:rPr>
        <w:t>ą</w:t>
      </w:r>
      <w:r w:rsidRPr="00BB3153">
        <w:rPr>
          <w:rFonts w:asciiTheme="minorHAnsi" w:hAnsiTheme="minorHAnsi"/>
        </w:rPr>
        <w:t>zuj</w:t>
      </w:r>
      <w:r w:rsidRPr="00BB3153">
        <w:rPr>
          <w:rFonts w:asciiTheme="minorHAnsi" w:eastAsia="TimesNewRoman" w:hAnsiTheme="minorHAnsi"/>
        </w:rPr>
        <w:t>ą</w:t>
      </w:r>
      <w:r w:rsidRPr="00BB3153">
        <w:rPr>
          <w:rFonts w:asciiTheme="minorHAnsi" w:hAnsiTheme="minorHAnsi"/>
        </w:rPr>
        <w:t>cymi normami i przepisami BHP</w:t>
      </w:r>
      <w:r w:rsidRPr="008C309F">
        <w:t>.</w:t>
      </w:r>
      <w:r w:rsidR="007467DC">
        <w:t xml:space="preserve"> </w:t>
      </w:r>
      <w:r w:rsidR="007467DC" w:rsidRPr="007467DC">
        <w:rPr>
          <w:rFonts w:asciiTheme="minorHAnsi" w:hAnsiTheme="minorHAnsi"/>
        </w:rPr>
        <w:t>Wyj</w:t>
      </w:r>
      <w:r w:rsidR="007467DC" w:rsidRPr="007467DC">
        <w:rPr>
          <w:rFonts w:asciiTheme="minorHAnsi" w:eastAsia="TimesNewRoman" w:hAnsiTheme="minorHAnsi"/>
        </w:rPr>
        <w:t>ś</w:t>
      </w:r>
      <w:r w:rsidR="007467DC" w:rsidRPr="007467DC">
        <w:rPr>
          <w:rFonts w:asciiTheme="minorHAnsi" w:hAnsiTheme="minorHAnsi"/>
        </w:rPr>
        <w:t>cie (zej</w:t>
      </w:r>
      <w:r w:rsidR="007467DC" w:rsidRPr="007467DC">
        <w:rPr>
          <w:rFonts w:asciiTheme="minorHAnsi" w:eastAsia="TimesNewRoman" w:hAnsiTheme="minorHAnsi"/>
        </w:rPr>
        <w:t>ś</w:t>
      </w:r>
      <w:r w:rsidR="007467DC" w:rsidRPr="007467DC">
        <w:rPr>
          <w:rFonts w:asciiTheme="minorHAnsi" w:hAnsiTheme="minorHAnsi"/>
        </w:rPr>
        <w:t>cie) po drabinie z wykopu powinno by</w:t>
      </w:r>
      <w:r w:rsidR="007467DC" w:rsidRPr="007467DC">
        <w:rPr>
          <w:rFonts w:asciiTheme="minorHAnsi" w:eastAsia="TimesNewRoman" w:hAnsiTheme="minorHAnsi"/>
        </w:rPr>
        <w:t xml:space="preserve">ć </w:t>
      </w:r>
      <w:r w:rsidR="007467DC" w:rsidRPr="007467DC">
        <w:rPr>
          <w:rFonts w:asciiTheme="minorHAnsi" w:hAnsiTheme="minorHAnsi"/>
        </w:rPr>
        <w:t>wykonane z chwil</w:t>
      </w:r>
      <w:r w:rsidR="007467DC" w:rsidRPr="007467DC">
        <w:rPr>
          <w:rFonts w:asciiTheme="minorHAnsi" w:eastAsia="TimesNewRoman" w:hAnsiTheme="minorHAnsi"/>
        </w:rPr>
        <w:t xml:space="preserve">ą </w:t>
      </w:r>
      <w:r w:rsidR="007467DC" w:rsidRPr="007467DC">
        <w:rPr>
          <w:rFonts w:asciiTheme="minorHAnsi" w:hAnsiTheme="minorHAnsi"/>
        </w:rPr>
        <w:t>osi</w:t>
      </w:r>
      <w:r w:rsidR="007467DC" w:rsidRPr="007467DC">
        <w:rPr>
          <w:rFonts w:asciiTheme="minorHAnsi" w:eastAsia="TimesNewRoman" w:hAnsiTheme="minorHAnsi"/>
        </w:rPr>
        <w:t>ą</w:t>
      </w:r>
      <w:r w:rsidR="007467DC" w:rsidRPr="007467DC">
        <w:rPr>
          <w:rFonts w:asciiTheme="minorHAnsi" w:hAnsiTheme="minorHAnsi"/>
        </w:rPr>
        <w:t>gni</w:t>
      </w:r>
      <w:r w:rsidR="007467DC" w:rsidRPr="007467DC">
        <w:rPr>
          <w:rFonts w:asciiTheme="minorHAnsi" w:eastAsia="TimesNewRoman" w:hAnsiTheme="minorHAnsi"/>
        </w:rPr>
        <w:t>ę</w:t>
      </w:r>
      <w:r w:rsidR="007467DC" w:rsidRPr="007467DC">
        <w:rPr>
          <w:rFonts w:asciiTheme="minorHAnsi" w:hAnsiTheme="minorHAnsi"/>
        </w:rPr>
        <w:t>cia gł</w:t>
      </w:r>
      <w:r w:rsidR="007467DC" w:rsidRPr="007467DC">
        <w:rPr>
          <w:rFonts w:asciiTheme="minorHAnsi" w:eastAsia="TimesNewRoman" w:hAnsiTheme="minorHAnsi"/>
        </w:rPr>
        <w:t>ę</w:t>
      </w:r>
      <w:r w:rsidR="007467DC" w:rsidRPr="007467DC">
        <w:rPr>
          <w:rFonts w:asciiTheme="minorHAnsi" w:hAnsiTheme="minorHAnsi"/>
        </w:rPr>
        <w:t>boko</w:t>
      </w:r>
      <w:r w:rsidR="007467DC" w:rsidRPr="007467DC">
        <w:rPr>
          <w:rFonts w:asciiTheme="minorHAnsi" w:eastAsia="TimesNewRoman" w:hAnsiTheme="minorHAnsi"/>
        </w:rPr>
        <w:t>ś</w:t>
      </w:r>
      <w:r w:rsidR="007467DC" w:rsidRPr="007467DC">
        <w:rPr>
          <w:rFonts w:asciiTheme="minorHAnsi" w:hAnsiTheme="minorHAnsi"/>
        </w:rPr>
        <w:t>ci wi</w:t>
      </w:r>
      <w:r w:rsidR="007467DC" w:rsidRPr="007467DC">
        <w:rPr>
          <w:rFonts w:asciiTheme="minorHAnsi" w:eastAsia="TimesNewRoman" w:hAnsiTheme="minorHAnsi"/>
        </w:rPr>
        <w:t>ę</w:t>
      </w:r>
      <w:r w:rsidR="007467DC" w:rsidRPr="007467DC">
        <w:rPr>
          <w:rFonts w:asciiTheme="minorHAnsi" w:hAnsiTheme="minorHAnsi"/>
        </w:rPr>
        <w:t>kszej niż</w:t>
      </w:r>
      <w:r w:rsidR="007467DC" w:rsidRPr="007467DC">
        <w:rPr>
          <w:rFonts w:asciiTheme="minorHAnsi" w:eastAsia="TimesNewRoman" w:hAnsiTheme="minorHAnsi"/>
        </w:rPr>
        <w:t xml:space="preserve"> </w:t>
      </w:r>
      <w:r w:rsidR="007467DC" w:rsidRPr="007467DC">
        <w:rPr>
          <w:rFonts w:asciiTheme="minorHAnsi" w:hAnsiTheme="minorHAnsi"/>
        </w:rPr>
        <w:t>1m od poziomu terenu, w odległo</w:t>
      </w:r>
      <w:r w:rsidR="007467DC" w:rsidRPr="007467DC">
        <w:rPr>
          <w:rFonts w:asciiTheme="minorHAnsi" w:eastAsia="TimesNewRoman" w:hAnsiTheme="minorHAnsi"/>
        </w:rPr>
        <w:t>ś</w:t>
      </w:r>
      <w:r w:rsidR="007467DC" w:rsidRPr="007467DC">
        <w:rPr>
          <w:rFonts w:asciiTheme="minorHAnsi" w:hAnsiTheme="minorHAnsi"/>
        </w:rPr>
        <w:t>ci nie przekraczaj</w:t>
      </w:r>
      <w:r w:rsidR="007467DC" w:rsidRPr="007467DC">
        <w:rPr>
          <w:rFonts w:asciiTheme="minorHAnsi" w:eastAsia="TimesNewRoman" w:hAnsiTheme="minorHAnsi"/>
        </w:rPr>
        <w:t>ą</w:t>
      </w:r>
      <w:r w:rsidR="007467DC" w:rsidRPr="007467DC">
        <w:rPr>
          <w:rFonts w:asciiTheme="minorHAnsi" w:hAnsiTheme="minorHAnsi"/>
        </w:rPr>
        <w:t>cej 20m</w:t>
      </w:r>
    </w:p>
    <w:p w:rsidR="007467DC" w:rsidRPr="007467DC" w:rsidRDefault="007467DC" w:rsidP="007467DC">
      <w:pPr>
        <w:overflowPunct/>
        <w:textAlignment w:val="auto"/>
        <w:rPr>
          <w:rFonts w:asciiTheme="minorHAnsi" w:hAnsiTheme="minorHAnsi"/>
        </w:rPr>
      </w:pPr>
      <w:r w:rsidRPr="007467DC">
        <w:rPr>
          <w:rFonts w:asciiTheme="minorHAnsi" w:hAnsiTheme="minorHAnsi"/>
        </w:rPr>
        <w:t>W warunkach ruchu ulicznego należy stosowa</w:t>
      </w:r>
      <w:r w:rsidRPr="007467DC">
        <w:rPr>
          <w:rFonts w:asciiTheme="minorHAnsi" w:eastAsia="TimesNewRoman" w:hAnsiTheme="minorHAnsi"/>
        </w:rPr>
        <w:t xml:space="preserve">ć </w:t>
      </w:r>
      <w:r w:rsidRPr="007467DC">
        <w:rPr>
          <w:rFonts w:asciiTheme="minorHAnsi" w:hAnsiTheme="minorHAnsi"/>
        </w:rPr>
        <w:t>przykrywanie wykopów pomostami dla przej</w:t>
      </w:r>
      <w:r w:rsidRPr="007467DC">
        <w:rPr>
          <w:rFonts w:asciiTheme="minorHAnsi" w:eastAsia="TimesNewRoman" w:hAnsiTheme="minorHAnsi"/>
        </w:rPr>
        <w:t>ś</w:t>
      </w:r>
      <w:r w:rsidRPr="007467DC">
        <w:rPr>
          <w:rFonts w:asciiTheme="minorHAnsi" w:hAnsiTheme="minorHAnsi"/>
        </w:rPr>
        <w:t>cia pieszych lub pojazdów, teren robót należy oznakowa</w:t>
      </w:r>
      <w:r w:rsidRPr="007467DC">
        <w:rPr>
          <w:rFonts w:asciiTheme="minorHAnsi" w:eastAsia="TimesNewRoman" w:hAnsiTheme="minorHAnsi"/>
        </w:rPr>
        <w:t xml:space="preserve">ć </w:t>
      </w:r>
      <w:r w:rsidRPr="007467DC">
        <w:rPr>
          <w:rFonts w:asciiTheme="minorHAnsi" w:hAnsiTheme="minorHAnsi"/>
        </w:rPr>
        <w:t>zgodnie z przepisami o ruchu drogowym oraz zachowa</w:t>
      </w:r>
      <w:r w:rsidRPr="007467DC">
        <w:rPr>
          <w:rFonts w:asciiTheme="minorHAnsi" w:eastAsia="TimesNewRoman" w:hAnsiTheme="minorHAnsi"/>
        </w:rPr>
        <w:t xml:space="preserve">ć </w:t>
      </w:r>
      <w:r w:rsidRPr="007467DC">
        <w:rPr>
          <w:rFonts w:asciiTheme="minorHAnsi" w:hAnsiTheme="minorHAnsi"/>
        </w:rPr>
        <w:t>szczególne warunki bezpiecze</w:t>
      </w:r>
      <w:r w:rsidRPr="007467DC">
        <w:rPr>
          <w:rFonts w:asciiTheme="minorHAnsi" w:eastAsia="TimesNewRoman" w:hAnsiTheme="minorHAnsi"/>
        </w:rPr>
        <w:t>ń</w:t>
      </w:r>
      <w:r w:rsidRPr="007467DC">
        <w:rPr>
          <w:rFonts w:asciiTheme="minorHAnsi" w:hAnsiTheme="minorHAnsi"/>
        </w:rPr>
        <w:t>stwa robót. Wykop powinien by</w:t>
      </w:r>
      <w:r w:rsidRPr="007467DC">
        <w:rPr>
          <w:rFonts w:asciiTheme="minorHAnsi" w:eastAsia="TimesNewRoman" w:hAnsiTheme="minorHAnsi"/>
        </w:rPr>
        <w:t xml:space="preserve">ć </w:t>
      </w:r>
      <w:r w:rsidRPr="007467DC">
        <w:rPr>
          <w:rFonts w:asciiTheme="minorHAnsi" w:hAnsiTheme="minorHAnsi"/>
        </w:rPr>
        <w:t>zabezpieczony barierk</w:t>
      </w:r>
      <w:r w:rsidRPr="007467DC">
        <w:rPr>
          <w:rFonts w:asciiTheme="minorHAnsi" w:eastAsia="TimesNewRoman" w:hAnsiTheme="minorHAnsi"/>
        </w:rPr>
        <w:t xml:space="preserve">ą </w:t>
      </w:r>
      <w:r w:rsidRPr="007467DC">
        <w:rPr>
          <w:rFonts w:asciiTheme="minorHAnsi" w:hAnsiTheme="minorHAnsi"/>
        </w:rPr>
        <w:t>o wysoko</w:t>
      </w:r>
      <w:r w:rsidRPr="007467DC">
        <w:rPr>
          <w:rFonts w:asciiTheme="minorHAnsi" w:eastAsia="TimesNewRoman" w:hAnsiTheme="minorHAnsi"/>
        </w:rPr>
        <w:t>ś</w:t>
      </w:r>
      <w:r w:rsidRPr="007467DC">
        <w:rPr>
          <w:rFonts w:asciiTheme="minorHAnsi" w:hAnsiTheme="minorHAnsi"/>
        </w:rPr>
        <w:t>ci 1,0m lub ta</w:t>
      </w:r>
      <w:r w:rsidRPr="007467DC">
        <w:rPr>
          <w:rFonts w:asciiTheme="minorHAnsi" w:eastAsia="TimesNewRoman" w:hAnsiTheme="minorHAnsi"/>
        </w:rPr>
        <w:t>ś</w:t>
      </w:r>
      <w:r w:rsidRPr="007467DC">
        <w:rPr>
          <w:rFonts w:asciiTheme="minorHAnsi" w:hAnsiTheme="minorHAnsi"/>
        </w:rPr>
        <w:t>m</w:t>
      </w:r>
      <w:r w:rsidRPr="007467DC">
        <w:rPr>
          <w:rFonts w:asciiTheme="minorHAnsi" w:eastAsia="TimesNewRoman" w:hAnsiTheme="minorHAnsi"/>
        </w:rPr>
        <w:t xml:space="preserve">ą </w:t>
      </w:r>
      <w:r w:rsidRPr="007467DC">
        <w:rPr>
          <w:rFonts w:asciiTheme="minorHAnsi" w:hAnsiTheme="minorHAnsi"/>
        </w:rPr>
        <w:t>ostrzegawcz</w:t>
      </w:r>
      <w:r w:rsidRPr="007467DC">
        <w:rPr>
          <w:rFonts w:asciiTheme="minorHAnsi" w:eastAsia="TimesNewRoman" w:hAnsiTheme="minorHAnsi"/>
        </w:rPr>
        <w:t xml:space="preserve">ą </w:t>
      </w:r>
      <w:r w:rsidRPr="007467DC">
        <w:rPr>
          <w:rFonts w:asciiTheme="minorHAnsi" w:hAnsiTheme="minorHAnsi"/>
        </w:rPr>
        <w:t>przed dostaniem si</w:t>
      </w:r>
      <w:r w:rsidRPr="007467DC">
        <w:rPr>
          <w:rFonts w:asciiTheme="minorHAnsi" w:eastAsia="TimesNewRoman" w:hAnsiTheme="minorHAnsi"/>
        </w:rPr>
        <w:t xml:space="preserve">ę </w:t>
      </w:r>
      <w:r w:rsidRPr="007467DC">
        <w:rPr>
          <w:rFonts w:asciiTheme="minorHAnsi" w:hAnsiTheme="minorHAnsi"/>
        </w:rPr>
        <w:t xml:space="preserve">na teren budowy osób niepowołanych, w nocy oznakowany </w:t>
      </w:r>
      <w:r w:rsidRPr="007467DC">
        <w:rPr>
          <w:rFonts w:asciiTheme="minorHAnsi" w:eastAsia="TimesNewRoman" w:hAnsiTheme="minorHAnsi"/>
        </w:rPr>
        <w:t>ś</w:t>
      </w:r>
      <w:r w:rsidRPr="007467DC">
        <w:rPr>
          <w:rFonts w:asciiTheme="minorHAnsi" w:hAnsiTheme="minorHAnsi"/>
        </w:rPr>
        <w:t>wiatłami ostrzegawczymi.</w:t>
      </w:r>
    </w:p>
    <w:p w:rsidR="007467DC" w:rsidRPr="008C309F" w:rsidRDefault="007467DC" w:rsidP="00BB3153">
      <w:pPr>
        <w:overflowPunct/>
        <w:textAlignment w:val="auto"/>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70" w:name="_Toc358023982"/>
      <w:bookmarkStart w:id="471" w:name="_Toc358024397"/>
      <w:bookmarkStart w:id="472" w:name="_Toc358024812"/>
      <w:r w:rsidRPr="00A8518B">
        <w:rPr>
          <w:rFonts w:asciiTheme="minorHAnsi" w:hAnsiTheme="minorHAnsi" w:cs="Calibri"/>
        </w:rPr>
        <w:t>5.4. Przygotowanie podłoża i warunki ułożenia rurociągów</w:t>
      </w:r>
      <w:bookmarkEnd w:id="470"/>
      <w:bookmarkEnd w:id="471"/>
      <w:bookmarkEnd w:id="472"/>
    </w:p>
    <w:p w:rsidR="006947FD" w:rsidRPr="00A8518B" w:rsidRDefault="006947FD" w:rsidP="006947FD">
      <w:pPr>
        <w:pStyle w:val="StylIwony"/>
        <w:tabs>
          <w:tab w:val="num" w:pos="0"/>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 gruntach suchych piaszczystych, żwirowo-piaszczystych i piaszczysto-gliniastych podłożem jest grunt naturalny o nienaruszonej strukturze dna wykopu.</w:t>
      </w:r>
    </w:p>
    <w:p w:rsidR="006947FD" w:rsidRPr="00A8518B" w:rsidRDefault="006947FD" w:rsidP="006947FD">
      <w:pPr>
        <w:pStyle w:val="StylIwony"/>
        <w:tabs>
          <w:tab w:val="num" w:pos="0"/>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 gruntach nawodnionych (odwadnianych w trakcie robót) podłoże należy wykonać z warstwy tłucznia lub żwiru z piaskiem o grubości od 15 do 20 cm łącznie z ułożonymi sączkami odwadniającymi.</w:t>
      </w:r>
    </w:p>
    <w:p w:rsidR="006947FD" w:rsidRPr="00A8518B" w:rsidRDefault="006947FD" w:rsidP="006947FD">
      <w:pPr>
        <w:pStyle w:val="StylIwony"/>
        <w:tabs>
          <w:tab w:val="num" w:pos="0"/>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 gruntach skalistych gliniastych lub stanowiących zbite iły należy wykonać podłoże z pospółki, żwiru lub tłucznia o grubości od 15 do 20 cm.</w:t>
      </w:r>
    </w:p>
    <w:p w:rsidR="006947FD" w:rsidRDefault="006947FD" w:rsidP="006947FD">
      <w:pPr>
        <w:pStyle w:val="StylIwony"/>
        <w:tabs>
          <w:tab w:val="num" w:pos="0"/>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Zagęszczenie podłoża powinno być zgodne z określonym w dokumentacji projektowej.</w:t>
      </w:r>
    </w:p>
    <w:p w:rsidR="007467DC" w:rsidRPr="007467DC" w:rsidRDefault="007467DC" w:rsidP="006947FD">
      <w:pPr>
        <w:pStyle w:val="StylIwony"/>
        <w:tabs>
          <w:tab w:val="num" w:pos="0"/>
        </w:tabs>
        <w:suppressAutoHyphens/>
        <w:autoSpaceDN/>
        <w:adjustRightInd/>
        <w:spacing w:before="0" w:after="0"/>
        <w:rPr>
          <w:rFonts w:asciiTheme="minorHAnsi" w:hAnsiTheme="minorHAnsi" w:cs="Calibri"/>
          <w:sz w:val="20"/>
          <w:szCs w:val="20"/>
        </w:rPr>
      </w:pPr>
      <w:r w:rsidRPr="007467DC">
        <w:rPr>
          <w:rFonts w:asciiTheme="minorHAnsi" w:hAnsiTheme="minorHAnsi"/>
          <w:sz w:val="20"/>
          <w:szCs w:val="20"/>
        </w:rPr>
        <w:t>Dno wykopu powinno by</w:t>
      </w:r>
      <w:r w:rsidRPr="007467DC">
        <w:rPr>
          <w:rFonts w:asciiTheme="minorHAnsi" w:eastAsia="TimesNewRoman" w:hAnsiTheme="minorHAnsi"/>
          <w:sz w:val="20"/>
          <w:szCs w:val="20"/>
        </w:rPr>
        <w:t xml:space="preserve">ć </w:t>
      </w:r>
      <w:r w:rsidRPr="007467DC">
        <w:rPr>
          <w:rFonts w:asciiTheme="minorHAnsi" w:hAnsiTheme="minorHAnsi"/>
          <w:sz w:val="20"/>
          <w:szCs w:val="20"/>
        </w:rPr>
        <w:t>równe, pozbawione kamieni i grud oraz wykonane ze spadkiem podanym w projekcie</w:t>
      </w:r>
    </w:p>
    <w:p w:rsidR="006947FD" w:rsidRPr="00A8518B" w:rsidRDefault="006947FD" w:rsidP="006947FD">
      <w:pPr>
        <w:pStyle w:val="WW-Tekstpodstawowywcity3"/>
        <w:tabs>
          <w:tab w:val="num" w:pos="0"/>
          <w:tab w:val="left" w:pos="720"/>
        </w:tabs>
        <w:ind w:left="0"/>
        <w:rPr>
          <w:rFonts w:asciiTheme="minorHAnsi" w:hAnsiTheme="minorHAnsi" w:cs="Calibri"/>
          <w:i/>
          <w:iCs/>
          <w:sz w:val="20"/>
          <w:szCs w:val="20"/>
        </w:rPr>
      </w:pPr>
    </w:p>
    <w:p w:rsidR="006947FD" w:rsidRPr="00A8518B" w:rsidRDefault="006947FD" w:rsidP="006947FD">
      <w:pPr>
        <w:pStyle w:val="WW-Tekstpodstawowywcity3"/>
        <w:tabs>
          <w:tab w:val="num" w:pos="0"/>
          <w:tab w:val="left" w:pos="720"/>
        </w:tabs>
        <w:ind w:left="0"/>
        <w:rPr>
          <w:rFonts w:asciiTheme="minorHAnsi" w:hAnsiTheme="minorHAnsi" w:cs="Calibri"/>
          <w:i/>
          <w:iCs/>
          <w:sz w:val="20"/>
          <w:szCs w:val="20"/>
        </w:rPr>
      </w:pPr>
      <w:r w:rsidRPr="00A8518B">
        <w:rPr>
          <w:rFonts w:asciiTheme="minorHAnsi" w:hAnsiTheme="minorHAnsi" w:cs="Calibri"/>
          <w:i/>
          <w:iCs/>
          <w:sz w:val="20"/>
          <w:szCs w:val="20"/>
        </w:rPr>
        <w:lastRenderedPageBreak/>
        <w:t>Podsypka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Podłoże należy wykonać z warstwy </w:t>
      </w:r>
      <w:r w:rsidR="007467DC">
        <w:rPr>
          <w:rFonts w:asciiTheme="minorHAnsi" w:hAnsiTheme="minorHAnsi" w:cs="Calibri"/>
          <w:sz w:val="20"/>
          <w:szCs w:val="20"/>
        </w:rPr>
        <w:t>pospółki</w:t>
      </w:r>
      <w:r w:rsidRPr="00A8518B">
        <w:rPr>
          <w:rFonts w:asciiTheme="minorHAnsi" w:hAnsiTheme="minorHAnsi" w:cs="Calibri"/>
          <w:sz w:val="20"/>
          <w:szCs w:val="20"/>
        </w:rPr>
        <w:t>, zgodnie z dokumentacją projektową</w:t>
      </w:r>
      <w:r w:rsidRPr="00A8518B">
        <w:rPr>
          <w:rFonts w:asciiTheme="minorHAnsi" w:hAnsiTheme="minorHAnsi" w:cs="Calibri"/>
          <w:color w:val="FF0000"/>
          <w:sz w:val="20"/>
          <w:szCs w:val="20"/>
        </w:rPr>
        <w:t>.</w:t>
      </w:r>
      <w:r w:rsidRPr="00A8518B">
        <w:rPr>
          <w:rFonts w:asciiTheme="minorHAnsi" w:hAnsiTheme="minorHAnsi" w:cs="Calibri"/>
          <w:sz w:val="20"/>
          <w:szCs w:val="20"/>
        </w:rPr>
        <w:t xml:space="preserve"> Zagęszczenie podłoża powinno być zgodne nie mniejsze niż 0,97 normalnej próby Proctora. </w:t>
      </w:r>
    </w:p>
    <w:p w:rsidR="006947FD" w:rsidRPr="00A8518B" w:rsidRDefault="006947FD" w:rsidP="006947FD">
      <w:pPr>
        <w:pStyle w:val="WW-Tekstpodstawowywcity3"/>
        <w:tabs>
          <w:tab w:val="left" w:pos="720"/>
        </w:tabs>
        <w:ind w:left="0"/>
        <w:rPr>
          <w:rFonts w:asciiTheme="minorHAnsi" w:hAnsiTheme="minorHAnsi" w:cs="Calibri"/>
          <w:i/>
          <w:iCs/>
          <w:sz w:val="20"/>
          <w:szCs w:val="20"/>
        </w:rPr>
      </w:pPr>
      <w:r w:rsidRPr="00A8518B">
        <w:rPr>
          <w:rFonts w:asciiTheme="minorHAnsi" w:hAnsiTheme="minorHAnsi" w:cs="Calibri"/>
          <w:i/>
          <w:iCs/>
          <w:sz w:val="20"/>
          <w:szCs w:val="20"/>
        </w:rPr>
        <w:t>Obsypka</w:t>
      </w:r>
    </w:p>
    <w:p w:rsidR="006947FD" w:rsidRPr="00A8518B" w:rsidRDefault="006947FD" w:rsidP="006947FD">
      <w:pPr>
        <w:pStyle w:val="WW-Tekstpodstawowywcity3"/>
        <w:ind w:left="0"/>
        <w:rPr>
          <w:rFonts w:asciiTheme="minorHAnsi" w:hAnsiTheme="minorHAnsi" w:cs="Calibri"/>
          <w:sz w:val="20"/>
          <w:szCs w:val="20"/>
        </w:rPr>
      </w:pPr>
      <w:r w:rsidRPr="00A8518B">
        <w:rPr>
          <w:rFonts w:asciiTheme="minorHAnsi" w:hAnsiTheme="minorHAnsi" w:cs="Calibri"/>
          <w:sz w:val="20"/>
          <w:szCs w:val="20"/>
        </w:rPr>
        <w:t>Przewiduje się obsypkę 20cm ponad wierzch rury.</w:t>
      </w:r>
    </w:p>
    <w:p w:rsidR="006947FD" w:rsidRPr="00A8518B" w:rsidRDefault="006947FD" w:rsidP="006947FD">
      <w:pPr>
        <w:pStyle w:val="WW-Tekstpodstawowywcity3"/>
        <w:ind w:left="0"/>
        <w:rPr>
          <w:rFonts w:asciiTheme="minorHAnsi" w:hAnsiTheme="minorHAnsi" w:cs="Calibri"/>
          <w:sz w:val="20"/>
          <w:szCs w:val="20"/>
        </w:rPr>
      </w:pPr>
      <w:r w:rsidRPr="00A8518B">
        <w:rPr>
          <w:rFonts w:asciiTheme="minorHAnsi" w:hAnsiTheme="minorHAnsi" w:cs="Calibri"/>
          <w:sz w:val="20"/>
          <w:szCs w:val="20"/>
        </w:rPr>
        <w:t>Materiał do formowania obsypki stanowić mogą piaski grubo-, średnio- lub drobnoziarniste i musi spełniać następujące warunki:</w:t>
      </w:r>
    </w:p>
    <w:p w:rsidR="006947FD" w:rsidRPr="00A8518B" w:rsidRDefault="006947FD" w:rsidP="006947FD">
      <w:pPr>
        <w:pStyle w:val="WW-Tekstpodstawowywcity3"/>
        <w:tabs>
          <w:tab w:val="left" w:pos="0"/>
        </w:tabs>
        <w:ind w:left="0"/>
        <w:rPr>
          <w:rFonts w:asciiTheme="minorHAnsi" w:hAnsiTheme="minorHAnsi" w:cs="Calibri"/>
          <w:sz w:val="20"/>
          <w:szCs w:val="20"/>
        </w:rPr>
      </w:pPr>
      <w:r w:rsidRPr="00A8518B">
        <w:rPr>
          <w:rFonts w:asciiTheme="minorHAnsi" w:hAnsiTheme="minorHAnsi" w:cs="Calibri"/>
          <w:sz w:val="20"/>
          <w:szCs w:val="20"/>
        </w:rPr>
        <w:t>- nie powinny występować cząstki o wymiarach powyżej 20mm;</w:t>
      </w:r>
    </w:p>
    <w:p w:rsidR="006947FD" w:rsidRPr="00A8518B" w:rsidRDefault="006947FD" w:rsidP="006947FD">
      <w:pPr>
        <w:pStyle w:val="WW-Tekstpodstawowywcity3"/>
        <w:tabs>
          <w:tab w:val="left" w:pos="0"/>
        </w:tabs>
        <w:ind w:left="0"/>
        <w:rPr>
          <w:rFonts w:asciiTheme="minorHAnsi" w:hAnsiTheme="minorHAnsi" w:cs="Calibri"/>
          <w:sz w:val="20"/>
          <w:szCs w:val="20"/>
        </w:rPr>
      </w:pPr>
      <w:r w:rsidRPr="00A8518B">
        <w:rPr>
          <w:rFonts w:asciiTheme="minorHAnsi" w:hAnsiTheme="minorHAnsi" w:cs="Calibri"/>
          <w:sz w:val="20"/>
          <w:szCs w:val="20"/>
        </w:rPr>
        <w:t>- materiał nie może być zmrożony;</w:t>
      </w:r>
    </w:p>
    <w:p w:rsidR="006947FD" w:rsidRPr="00A8518B" w:rsidRDefault="006947FD" w:rsidP="006947FD">
      <w:pPr>
        <w:pStyle w:val="WW-Tekstpodstawowywcity3"/>
        <w:tabs>
          <w:tab w:val="left" w:pos="0"/>
        </w:tabs>
        <w:ind w:left="0"/>
        <w:rPr>
          <w:rFonts w:asciiTheme="minorHAnsi" w:hAnsiTheme="minorHAnsi" w:cs="Calibri"/>
          <w:sz w:val="20"/>
          <w:szCs w:val="20"/>
        </w:rPr>
      </w:pPr>
      <w:r w:rsidRPr="00A8518B">
        <w:rPr>
          <w:rFonts w:asciiTheme="minorHAnsi" w:hAnsiTheme="minorHAnsi" w:cs="Calibri"/>
          <w:sz w:val="20"/>
          <w:szCs w:val="20"/>
        </w:rPr>
        <w:t>- nie może zawierać ostrych kamieni lub innego łamanego materiału.</w:t>
      </w:r>
    </w:p>
    <w:p w:rsidR="006947FD" w:rsidRPr="00A8518B" w:rsidRDefault="006947FD" w:rsidP="006947FD">
      <w:pPr>
        <w:pStyle w:val="WW-Tekstpodstawowywcity3"/>
        <w:ind w:left="0"/>
        <w:rPr>
          <w:rFonts w:asciiTheme="minorHAnsi" w:hAnsiTheme="minorHAnsi" w:cs="Calibri"/>
          <w:sz w:val="20"/>
          <w:szCs w:val="20"/>
        </w:rPr>
      </w:pPr>
      <w:r w:rsidRPr="00A8518B">
        <w:rPr>
          <w:rFonts w:asciiTheme="minorHAnsi" w:hAnsiTheme="minorHAnsi" w:cs="Calibri"/>
          <w:sz w:val="20"/>
          <w:szCs w:val="20"/>
        </w:rPr>
        <w:t xml:space="preserve">Piasek zagęścić mechanicznie używając sprzętu lekkiego, a w bezpośrednim sąsiedztwie rury zagęszczać ręcznie. Zagęszczenie powinno być nie mniejsze niż </w:t>
      </w:r>
      <w:r w:rsidR="007467DC">
        <w:rPr>
          <w:rFonts w:asciiTheme="minorHAnsi" w:hAnsiTheme="minorHAnsi" w:cs="Calibri"/>
          <w:sz w:val="20"/>
          <w:szCs w:val="20"/>
        </w:rPr>
        <w:t>1,0</w:t>
      </w:r>
      <w:r w:rsidR="000D4846">
        <w:rPr>
          <w:rFonts w:asciiTheme="minorHAnsi" w:hAnsiTheme="minorHAnsi" w:cs="Calibri"/>
          <w:sz w:val="20"/>
          <w:szCs w:val="20"/>
        </w:rPr>
        <w:t>0</w:t>
      </w:r>
      <w:r w:rsidRPr="00A8518B">
        <w:rPr>
          <w:rFonts w:asciiTheme="minorHAnsi" w:hAnsiTheme="minorHAnsi" w:cs="Calibri"/>
          <w:sz w:val="20"/>
          <w:szCs w:val="20"/>
        </w:rPr>
        <w:t xml:space="preserve"> normalnej próby Proctora. </w:t>
      </w:r>
    </w:p>
    <w:p w:rsidR="006947FD" w:rsidRPr="00A8518B" w:rsidRDefault="006947FD" w:rsidP="006947FD">
      <w:pPr>
        <w:pStyle w:val="WW-Tekstpodstawowywcity3"/>
        <w:tabs>
          <w:tab w:val="left" w:pos="720"/>
        </w:tabs>
        <w:ind w:left="0"/>
        <w:rPr>
          <w:rFonts w:asciiTheme="minorHAnsi" w:hAnsiTheme="minorHAnsi" w:cs="Calibri"/>
          <w:i/>
          <w:iCs/>
          <w:sz w:val="20"/>
          <w:szCs w:val="20"/>
        </w:rPr>
      </w:pPr>
      <w:r w:rsidRPr="00A8518B">
        <w:rPr>
          <w:rFonts w:asciiTheme="minorHAnsi" w:hAnsiTheme="minorHAnsi" w:cs="Calibri"/>
          <w:i/>
          <w:iCs/>
          <w:sz w:val="20"/>
          <w:szCs w:val="20"/>
        </w:rPr>
        <w:t>Zasypka</w:t>
      </w:r>
    </w:p>
    <w:p w:rsidR="006947FD" w:rsidRDefault="006947FD" w:rsidP="006947FD">
      <w:pPr>
        <w:pStyle w:val="WW-Tekstpodstawowywcity3"/>
        <w:ind w:left="0"/>
        <w:rPr>
          <w:rFonts w:asciiTheme="minorHAnsi" w:hAnsiTheme="minorHAnsi" w:cs="Calibri"/>
          <w:sz w:val="20"/>
          <w:szCs w:val="20"/>
        </w:rPr>
      </w:pPr>
      <w:r w:rsidRPr="00A8518B">
        <w:rPr>
          <w:rFonts w:asciiTheme="minorHAnsi" w:hAnsiTheme="minorHAnsi" w:cs="Calibri"/>
          <w:sz w:val="20"/>
          <w:szCs w:val="20"/>
        </w:rPr>
        <w:t>Zasypkę stanowi wymieniony grunt rodzimy na przywieziony grunt budowlany.</w:t>
      </w:r>
    </w:p>
    <w:p w:rsidR="007467DC" w:rsidRPr="007467DC" w:rsidRDefault="007467DC" w:rsidP="007467DC">
      <w:pPr>
        <w:rPr>
          <w:rFonts w:asciiTheme="minorHAnsi" w:hAnsiTheme="minorHAnsi"/>
          <w:i/>
        </w:rPr>
      </w:pPr>
      <w:r w:rsidRPr="007467DC">
        <w:rPr>
          <w:rFonts w:asciiTheme="minorHAnsi" w:hAnsiTheme="minorHAnsi"/>
          <w:i/>
        </w:rPr>
        <w:t>Odwodnienie wykopu</w:t>
      </w:r>
    </w:p>
    <w:p w:rsidR="007467DC" w:rsidRPr="007467DC" w:rsidRDefault="007467DC" w:rsidP="007467DC">
      <w:pPr>
        <w:rPr>
          <w:rFonts w:asciiTheme="minorHAnsi" w:hAnsiTheme="minorHAnsi"/>
        </w:rPr>
      </w:pPr>
      <w:r w:rsidRPr="007467DC">
        <w:rPr>
          <w:rFonts w:asciiTheme="minorHAnsi" w:hAnsiTheme="minorHAnsi"/>
        </w:rPr>
        <w:t>Wykonawca przedstawi do akceptacji Inżynierowi szczegółowy opis proponowanych metod odwodnienia wykopów na czas budowy kanalizacji deszczowej, zapewniający bezpieczeństwo pracy i ochronę wykonywanych Robót.</w:t>
      </w:r>
    </w:p>
    <w:p w:rsidR="007467DC" w:rsidRPr="007467DC" w:rsidRDefault="007467DC" w:rsidP="007467DC">
      <w:pPr>
        <w:rPr>
          <w:rFonts w:asciiTheme="minorHAnsi" w:hAnsiTheme="minorHAnsi"/>
        </w:rPr>
      </w:pPr>
      <w:r w:rsidRPr="007467DC">
        <w:rPr>
          <w:rFonts w:asciiTheme="minorHAnsi" w:hAnsiTheme="minorHAnsi"/>
        </w:rPr>
        <w:t>Przy budowie kanalizacji w zależności od głębokości wykopu, rodzaju gruntu może wystąpić konieczność odwodnienia.</w:t>
      </w:r>
    </w:p>
    <w:p w:rsidR="007467DC" w:rsidRPr="007467DC" w:rsidRDefault="007467DC" w:rsidP="007467DC">
      <w:pPr>
        <w:rPr>
          <w:rFonts w:asciiTheme="minorHAnsi" w:hAnsiTheme="minorHAnsi"/>
        </w:rPr>
      </w:pPr>
      <w:r w:rsidRPr="007467DC">
        <w:rPr>
          <w:rFonts w:asciiTheme="minorHAnsi" w:hAnsiTheme="minorHAnsi"/>
        </w:rPr>
        <w:t xml:space="preserve">Dla kanałów budowanych w gruntach nawodnionych na dnie wykopu należy ułożyć drenaż w obsypce filtracyjnej. Przy odwodnieniu powierzchniowym woda gruntowa z drenażu zostanie odprowadzona grawitacyjnie do studzienek zbiorczych umieszczonych w dnie wykopu co  około 50 m, skąd zostanie odpompowana poza zasięg Robót względnie spłynie grawitacyjnie do odbiornika. </w:t>
      </w:r>
    </w:p>
    <w:p w:rsidR="007467DC" w:rsidRPr="007467DC" w:rsidRDefault="007467DC" w:rsidP="007467DC">
      <w:pPr>
        <w:pStyle w:val="Tekstpodstawowywcity"/>
        <w:spacing w:after="0"/>
        <w:ind w:left="0"/>
        <w:rPr>
          <w:rFonts w:asciiTheme="minorHAnsi" w:hAnsiTheme="minorHAnsi"/>
        </w:rPr>
      </w:pPr>
      <w:r w:rsidRPr="007467DC">
        <w:rPr>
          <w:rFonts w:asciiTheme="minorHAnsi" w:hAnsiTheme="minorHAnsi"/>
        </w:rPr>
        <w:t xml:space="preserve">Przy występowaniu większej ilości wody w wykopie, wykonać studnie depresyjne lub igłofiltry. W takim przypadku Wykonawca na roboczo ustali Projekt odwodnienia w porozumieniu z Inżynierem. </w:t>
      </w:r>
    </w:p>
    <w:p w:rsidR="007467DC" w:rsidRPr="007467DC" w:rsidRDefault="007467DC" w:rsidP="007467DC">
      <w:pPr>
        <w:pStyle w:val="Tekstpodstawowywcity"/>
        <w:spacing w:after="0"/>
        <w:ind w:left="0"/>
        <w:rPr>
          <w:rFonts w:asciiTheme="minorHAnsi" w:hAnsiTheme="minorHAnsi"/>
        </w:rPr>
      </w:pPr>
      <w:r w:rsidRPr="007467DC">
        <w:rPr>
          <w:rFonts w:asciiTheme="minorHAnsi" w:hAnsiTheme="minorHAnsi"/>
        </w:rPr>
        <w:t xml:space="preserve">Należy zorganizować odwodnienie w taki sposób, aby nie pogorszyć nośności gruntu. </w:t>
      </w:r>
    </w:p>
    <w:p w:rsidR="007467DC" w:rsidRPr="007467DC" w:rsidRDefault="007467DC" w:rsidP="007467DC">
      <w:pPr>
        <w:pStyle w:val="WW-Tekstpodstawowywcity3"/>
        <w:ind w:left="0"/>
        <w:rPr>
          <w:rFonts w:asciiTheme="minorHAnsi" w:hAnsiTheme="minorHAnsi" w:cs="Calibri"/>
          <w:sz w:val="20"/>
          <w:szCs w:val="20"/>
        </w:rPr>
      </w:pPr>
      <w:r w:rsidRPr="007467DC">
        <w:rPr>
          <w:rFonts w:asciiTheme="minorHAnsi" w:hAnsiTheme="minorHAnsi"/>
          <w:sz w:val="20"/>
        </w:rPr>
        <w:t>Wykonawca ujmie koszt odwodnienia w wycenie robót; odwodnieni wykopów nie podlega odrębnemu rozliczeniu</w:t>
      </w:r>
    </w:p>
    <w:p w:rsidR="007467DC" w:rsidRDefault="007467DC"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73" w:name="_Toc358023983"/>
      <w:bookmarkStart w:id="474" w:name="_Toc358024398"/>
      <w:bookmarkStart w:id="475" w:name="_Toc358024813"/>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r w:rsidRPr="00A8518B">
        <w:rPr>
          <w:rFonts w:asciiTheme="minorHAnsi" w:hAnsiTheme="minorHAnsi" w:cs="Calibri"/>
        </w:rPr>
        <w:t>5.5. Roboty montażowe</w:t>
      </w:r>
      <w:bookmarkEnd w:id="473"/>
      <w:bookmarkEnd w:id="474"/>
      <w:bookmarkEnd w:id="475"/>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Rury kanałowe układa się zgodnie z instrukcją montażową układania przewodów kanalizacyjnych wydaną przez producenta rur.</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Poszczególne ułożone rury powinny być unieruchomione przez obsypanie piaskiem pośrodku długości rury i mocno podbite, aby rura nie zmieniła położenia do czasu wykonania uszczelnienia złączy.</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Rury należy układać w temperaturze powyżej 0</w:t>
      </w:r>
      <w:r w:rsidRPr="00A8518B">
        <w:rPr>
          <w:rFonts w:asciiTheme="minorHAnsi" w:hAnsiTheme="minorHAnsi" w:cs="Calibri"/>
          <w:sz w:val="20"/>
          <w:szCs w:val="20"/>
          <w:vertAlign w:val="superscript"/>
        </w:rPr>
        <w:t>o</w:t>
      </w:r>
      <w:r w:rsidRPr="00A8518B">
        <w:rPr>
          <w:rFonts w:asciiTheme="minorHAnsi" w:hAnsiTheme="minorHAnsi" w:cs="Calibri"/>
          <w:sz w:val="20"/>
          <w:szCs w:val="20"/>
        </w:rPr>
        <w:t xml:space="preserve"> C.</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Przed zakończeniem dnia roboczego bądź przed zejściem z budowy należy zabezpieczyć końce ułożonego kanału przed zamuleniem.</w:t>
      </w: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Przy wykonywaniu przykanalików należy przestrzegać następujących zasad:</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trasa przykanalika powinna być prosta, bez załamań w planie i pionie (z wyjątkiem łuków dla podłączenia do wpustu bocznego w kanale lub do syfonu przy podłączeniach do kanału ogólnospławnego),</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włączenie przykanalika do kanału może być wykonane za pośrednictwem studzienki rewizyjnej, studzienki krytej (tzw. ślepej) lub wpustu bocznego,</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spadki przykanalików powinny wynosić od min. 5 ‰ do max. 250 ‰,</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kierunek trasy przykanalika powinien być zgodny z kierunkiem spadku kanału zbiorczego,</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włączenie przykanalika do kanału poprzez studzienkę połączeniową należy dokonywać tak, aby wysokość spadku przykanalika nad podłogą studzienki wynosiła max. 50,0 cm. W przypadku konieczności włączenia przykanalika na wysokości większej należy stosować przepady (kaskady) umieszczone wewnątrz studzienki,</w:t>
      </w:r>
    </w:p>
    <w:p w:rsidR="006947FD" w:rsidRPr="00A8518B" w:rsidRDefault="006947FD" w:rsidP="006947FD">
      <w:pPr>
        <w:overflowPunct/>
        <w:autoSpaceDE/>
        <w:textAlignment w:val="auto"/>
        <w:rPr>
          <w:rFonts w:asciiTheme="minorHAnsi" w:hAnsiTheme="minorHAnsi" w:cs="Calibri"/>
        </w:rPr>
      </w:pPr>
    </w:p>
    <w:p w:rsidR="006947FD" w:rsidRPr="00A8518B" w:rsidRDefault="006947FD" w:rsidP="006947FD">
      <w:pPr>
        <w:overflowPunct/>
        <w:autoSpaceDE/>
        <w:textAlignment w:val="auto"/>
        <w:rPr>
          <w:rFonts w:asciiTheme="minorHAnsi" w:hAnsiTheme="minorHAnsi" w:cs="Calibri"/>
        </w:rPr>
      </w:pPr>
      <w:r w:rsidRPr="00A8518B">
        <w:rPr>
          <w:rFonts w:asciiTheme="minorHAnsi" w:hAnsiTheme="minorHAnsi" w:cs="Calibri"/>
        </w:rPr>
        <w:t>Przewiduje się wpięcie przykanalików z wpustów do sieci za pośrednictwem istniejących studzienek.</w:t>
      </w:r>
    </w:p>
    <w:p w:rsidR="006947FD" w:rsidRPr="00A8518B" w:rsidRDefault="006947FD" w:rsidP="006947FD">
      <w:pPr>
        <w:rPr>
          <w:rFonts w:asciiTheme="minorHAnsi" w:hAnsiTheme="minorHAnsi" w:cs="Calibri"/>
        </w:rPr>
      </w:pPr>
      <w:r w:rsidRPr="00A8518B">
        <w:rPr>
          <w:rFonts w:asciiTheme="minorHAnsi" w:hAnsiTheme="minorHAnsi" w:cs="Calibri"/>
        </w:rPr>
        <w:t>Ze względu na znaczną głębokość posadowienia istniejącej sieci kanalizacyjnej należy zastosować kaskady wewnętrzne.</w:t>
      </w: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Przy wykonywaniu studzienek kanalizacyjnych należy przestrzegać następujących zasad:</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lastRenderedPageBreak/>
        <w:t>studzienki należy wykonywać na uprzednio wzmocnionym (warstwą tłucznia lub żwiru) dnie wykopu i przygotowanym fundamencie betonowym,</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studzienki wykonywać należy zasadniczo w wykopie szerokoprzestrzennym. Natomiast w trudnych warunkach gruntowych (przy występowaniu wody gruntowej, kurzawki itp.) w wykopie wzmocnionym,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Montaż studzienek winien być zgodny z instrukcją producenta oraz dokumentacją projektową. Sposób wykonania studzienek przedstawiony jest w Katalogu Budownictwa oznaczonego symbolem KB-4.12.1 (7, 6, 8), a ponadto w „Katalogu powtarzalnych elementów drogowych” opracowanym przez „Transprojekt” Warszawa.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Przejścia rur kanalizacyjnych przez ściany komory należy wykonać w sposób szczelny (obudować i uszczelnić materiałem plastycznym lub zastosować fabryczne adaptery przejściowe do studzienek).</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Dno studzienki należy wykonać na mokro w formie płyty dennej z wyprofilowaną kinetą.</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Kineta w dolnej części (do wysokości równej połowie średnicy kanału) powinna mieć przekrój zgodny z przekrojem kanału, a powyżej przedłużony pionowymi ściankami do poziomu maksymalnego napełnienia kanału. Przy zmianie kierunku trasy kanału kineta powinna mieć kształt łuku stycznego do kierunku kanału, natomiast w przypadku zmiany średnicy kanału powinna ona stanowić przejście z jednego wymiaru w drugi.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Dno studzienki powinno mieć spadek co najmniej 3 ‰ w kierunku kinety.</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Studzienki powinny mieć właz typu ciężkiego wg PN-H-74051-02.</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Poziom włazu w powierzchni utwardzonej powinien być z nią równy, natomiast w trawnikach i zieleńcach górna krawędź włazu powinna znajdować się na wysokości min 8 cm ponad poziomem  terenu.</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 ścianie komory roboczej oraz komina włazowego należy zamontować mijankowo stopnie złazowe w dwóch rzędach, w odległościach pionowych 0,30 m i w odległości poziomej osi stopni 0,30 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Studzienki ściekowe, przeznaczone do odprowadzania wód opadowych z jezdni powinny być z wpustem ulicznym żeliwnym i osadnikiem.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Krata ściekowa wpustu powinna być usytuowana bezpośrednio przy krawężniku, przy czym wierzch kraty powinien być usytuowany 0,5 cm poniżej nawierzchni.</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Lokalizacja studzienek wynika z rozwiązania drogowego.</w:t>
      </w: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Studzienki zabezpiecza się przez posmarowanie z zewnątrz izolacją bitumiczną – w zależności od rodzaju gruntu (sposób izolacji w zależności od gruntu nawodnionego lub suchego).</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Dopuszcza się stosowanie innego środka izolacyjnego uzgodnionego z Inżynierem.</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 środowisku słabo agresywnym, niezależnie od czynnika agresji, studzienki należy zabezpieczyć przez zagruntowanie izolacją asfaltową oraz trzykrotne posmarowanie lepikiem asfaltowym stosowanym na gorąco wg PN-C-96177.</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 środowisku silnie agresywnym (z uwagi na dużą różnorodność i bardzo duży przedział natężenia czynnika agresji) sposób zabezpieczenia rur przed korozją Wykonawca uzgodni z Inżynierem.</w:t>
      </w:r>
    </w:p>
    <w:p w:rsidR="006947FD" w:rsidRPr="00A8518B" w:rsidRDefault="006947FD" w:rsidP="006947FD">
      <w:pPr>
        <w:pStyle w:val="StylIwony"/>
        <w:spacing w:before="0" w:after="0"/>
        <w:rPr>
          <w:rFonts w:asciiTheme="minorHAnsi" w:hAnsiTheme="minorHAnsi" w:cs="Calibri"/>
          <w:sz w:val="20"/>
          <w:szCs w:val="20"/>
        </w:rPr>
      </w:pPr>
    </w:p>
    <w:p w:rsidR="006947FD"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Zasypywanie rur w wykopie należy prowadzić warstwami grubości 20 cm. Materiał zasypkowy powinien być równomiernie układany i zagęszczany po obu stronach przewodu. Wskaźnik zagęszczenia powinien być zgodny z określonym w dokumentacji projektowej. Do zasypywania wykopu należy użyć materiał spełniający wymagania D-02.03.01 Nasypy</w:t>
      </w:r>
    </w:p>
    <w:p w:rsidR="00F435E3" w:rsidRDefault="00F435E3" w:rsidP="006947FD">
      <w:pPr>
        <w:pStyle w:val="StylIwony"/>
        <w:spacing w:before="0" w:after="0"/>
        <w:rPr>
          <w:rFonts w:asciiTheme="minorHAnsi" w:hAnsiTheme="minorHAnsi" w:cs="Calibri"/>
          <w:sz w:val="20"/>
          <w:szCs w:val="20"/>
        </w:rPr>
      </w:pPr>
    </w:p>
    <w:p w:rsidR="007467DC" w:rsidRDefault="007467DC" w:rsidP="007467DC">
      <w:pPr>
        <w:pStyle w:val="StylIwony"/>
        <w:spacing w:before="0" w:after="0"/>
        <w:rPr>
          <w:rFonts w:asciiTheme="minorHAnsi" w:hAnsiTheme="minorHAnsi"/>
          <w:b/>
          <w:sz w:val="20"/>
        </w:rPr>
      </w:pPr>
      <w:r w:rsidRPr="007467DC">
        <w:rPr>
          <w:rFonts w:asciiTheme="minorHAnsi" w:hAnsiTheme="minorHAnsi"/>
          <w:b/>
          <w:sz w:val="20"/>
        </w:rPr>
        <w:t>5.6. Zabezpieczenie istn. uzbrojenia.</w:t>
      </w:r>
    </w:p>
    <w:p w:rsidR="007467DC" w:rsidRPr="007467DC" w:rsidRDefault="007467DC" w:rsidP="007467DC">
      <w:pPr>
        <w:pStyle w:val="StylIwony"/>
        <w:spacing w:before="0" w:after="0"/>
        <w:rPr>
          <w:rFonts w:asciiTheme="minorHAnsi" w:hAnsiTheme="minorHAnsi"/>
          <w:b/>
          <w:sz w:val="20"/>
        </w:rPr>
      </w:pPr>
    </w:p>
    <w:p w:rsidR="007467DC" w:rsidRPr="007467DC" w:rsidRDefault="007467DC" w:rsidP="007467DC">
      <w:pPr>
        <w:rPr>
          <w:rFonts w:asciiTheme="minorHAnsi" w:hAnsiTheme="minorHAnsi"/>
          <w:b/>
          <w:i/>
          <w:iCs/>
        </w:rPr>
      </w:pPr>
      <w:r w:rsidRPr="007467DC">
        <w:rPr>
          <w:rFonts w:asciiTheme="minorHAnsi" w:hAnsiTheme="minorHAnsi"/>
          <w:b/>
          <w:i/>
          <w:iCs/>
        </w:rPr>
        <w:t>Naczelną zasadą jest zabezpieczenie istn. uzbrojenia zgodnie z wytycznymi wydanymi przez gestorów sieci oraz pod nadzorem przedstawiciela Gestora danego uzbrojenia.</w:t>
      </w:r>
    </w:p>
    <w:p w:rsidR="007467DC" w:rsidRPr="007467DC" w:rsidRDefault="007467DC" w:rsidP="007467DC">
      <w:pPr>
        <w:rPr>
          <w:rFonts w:asciiTheme="minorHAnsi" w:hAnsiTheme="minorHAnsi"/>
          <w:iCs/>
        </w:rPr>
      </w:pPr>
      <w:r w:rsidRPr="007467DC">
        <w:rPr>
          <w:rFonts w:asciiTheme="minorHAnsi" w:hAnsiTheme="minorHAnsi"/>
          <w:iCs/>
        </w:rPr>
        <w:t>O planowanych robotach w rejonie obcego uzbrojenia poinformować wszystkich gestorów sieci co najmniej 7 dni przed rozpoczęciem robót.</w:t>
      </w:r>
    </w:p>
    <w:p w:rsidR="007467DC" w:rsidRPr="007467DC" w:rsidRDefault="007467DC" w:rsidP="007467DC">
      <w:pPr>
        <w:rPr>
          <w:rFonts w:asciiTheme="minorHAnsi" w:hAnsiTheme="minorHAnsi"/>
          <w:iCs/>
        </w:rPr>
      </w:pPr>
      <w:r w:rsidRPr="007467DC">
        <w:rPr>
          <w:rFonts w:asciiTheme="minorHAnsi" w:hAnsiTheme="minorHAnsi"/>
          <w:iCs/>
        </w:rPr>
        <w:t>Ewentualne skrzyżowania z istniejącym uzbrojeniem należy wykonać zgodnie z normami PN-91/M-34501, PN-76/E-05125 i PN-76/E-05100.</w:t>
      </w:r>
    </w:p>
    <w:p w:rsidR="007467DC" w:rsidRPr="007467DC" w:rsidRDefault="007467DC" w:rsidP="007467DC">
      <w:pPr>
        <w:pStyle w:val="Tekstpodstawowy25"/>
        <w:ind w:left="0"/>
        <w:rPr>
          <w:rFonts w:asciiTheme="minorHAnsi" w:hAnsiTheme="minorHAnsi"/>
        </w:rPr>
      </w:pPr>
      <w:r w:rsidRPr="007467DC">
        <w:rPr>
          <w:rFonts w:asciiTheme="minorHAnsi" w:hAnsiTheme="minorHAnsi"/>
        </w:rPr>
        <w:t>Przed przystąpieniem do prac ziemnych należy wykonać ręczne odkrywki i określić rzeczywisty przebieg uzbrojenia podziemnego, pod nadzorem przedstawiciela właściciela lub dysponenta danego uzbrojenia.</w:t>
      </w:r>
    </w:p>
    <w:p w:rsidR="007467DC" w:rsidRPr="007467DC" w:rsidRDefault="007467DC" w:rsidP="007467DC">
      <w:pPr>
        <w:rPr>
          <w:rFonts w:asciiTheme="minorHAnsi" w:hAnsiTheme="minorHAnsi"/>
        </w:rPr>
      </w:pPr>
      <w:r w:rsidRPr="007467DC">
        <w:rPr>
          <w:rFonts w:asciiTheme="minorHAnsi" w:hAnsiTheme="minorHAnsi"/>
        </w:rPr>
        <w:t>Jeżeli zajdzie konieczność zatrudnienia przedstawiciela właściciela urządzenia obcego w okresie budowy lub na czas odbioru robót, koszty z tym związane poniesie Wykonawca.</w:t>
      </w:r>
    </w:p>
    <w:p w:rsidR="007467DC" w:rsidRPr="007467DC" w:rsidRDefault="007467DC" w:rsidP="007467DC">
      <w:pPr>
        <w:rPr>
          <w:rFonts w:asciiTheme="minorHAnsi" w:hAnsiTheme="minorHAnsi"/>
          <w:iCs/>
        </w:rPr>
      </w:pPr>
      <w:r w:rsidRPr="007467DC">
        <w:rPr>
          <w:rFonts w:asciiTheme="minorHAnsi" w:hAnsiTheme="minorHAnsi"/>
          <w:iCs/>
        </w:rPr>
        <w:lastRenderedPageBreak/>
        <w:t>W pobliżu istn. uzbrojenia podziemnego wykopy wykonywać ręcznie, zwracając uwagę na sygnały ostrzegawcze uzbrojenia podziemnego (taśmy ostrzegawcze, obsypka piaskowa itp.), pod nadzorem przedstawicieli właścicieli uzbrojenia podziemnego.</w:t>
      </w:r>
    </w:p>
    <w:p w:rsidR="007467DC" w:rsidRPr="007467DC" w:rsidRDefault="007467DC" w:rsidP="007467DC">
      <w:pPr>
        <w:rPr>
          <w:rFonts w:asciiTheme="minorHAnsi" w:hAnsiTheme="minorHAnsi"/>
          <w:iCs/>
        </w:rPr>
      </w:pPr>
      <w:r w:rsidRPr="007467DC">
        <w:rPr>
          <w:rFonts w:asciiTheme="minorHAnsi" w:hAnsiTheme="minorHAnsi"/>
          <w:iCs/>
        </w:rPr>
        <w:t>W czasie prowadzenia wykopów należy zabezpieczyć odkryte uzbrojenie zgodnie ze stosownymi normami, pod nadzorem gestorów sieci.</w:t>
      </w:r>
    </w:p>
    <w:p w:rsidR="007467DC" w:rsidRPr="007467DC" w:rsidRDefault="007467DC" w:rsidP="007467DC">
      <w:pPr>
        <w:rPr>
          <w:rFonts w:asciiTheme="minorHAnsi" w:hAnsiTheme="minorHAnsi"/>
          <w:iCs/>
        </w:rPr>
      </w:pPr>
      <w:r w:rsidRPr="007467DC">
        <w:rPr>
          <w:rFonts w:asciiTheme="minorHAnsi" w:hAnsiTheme="minorHAnsi"/>
          <w:iCs/>
        </w:rPr>
        <w:t>W przypadku odkopania nie ulokowanego na mapie uzbrojenia podziemnego, wstrzymać roboty, zgłosić kierownikowi robót i ustalić pochodzenie nieznanego uzbrojenia.</w:t>
      </w:r>
    </w:p>
    <w:p w:rsidR="007467DC" w:rsidRPr="007467DC" w:rsidRDefault="007467DC" w:rsidP="007467DC">
      <w:pPr>
        <w:pStyle w:val="Tekstpodstawowy25"/>
        <w:tabs>
          <w:tab w:val="left" w:pos="567"/>
        </w:tabs>
        <w:ind w:left="0"/>
        <w:rPr>
          <w:rFonts w:asciiTheme="minorHAnsi" w:hAnsiTheme="minorHAnsi"/>
        </w:rPr>
      </w:pPr>
      <w:r w:rsidRPr="007467DC">
        <w:rPr>
          <w:rFonts w:asciiTheme="minorHAnsi" w:hAnsiTheme="minorHAnsi"/>
        </w:rPr>
        <w:t>Wszelkie napotkane urządzenia energetyczne i gazowe należy traktować jako czynne i grożące porażeniem lub wybuchem.</w:t>
      </w:r>
    </w:p>
    <w:p w:rsidR="007467DC" w:rsidRPr="007467DC" w:rsidRDefault="007467DC" w:rsidP="007467DC">
      <w:pPr>
        <w:pStyle w:val="Tekstpodstawowy25"/>
        <w:ind w:left="0"/>
        <w:rPr>
          <w:rFonts w:asciiTheme="minorHAnsi" w:hAnsiTheme="minorHAnsi"/>
        </w:rPr>
      </w:pPr>
      <w:r w:rsidRPr="007467DC">
        <w:rPr>
          <w:rFonts w:asciiTheme="minorHAnsi" w:hAnsiTheme="minorHAnsi"/>
        </w:rPr>
        <w:t>Od słupów energetycznych i oświetleniowych należy zachować odległość min 1,5 m. W razie nie zachowania odległości konieczności zastosować stosowne podparcia i zabezpieczenia lub układa</w:t>
      </w:r>
      <w:r>
        <w:rPr>
          <w:rFonts w:asciiTheme="minorHAnsi" w:hAnsiTheme="minorHAnsi"/>
        </w:rPr>
        <w:t>ć</w:t>
      </w:r>
      <w:r w:rsidRPr="007467DC">
        <w:rPr>
          <w:rFonts w:asciiTheme="minorHAnsi" w:hAnsiTheme="minorHAnsi"/>
        </w:rPr>
        <w:t xml:space="preserve"> rurociągi metodą bez</w:t>
      </w:r>
      <w:r>
        <w:rPr>
          <w:rFonts w:asciiTheme="minorHAnsi" w:hAnsiTheme="minorHAnsi"/>
        </w:rPr>
        <w:t>w</w:t>
      </w:r>
      <w:r w:rsidRPr="007467DC">
        <w:rPr>
          <w:rFonts w:asciiTheme="minorHAnsi" w:hAnsiTheme="minorHAnsi"/>
        </w:rPr>
        <w:t>ykopową.</w:t>
      </w:r>
    </w:p>
    <w:p w:rsidR="007467DC" w:rsidRPr="007467DC" w:rsidRDefault="007467DC" w:rsidP="007467DC">
      <w:pPr>
        <w:pStyle w:val="Tekstpodstawowy25"/>
        <w:ind w:left="0"/>
        <w:rPr>
          <w:rFonts w:asciiTheme="minorHAnsi" w:hAnsiTheme="minorHAnsi"/>
        </w:rPr>
      </w:pPr>
      <w:r w:rsidRPr="007467DC">
        <w:rPr>
          <w:rFonts w:asciiTheme="minorHAnsi" w:hAnsiTheme="minorHAnsi"/>
        </w:rPr>
        <w:t>Pod i w pobliżu linii energetycznych i telekomunikacyjnych napowietrznych zabrania się używania sprzętu o wysokim zasięgu.</w:t>
      </w:r>
    </w:p>
    <w:p w:rsidR="007467DC" w:rsidRPr="007467DC" w:rsidRDefault="007467DC" w:rsidP="007467DC">
      <w:pPr>
        <w:rPr>
          <w:rFonts w:asciiTheme="minorHAnsi" w:hAnsiTheme="minorHAnsi"/>
        </w:rPr>
      </w:pPr>
      <w:r w:rsidRPr="007467DC">
        <w:rPr>
          <w:rFonts w:asciiTheme="minorHAnsi" w:hAnsiTheme="minorHAnsi"/>
        </w:rPr>
        <w:t>Ewentualne rury ochronne montowane na uzbrojeniu zakończyć pierścieniami uszczelniającymi. Mają one za zadanie zabezpieczenie wolnej przestrzeni między przewodem a rurą ochronną przed dostaniem się do jej wnętrza wody lub innych zanieczyszczeń oraz przed wydostaniem się na zewnątrz w niekontrolowany sposób wody pochodzącej z ewentualnej awarii przewodu.</w:t>
      </w:r>
    </w:p>
    <w:p w:rsidR="007467DC" w:rsidRPr="007467DC" w:rsidRDefault="007467DC" w:rsidP="007467DC">
      <w:pPr>
        <w:rPr>
          <w:rFonts w:asciiTheme="minorHAnsi" w:hAnsiTheme="minorHAnsi"/>
        </w:rPr>
      </w:pPr>
      <w:r w:rsidRPr="007467DC">
        <w:rPr>
          <w:rFonts w:asciiTheme="minorHAnsi" w:hAnsiTheme="minorHAnsi"/>
        </w:rPr>
        <w:t>W przypadku zbyt płytkiego ułożenia istn. uzbrojenia (rurociągi kanalizacji sanitarnej, sieć wodociągowa) w obrębie rozbudowywanej jezdni oraz w miejscach ruchu pojazdów, na istn. rurociągach zastosować rury ochronne stalowe lub płyty odciążające w postaci prefabrykowanych drogowych płyt żelbetowych o szerokości 1,20m.. Płyty układać na obustronnie zagęszczonej zasypce. Zasypka z kruszywa powinna w tym przypadku być zagęszczona do Js=0,98 (płyta nie powinna swoim ciężarem opierać się na chronionym rurociągu). Płyta powinna być ułożona minimum 10cm licząc od krawędzi ochranianego rurociągu do spodu płyty.</w:t>
      </w:r>
    </w:p>
    <w:p w:rsidR="007467DC" w:rsidRPr="007467DC" w:rsidRDefault="007467DC" w:rsidP="007467DC">
      <w:pPr>
        <w:rPr>
          <w:rFonts w:asciiTheme="minorHAnsi" w:hAnsiTheme="minorHAnsi"/>
        </w:rPr>
      </w:pPr>
      <w:r w:rsidRPr="007467DC">
        <w:rPr>
          <w:rFonts w:asciiTheme="minorHAnsi" w:hAnsiTheme="minorHAnsi"/>
        </w:rPr>
        <w:t xml:space="preserve">Za wypłacony rurociąg uznaje się przypadek, gdzie różnica między rzędną jezdni nad rurociągiem, a górną krawędzią rurociągu jest mniejsza, niż 1,0m. </w:t>
      </w:r>
    </w:p>
    <w:p w:rsidR="007467DC" w:rsidRPr="00A8518B" w:rsidRDefault="007467DC" w:rsidP="006947FD">
      <w:pPr>
        <w:pStyle w:val="StylIwony"/>
        <w:spacing w:before="0" w:after="0"/>
        <w:rPr>
          <w:rFonts w:asciiTheme="minorHAnsi" w:hAnsiTheme="minorHAnsi" w:cs="Calibri"/>
          <w:sz w:val="20"/>
          <w:szCs w:val="20"/>
        </w:rPr>
      </w:pP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476" w:name="_Toc358023984"/>
      <w:bookmarkStart w:id="477" w:name="_Toc358024399"/>
      <w:bookmarkStart w:id="478" w:name="_Toc358024814"/>
      <w:r w:rsidRPr="00A8518B">
        <w:rPr>
          <w:rFonts w:asciiTheme="minorHAnsi" w:hAnsiTheme="minorHAnsi" w:cs="Calibri"/>
          <w:sz w:val="20"/>
          <w:szCs w:val="20"/>
        </w:rPr>
        <w:t>6. KONTROLA JAKOŚCI ROBÓT</w:t>
      </w:r>
      <w:bookmarkEnd w:id="476"/>
      <w:bookmarkEnd w:id="477"/>
      <w:bookmarkEnd w:id="478"/>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79" w:name="_Toc358023985"/>
      <w:bookmarkStart w:id="480" w:name="_Toc358024400"/>
      <w:bookmarkStart w:id="481" w:name="_Toc358024815"/>
      <w:r w:rsidRPr="00A8518B">
        <w:rPr>
          <w:rFonts w:asciiTheme="minorHAnsi" w:hAnsiTheme="minorHAnsi" w:cs="Calibri"/>
        </w:rPr>
        <w:t>6.1. Ogólne zasady kontroli jakości robót</w:t>
      </w:r>
      <w:bookmarkEnd w:id="479"/>
      <w:bookmarkEnd w:id="480"/>
      <w:bookmarkEnd w:id="481"/>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Ogólne zasady kontroli jakości robót podano w </w:t>
      </w:r>
      <w:r w:rsidR="005B48CA" w:rsidRPr="000D4846">
        <w:rPr>
          <w:rFonts w:ascii="Calibri" w:hAnsi="Calibri" w:cs="Calibri"/>
          <w:sz w:val="20"/>
          <w:szCs w:val="20"/>
        </w:rPr>
        <w:t>STWiORB</w:t>
      </w:r>
      <w:r w:rsidR="00E348FF" w:rsidRPr="000D4846">
        <w:rPr>
          <w:rFonts w:asciiTheme="minorHAnsi" w:hAnsiTheme="minorHAnsi" w:cs="Calibri"/>
          <w:sz w:val="20"/>
          <w:szCs w:val="20"/>
        </w:rPr>
        <w:t xml:space="preserve"> </w:t>
      </w:r>
      <w:r w:rsidRPr="000D4846">
        <w:rPr>
          <w:rFonts w:asciiTheme="minorHAnsi" w:hAnsiTheme="minorHAnsi" w:cs="Calibri"/>
          <w:sz w:val="20"/>
          <w:szCs w:val="20"/>
        </w:rPr>
        <w:t>D-M-00.00.00</w:t>
      </w:r>
      <w:r w:rsidRPr="00A8518B">
        <w:rPr>
          <w:rFonts w:asciiTheme="minorHAnsi" w:hAnsiTheme="minorHAnsi" w:cs="Calibri"/>
          <w:sz w:val="20"/>
          <w:szCs w:val="20"/>
        </w:rPr>
        <w:t xml:space="preserve"> „Wymagania ogólne” pkt 6.</w:t>
      </w: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82" w:name="_Toc358023986"/>
      <w:bookmarkStart w:id="483" w:name="_Toc358024401"/>
      <w:bookmarkStart w:id="484" w:name="_Toc358024816"/>
      <w:r w:rsidRPr="00A8518B">
        <w:rPr>
          <w:rFonts w:asciiTheme="minorHAnsi" w:hAnsiTheme="minorHAnsi" w:cs="Calibri"/>
        </w:rPr>
        <w:t>6.2. Kontrola, pomiary i badania</w:t>
      </w:r>
      <w:bookmarkEnd w:id="482"/>
      <w:bookmarkEnd w:id="483"/>
      <w:bookmarkEnd w:id="484"/>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6.2.1.</w:t>
      </w:r>
      <w:r w:rsidRPr="00A8518B">
        <w:rPr>
          <w:rFonts w:asciiTheme="minorHAnsi" w:hAnsiTheme="minorHAnsi" w:cs="Calibri"/>
          <w:sz w:val="20"/>
          <w:szCs w:val="20"/>
        </w:rPr>
        <w:t xml:space="preserve"> Badania przed przystąpieniem do robót</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Przed przystąpieniem do robót Wykonawca powinien wykonać badania materiałów do betonu i zapraw i ustalić receptę.</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6.2.2.</w:t>
      </w:r>
      <w:r w:rsidRPr="00A8518B">
        <w:rPr>
          <w:rFonts w:asciiTheme="minorHAnsi" w:hAnsiTheme="minorHAnsi" w:cs="Calibri"/>
          <w:sz w:val="20"/>
          <w:szCs w:val="20"/>
        </w:rPr>
        <w:t xml:space="preserve"> Kontrola, pomiary i badania w czasie robót</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Wykonawca jest zobowiązany do stałej i systematycznej kontroli prowadzonych robót w zakresie i z częstotliwością określoną w niniejszej </w:t>
      </w:r>
      <w:r w:rsidR="005B48CA">
        <w:rPr>
          <w:rFonts w:ascii="Calibri" w:hAnsi="Calibri" w:cs="Calibri"/>
          <w:sz w:val="20"/>
        </w:rPr>
        <w:t>STWiORB</w:t>
      </w:r>
      <w:r w:rsidR="00E348FF" w:rsidRPr="00A8518B">
        <w:rPr>
          <w:rFonts w:asciiTheme="minorHAnsi" w:hAnsiTheme="minorHAnsi" w:cs="Calibri"/>
          <w:sz w:val="20"/>
          <w:szCs w:val="20"/>
        </w:rPr>
        <w:t xml:space="preserve"> </w:t>
      </w:r>
      <w:r w:rsidRPr="00A8518B">
        <w:rPr>
          <w:rFonts w:asciiTheme="minorHAnsi" w:hAnsiTheme="minorHAnsi" w:cs="Calibri"/>
          <w:sz w:val="20"/>
          <w:szCs w:val="20"/>
        </w:rPr>
        <w:t>i zaakceptowaną przez Inżyniera.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W szczególności kontrola powinna obejmować:</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badanie zabezpieczenia wykopów przed zalaniem wodą,</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badanie i pomiary szerokości, grubości i zagęszczenia wykonanej warstwy podłoża z kruszywa mineralnego lub betonu,</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badanie odchylenia osi kolektora,</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sprawdzenie zgodności z dokumentacją projektową założenia przewodów i studzienek,</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badanie odchylenia spadku kolektora deszczowego,</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sprawdzenie prawidłowości ułożenia przewodów,</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sprawdzenie prawidłowości uszczelniania przewodów,</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badanie wskaźników zagęszczenia poszczególnych warstw zasypu,</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sprawdzenie rzędnych posadowienia studzienek ściekowych (kratek) i pokryw włazowych,</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sprawdzenie zabezpieczenia przed korozją.</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b/>
          <w:bCs/>
          <w:sz w:val="20"/>
          <w:szCs w:val="20"/>
        </w:rPr>
        <w:t>6.2.3.</w:t>
      </w:r>
      <w:r w:rsidRPr="00A8518B">
        <w:rPr>
          <w:rFonts w:asciiTheme="minorHAnsi" w:hAnsiTheme="minorHAnsi" w:cs="Calibri"/>
          <w:sz w:val="20"/>
          <w:szCs w:val="20"/>
        </w:rPr>
        <w:t xml:space="preserve"> Dopuszczalne tolerancje i wymagania</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lastRenderedPageBreak/>
        <w:t>odchylenie odległości krawędzi wykopu w dnie od ustalonej w planie osi wykopu nie powinno wynosić więcej niż ± 5 cm,</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odchylenie wymiarów w planie nie powinno być większe niż 0,1 m,</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odchylenie grubości warstwy podłoża nie powinno przekraczać ± 3 cm,</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odchylenie szerokości warstwy podłoża nie powinno przekraczać ± 5 cm,</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odchylenie kolektora rurowego w planie, odchylenie odległości osi ułożonego kolektora od osi przewodu ustalonej na ławach celowniczych nie powinna przekraczać ± 5 mm,</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odchylenie spadku ułożonego kolektora od przewidzianego w projekcie nie powinno przekraczać -5% projektowanego spadku (przy zmniejszonym spadku) i +10% projektowanego spadku (przy zwiększonym spadku),</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wskaźnik zagęszczenia zasypki wykopów określony w trzech miejscach na długości 100 m powinien być zgodny z pkt 5.5.9,</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rzędne kratek ściekowych i pokryw studzienek powinny być wykonane z dokładnością do ± 5 mm.</w:t>
      </w: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485" w:name="_Toc358023987"/>
      <w:bookmarkStart w:id="486" w:name="_Toc358024402"/>
      <w:bookmarkStart w:id="487" w:name="_Toc358024817"/>
      <w:r w:rsidRPr="00A8518B">
        <w:rPr>
          <w:rFonts w:asciiTheme="minorHAnsi" w:hAnsiTheme="minorHAnsi" w:cs="Calibri"/>
          <w:sz w:val="20"/>
          <w:szCs w:val="20"/>
        </w:rPr>
        <w:t>7. OBMIAR ROBÓT</w:t>
      </w:r>
      <w:bookmarkEnd w:id="485"/>
      <w:bookmarkEnd w:id="486"/>
      <w:bookmarkEnd w:id="487"/>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0D4846" w:rsidRPr="00203191" w:rsidRDefault="000D4846" w:rsidP="000D4846">
      <w:pPr>
        <w:pStyle w:val="Nagwek3"/>
        <w:numPr>
          <w:ilvl w:val="2"/>
          <w:numId w:val="0"/>
        </w:numPr>
        <w:tabs>
          <w:tab w:val="num" w:pos="0"/>
        </w:tabs>
        <w:suppressAutoHyphens/>
        <w:autoSpaceDN/>
        <w:adjustRightInd/>
        <w:spacing w:before="0" w:after="0"/>
        <w:rPr>
          <w:rFonts w:asciiTheme="minorHAnsi" w:hAnsiTheme="minorHAnsi"/>
        </w:rPr>
      </w:pPr>
      <w:bookmarkStart w:id="488" w:name="_Toc358023988"/>
      <w:bookmarkStart w:id="489" w:name="_Toc358024403"/>
      <w:bookmarkStart w:id="490" w:name="_Toc358024818"/>
      <w:r w:rsidRPr="00203191">
        <w:rPr>
          <w:rFonts w:asciiTheme="minorHAnsi" w:hAnsiTheme="minorHAnsi"/>
        </w:rPr>
        <w:t>7.1. Ogólne zasady obmiaru robót</w:t>
      </w:r>
      <w:bookmarkEnd w:id="488"/>
      <w:bookmarkEnd w:id="489"/>
      <w:bookmarkEnd w:id="490"/>
    </w:p>
    <w:p w:rsidR="000D4846" w:rsidRPr="00203191" w:rsidRDefault="000D4846" w:rsidP="000D4846">
      <w:pPr>
        <w:pStyle w:val="StylIwony"/>
        <w:spacing w:before="0" w:after="0"/>
        <w:rPr>
          <w:rFonts w:asciiTheme="minorHAnsi" w:hAnsiTheme="minorHAnsi"/>
          <w:sz w:val="20"/>
        </w:rPr>
      </w:pPr>
      <w:r w:rsidRPr="00203191">
        <w:rPr>
          <w:rFonts w:asciiTheme="minorHAnsi" w:hAnsiTheme="minorHAnsi"/>
          <w:sz w:val="20"/>
        </w:rPr>
        <w:t>Ogólne zasady obmiaru robót podano w SSTWiORB D-M-00.00.00 „Wymagania ogólne” pkt 7.</w:t>
      </w:r>
    </w:p>
    <w:p w:rsidR="000D4846" w:rsidRPr="00203191" w:rsidRDefault="000D4846" w:rsidP="000D4846">
      <w:pPr>
        <w:pStyle w:val="Nagwek3"/>
        <w:numPr>
          <w:ilvl w:val="2"/>
          <w:numId w:val="0"/>
        </w:numPr>
        <w:tabs>
          <w:tab w:val="num" w:pos="0"/>
        </w:tabs>
        <w:suppressAutoHyphens/>
        <w:autoSpaceDN/>
        <w:adjustRightInd/>
        <w:spacing w:before="0" w:after="0"/>
        <w:rPr>
          <w:rFonts w:asciiTheme="minorHAnsi" w:hAnsiTheme="minorHAnsi"/>
        </w:rPr>
      </w:pPr>
    </w:p>
    <w:p w:rsidR="000D4846" w:rsidRPr="00203191" w:rsidRDefault="000D4846" w:rsidP="000D4846">
      <w:pPr>
        <w:pStyle w:val="Nagwek3"/>
        <w:numPr>
          <w:ilvl w:val="2"/>
          <w:numId w:val="0"/>
        </w:numPr>
        <w:tabs>
          <w:tab w:val="num" w:pos="0"/>
        </w:tabs>
        <w:suppressAutoHyphens/>
        <w:autoSpaceDN/>
        <w:adjustRightInd/>
        <w:spacing w:before="0" w:after="0"/>
        <w:rPr>
          <w:rFonts w:asciiTheme="minorHAnsi" w:hAnsiTheme="minorHAnsi"/>
        </w:rPr>
      </w:pPr>
      <w:bookmarkStart w:id="491" w:name="_Toc358023989"/>
      <w:bookmarkStart w:id="492" w:name="_Toc358024404"/>
      <w:bookmarkStart w:id="493" w:name="_Toc358024819"/>
      <w:r w:rsidRPr="00203191">
        <w:rPr>
          <w:rFonts w:asciiTheme="minorHAnsi" w:hAnsiTheme="minorHAnsi"/>
        </w:rPr>
        <w:t>7.2. Jednostka obmiarowa</w:t>
      </w:r>
      <w:bookmarkEnd w:id="491"/>
      <w:bookmarkEnd w:id="492"/>
      <w:bookmarkEnd w:id="493"/>
    </w:p>
    <w:p w:rsidR="000D4846" w:rsidRDefault="000D4846" w:rsidP="000D4846">
      <w:pPr>
        <w:pStyle w:val="StylIwony"/>
        <w:spacing w:before="0" w:after="0"/>
        <w:rPr>
          <w:rFonts w:asciiTheme="minorHAnsi" w:hAnsiTheme="minorHAnsi"/>
          <w:sz w:val="20"/>
        </w:rPr>
      </w:pPr>
      <w:r w:rsidRPr="00203191">
        <w:rPr>
          <w:rFonts w:asciiTheme="minorHAnsi" w:hAnsiTheme="minorHAnsi"/>
          <w:sz w:val="20"/>
        </w:rPr>
        <w:t>Jednostką obmiarową jest</w:t>
      </w:r>
    </w:p>
    <w:p w:rsidR="000D4846" w:rsidRDefault="000D4846" w:rsidP="000D4846">
      <w:pPr>
        <w:pStyle w:val="StylIwony"/>
        <w:numPr>
          <w:ilvl w:val="0"/>
          <w:numId w:val="1"/>
        </w:numPr>
        <w:spacing w:before="0" w:after="0"/>
        <w:rPr>
          <w:rFonts w:asciiTheme="minorHAnsi" w:hAnsiTheme="minorHAnsi"/>
          <w:sz w:val="20"/>
        </w:rPr>
      </w:pPr>
      <w:r w:rsidRPr="00203191">
        <w:rPr>
          <w:rFonts w:asciiTheme="minorHAnsi" w:hAnsiTheme="minorHAnsi"/>
          <w:sz w:val="20"/>
        </w:rPr>
        <w:t>m (metr) wy</w:t>
      </w:r>
      <w:r>
        <w:rPr>
          <w:rFonts w:asciiTheme="minorHAnsi" w:hAnsiTheme="minorHAnsi"/>
          <w:sz w:val="20"/>
        </w:rPr>
        <w:t>konanej i odebranej kanalizacji</w:t>
      </w:r>
    </w:p>
    <w:p w:rsidR="000D4846" w:rsidRPr="00203191" w:rsidRDefault="000D4846" w:rsidP="000D4846">
      <w:pPr>
        <w:pStyle w:val="StylIwony"/>
        <w:numPr>
          <w:ilvl w:val="0"/>
          <w:numId w:val="1"/>
        </w:numPr>
        <w:spacing w:before="0" w:after="0"/>
        <w:rPr>
          <w:rFonts w:asciiTheme="minorHAnsi" w:hAnsiTheme="minorHAnsi"/>
          <w:sz w:val="20"/>
        </w:rPr>
      </w:pPr>
      <w:r>
        <w:rPr>
          <w:rFonts w:asciiTheme="minorHAnsi" w:hAnsiTheme="minorHAnsi"/>
          <w:sz w:val="20"/>
        </w:rPr>
        <w:t>szt (sztuka) wykonanych i odebranych studni i wpustów</w:t>
      </w: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494" w:name="_Toc358023990"/>
      <w:bookmarkStart w:id="495" w:name="_Toc358024405"/>
      <w:bookmarkStart w:id="496" w:name="_Toc358024820"/>
      <w:r w:rsidRPr="00A8518B">
        <w:rPr>
          <w:rFonts w:asciiTheme="minorHAnsi" w:hAnsiTheme="minorHAnsi" w:cs="Calibri"/>
          <w:sz w:val="20"/>
          <w:szCs w:val="20"/>
        </w:rPr>
        <w:t>8. ODBIÓR ROBÓT</w:t>
      </w:r>
      <w:bookmarkEnd w:id="494"/>
      <w:bookmarkEnd w:id="495"/>
      <w:bookmarkEnd w:id="496"/>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497" w:name="_Toc358023991"/>
      <w:bookmarkStart w:id="498" w:name="_Toc358024406"/>
      <w:bookmarkStart w:id="499" w:name="_Toc358024821"/>
      <w:r w:rsidRPr="00A8518B">
        <w:rPr>
          <w:rFonts w:asciiTheme="minorHAnsi" w:hAnsiTheme="minorHAnsi" w:cs="Calibri"/>
        </w:rPr>
        <w:t>8.1. Ogólne zasady odbioru robót</w:t>
      </w:r>
      <w:bookmarkEnd w:id="497"/>
      <w:bookmarkEnd w:id="498"/>
      <w:bookmarkEnd w:id="499"/>
    </w:p>
    <w:p w:rsidR="006947FD"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 xml:space="preserve">Ogólne zasady odbioru robót podano w </w:t>
      </w:r>
      <w:r w:rsidR="005B48CA">
        <w:rPr>
          <w:rFonts w:ascii="Calibri" w:hAnsi="Calibri" w:cs="Calibri"/>
          <w:sz w:val="20"/>
        </w:rPr>
        <w:t>STWiORB</w:t>
      </w:r>
      <w:r w:rsidR="00E348FF" w:rsidRPr="00A8518B">
        <w:rPr>
          <w:rFonts w:asciiTheme="minorHAnsi" w:hAnsiTheme="minorHAnsi" w:cs="Calibri"/>
          <w:sz w:val="20"/>
          <w:szCs w:val="20"/>
        </w:rPr>
        <w:t xml:space="preserve"> </w:t>
      </w:r>
      <w:r w:rsidRPr="00A8518B">
        <w:rPr>
          <w:rFonts w:asciiTheme="minorHAnsi" w:hAnsiTheme="minorHAnsi" w:cs="Calibri"/>
          <w:sz w:val="20"/>
          <w:szCs w:val="20"/>
        </w:rPr>
        <w:t>D-M-00.00.00 „Wymagania ogólne” pkt 8.</w:t>
      </w:r>
    </w:p>
    <w:p w:rsidR="006947FD" w:rsidRDefault="006947FD" w:rsidP="006947FD">
      <w:pPr>
        <w:pStyle w:val="StylIwony"/>
        <w:spacing w:before="0" w:after="0"/>
        <w:rPr>
          <w:rFonts w:asciiTheme="minorHAnsi" w:hAnsiTheme="minorHAnsi" w:cs="Calibri"/>
          <w:sz w:val="20"/>
          <w:szCs w:val="20"/>
        </w:rPr>
      </w:pPr>
      <w:r>
        <w:rPr>
          <w:rFonts w:asciiTheme="minorHAnsi" w:hAnsiTheme="minorHAnsi" w:cs="Calibri"/>
          <w:sz w:val="20"/>
          <w:szCs w:val="20"/>
        </w:rPr>
        <w:t>Przed zgłoszeniem do odbioru wykonawca winien wykonać inspekcję telewizyjna wykonane sieci. Sprawozdanie z badania wraz z kopia nagrania inspekcji należy załączyć do dokumentacji odbiorowej.</w:t>
      </w:r>
    </w:p>
    <w:p w:rsidR="006947FD" w:rsidRDefault="006947FD" w:rsidP="006947FD">
      <w:pPr>
        <w:pStyle w:val="StylIwony"/>
        <w:spacing w:before="0" w:after="0"/>
        <w:rPr>
          <w:rFonts w:asciiTheme="minorHAnsi" w:hAnsiTheme="minorHAnsi" w:cs="Calibri"/>
          <w:sz w:val="20"/>
          <w:szCs w:val="20"/>
        </w:rPr>
      </w:pPr>
      <w:r>
        <w:rPr>
          <w:rFonts w:asciiTheme="minorHAnsi" w:hAnsiTheme="minorHAnsi" w:cs="Calibri"/>
          <w:sz w:val="20"/>
          <w:szCs w:val="20"/>
        </w:rPr>
        <w:t>Przed odbiorem przyłączy do działek (zakończonych ślepo przy granicy działek) należy wykonać geodezyjną inwentaryzacje zaślepionych przyłączy. Inwentaryzacja powinna zawierać współrzędne X, Y w układzie „65” oraz rzędną wysokościową. Inwentaryzację należy załączyć w formie graficznej i tabelarycznej do dokumentacji odbiorowej</w:t>
      </w:r>
    </w:p>
    <w:p w:rsidR="006947FD" w:rsidRPr="00A8518B" w:rsidRDefault="006947FD" w:rsidP="006947FD">
      <w:pPr>
        <w:pStyle w:val="StylIwony"/>
        <w:spacing w:before="0" w:after="0"/>
        <w:rPr>
          <w:rFonts w:asciiTheme="minorHAnsi" w:hAnsiTheme="minorHAnsi" w:cs="Calibri"/>
          <w:sz w:val="20"/>
          <w:szCs w:val="20"/>
        </w:rPr>
      </w:pPr>
      <w:r>
        <w:rPr>
          <w:rFonts w:asciiTheme="minorHAnsi" w:hAnsiTheme="minorHAnsi" w:cs="Calibri"/>
          <w:sz w:val="20"/>
          <w:szCs w:val="20"/>
        </w:rPr>
        <w:t xml:space="preserve"> </w:t>
      </w:r>
      <w:r w:rsidRPr="00A8518B">
        <w:rPr>
          <w:rFonts w:asciiTheme="minorHAnsi" w:hAnsiTheme="minorHAnsi" w:cs="Calibri"/>
          <w:sz w:val="20"/>
          <w:szCs w:val="20"/>
        </w:rPr>
        <w:t xml:space="preserve">Roboty uznaje się za wykonane zgodnie z dokumentacją projektową, </w:t>
      </w:r>
      <w:r w:rsidR="005B48CA">
        <w:rPr>
          <w:rFonts w:ascii="Calibri" w:hAnsi="Calibri" w:cs="Calibri"/>
          <w:sz w:val="20"/>
        </w:rPr>
        <w:t>STWiORB</w:t>
      </w:r>
      <w:r w:rsidR="00E348FF" w:rsidRPr="000B2087">
        <w:rPr>
          <w:rFonts w:asciiTheme="minorHAnsi" w:hAnsiTheme="minorHAnsi" w:cs="Calibri"/>
          <w:sz w:val="16"/>
          <w:szCs w:val="20"/>
        </w:rPr>
        <w:t xml:space="preserve"> </w:t>
      </w:r>
      <w:r w:rsidRPr="00A8518B">
        <w:rPr>
          <w:rFonts w:asciiTheme="minorHAnsi" w:hAnsiTheme="minorHAnsi" w:cs="Calibri"/>
          <w:sz w:val="20"/>
          <w:szCs w:val="20"/>
        </w:rPr>
        <w:t>i wymaganiami Inżyniera, jeżeli wszystkie pomiary i badania z zachowaniem tolerancji wg pkt 6 dały wyniki pozytywne.</w:t>
      </w:r>
    </w:p>
    <w:p w:rsidR="006947FD" w:rsidRPr="00A8518B" w:rsidRDefault="006947FD" w:rsidP="006947FD">
      <w:pPr>
        <w:pStyle w:val="StylIwony"/>
        <w:spacing w:before="0" w:after="0"/>
        <w:rPr>
          <w:rFonts w:asciiTheme="minorHAnsi" w:hAnsiTheme="minorHAnsi" w:cs="Calibri"/>
          <w:sz w:val="20"/>
          <w:szCs w:val="20"/>
        </w:rPr>
      </w:pPr>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500" w:name="_Toc358023992"/>
      <w:bookmarkStart w:id="501" w:name="_Toc358024407"/>
      <w:bookmarkStart w:id="502" w:name="_Toc358024822"/>
      <w:r w:rsidRPr="00A8518B">
        <w:rPr>
          <w:rFonts w:asciiTheme="minorHAnsi" w:hAnsiTheme="minorHAnsi" w:cs="Calibri"/>
        </w:rPr>
        <w:t>8.2. Odbiór robót zanikających i ulegających zakryciu</w:t>
      </w:r>
      <w:bookmarkEnd w:id="500"/>
      <w:bookmarkEnd w:id="501"/>
      <w:bookmarkEnd w:id="502"/>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Odbiorowi robót zanikających i ulegających zakryciu podlegają:</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roboty montażowe wykonania rur kanałowych i przykanalika,</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wykonane studzienki ściekowe i kanalizacyjne,</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wykonana izolacja,</w:t>
      </w:r>
    </w:p>
    <w:p w:rsidR="006947FD" w:rsidRPr="00A8518B" w:rsidRDefault="006947FD" w:rsidP="006947FD">
      <w:pPr>
        <w:pStyle w:val="StylIwony"/>
        <w:numPr>
          <w:ilvl w:val="0"/>
          <w:numId w:val="19"/>
        </w:numPr>
        <w:tabs>
          <w:tab w:val="left" w:pos="283"/>
        </w:tabs>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zasypany  zagęszczony wykop.</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Odbiór robót zanikających powinien być dokonany w czasie umożliwiającym wykonanie korekt i poprawek, bez hamowania ogólnego postępu robót.</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Długość odcinka robót ziemnych poddana odbiorowi nie powinna być mniejsza od 50 m.</w:t>
      </w:r>
    </w:p>
    <w:p w:rsidR="007467DC" w:rsidRDefault="007467DC"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503" w:name="_Toc358023993"/>
      <w:bookmarkStart w:id="504" w:name="_Toc358024408"/>
      <w:bookmarkStart w:id="505" w:name="_Toc358024823"/>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r w:rsidRPr="00A8518B">
        <w:rPr>
          <w:rFonts w:asciiTheme="minorHAnsi" w:hAnsiTheme="minorHAnsi" w:cs="Calibri"/>
          <w:sz w:val="20"/>
          <w:szCs w:val="20"/>
        </w:rPr>
        <w:t>9. PODSTAWA PŁATNOŚCI</w:t>
      </w:r>
      <w:bookmarkEnd w:id="503"/>
      <w:bookmarkEnd w:id="504"/>
      <w:bookmarkEnd w:id="505"/>
    </w:p>
    <w:p w:rsidR="000D4846" w:rsidRPr="00203191" w:rsidRDefault="000D4846" w:rsidP="000D4846">
      <w:pPr>
        <w:pStyle w:val="Nagwek3"/>
        <w:numPr>
          <w:ilvl w:val="2"/>
          <w:numId w:val="0"/>
        </w:numPr>
        <w:tabs>
          <w:tab w:val="num" w:pos="0"/>
        </w:tabs>
        <w:suppressAutoHyphens/>
        <w:autoSpaceDN/>
        <w:adjustRightInd/>
        <w:spacing w:before="0" w:after="0"/>
        <w:rPr>
          <w:rFonts w:asciiTheme="minorHAnsi" w:hAnsiTheme="minorHAnsi"/>
        </w:rPr>
      </w:pPr>
      <w:bookmarkStart w:id="506" w:name="_Toc358023994"/>
      <w:bookmarkStart w:id="507" w:name="_Toc358024409"/>
      <w:bookmarkStart w:id="508" w:name="_Toc358024824"/>
      <w:r w:rsidRPr="00203191">
        <w:rPr>
          <w:rFonts w:asciiTheme="minorHAnsi" w:hAnsiTheme="minorHAnsi"/>
        </w:rPr>
        <w:t>9.1. Ogólne ustalenia dotyczące podstawy płatności</w:t>
      </w:r>
      <w:bookmarkEnd w:id="506"/>
      <w:bookmarkEnd w:id="507"/>
      <w:bookmarkEnd w:id="508"/>
    </w:p>
    <w:p w:rsidR="000D4846" w:rsidRPr="00203191" w:rsidRDefault="000D4846" w:rsidP="000D4846">
      <w:pPr>
        <w:pStyle w:val="StylIwony"/>
        <w:spacing w:before="0" w:after="0"/>
        <w:rPr>
          <w:rFonts w:asciiTheme="minorHAnsi" w:hAnsiTheme="minorHAnsi"/>
          <w:sz w:val="20"/>
        </w:rPr>
      </w:pPr>
      <w:r w:rsidRPr="00203191">
        <w:rPr>
          <w:rFonts w:asciiTheme="minorHAnsi" w:hAnsiTheme="minorHAnsi"/>
          <w:sz w:val="20"/>
        </w:rPr>
        <w:t>Ogólne ustalenia dotyczące podstawy płatności podano w SSTWiORB D-M-00.00.00 „Wymagania ogólne” pkt 9.</w:t>
      </w:r>
    </w:p>
    <w:p w:rsidR="000D4846" w:rsidRPr="00203191" w:rsidRDefault="000D4846" w:rsidP="000D4846">
      <w:pPr>
        <w:pStyle w:val="Nagwek3"/>
        <w:numPr>
          <w:ilvl w:val="2"/>
          <w:numId w:val="0"/>
        </w:numPr>
        <w:tabs>
          <w:tab w:val="num" w:pos="0"/>
        </w:tabs>
        <w:suppressAutoHyphens/>
        <w:autoSpaceDN/>
        <w:adjustRightInd/>
        <w:spacing w:before="0" w:after="0"/>
        <w:rPr>
          <w:rFonts w:asciiTheme="minorHAnsi" w:hAnsiTheme="minorHAnsi"/>
        </w:rPr>
      </w:pPr>
    </w:p>
    <w:p w:rsidR="000D4846" w:rsidRPr="00203191" w:rsidRDefault="000D4846" w:rsidP="000D4846">
      <w:pPr>
        <w:pStyle w:val="Nagwek3"/>
        <w:numPr>
          <w:ilvl w:val="2"/>
          <w:numId w:val="0"/>
        </w:numPr>
        <w:tabs>
          <w:tab w:val="num" w:pos="0"/>
        </w:tabs>
        <w:suppressAutoHyphens/>
        <w:autoSpaceDN/>
        <w:adjustRightInd/>
        <w:spacing w:before="0" w:after="0"/>
        <w:rPr>
          <w:rFonts w:asciiTheme="minorHAnsi" w:hAnsiTheme="minorHAnsi"/>
        </w:rPr>
      </w:pPr>
      <w:bookmarkStart w:id="509" w:name="_Toc358023995"/>
      <w:bookmarkStart w:id="510" w:name="_Toc358024410"/>
      <w:bookmarkStart w:id="511" w:name="_Toc358024825"/>
      <w:r w:rsidRPr="00203191">
        <w:rPr>
          <w:rFonts w:asciiTheme="minorHAnsi" w:hAnsiTheme="minorHAnsi"/>
        </w:rPr>
        <w:t>9.2. Cena jednostki obmiarowej</w:t>
      </w:r>
      <w:bookmarkEnd w:id="509"/>
      <w:bookmarkEnd w:id="510"/>
      <w:bookmarkEnd w:id="511"/>
    </w:p>
    <w:p w:rsidR="000D4846" w:rsidRPr="00203191" w:rsidRDefault="000D4846" w:rsidP="000D4846">
      <w:pPr>
        <w:pStyle w:val="StylIwony"/>
        <w:spacing w:before="0" w:after="0"/>
        <w:rPr>
          <w:rFonts w:asciiTheme="minorHAnsi" w:hAnsiTheme="minorHAnsi"/>
          <w:sz w:val="20"/>
        </w:rPr>
      </w:pPr>
      <w:r w:rsidRPr="00203191">
        <w:rPr>
          <w:rFonts w:asciiTheme="minorHAnsi" w:hAnsiTheme="minorHAnsi"/>
          <w:sz w:val="20"/>
        </w:rPr>
        <w:t>Cena 1 m wykonanej i odebranej kanalizacji obejmuje:</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lastRenderedPageBreak/>
        <w:t>oznakowanie robót,</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dostawę materiałów,</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wykonanie robót przygotowawczych,</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wykonanie wykopu w gruncie kat. I-IV wraz z umocnieniem ścian wykopu i jego odwodnienie,</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przygotowanie podłoża i fundamentu,</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wykonanie sączków,</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wykonanie wylotu kolektora,</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ułożenie przewodów kanalizacyjnych, przykanalików, studni, studzienek ściekowych,</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wykonanie izolacji rur i studzienek,</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zasypanie i zagęszczenie wykopu,</w:t>
      </w:r>
    </w:p>
    <w:p w:rsidR="000D4846" w:rsidRPr="00203191" w:rsidRDefault="000D4846" w:rsidP="000D4846">
      <w:pPr>
        <w:pStyle w:val="StylIwony"/>
        <w:numPr>
          <w:ilvl w:val="0"/>
          <w:numId w:val="19"/>
        </w:numPr>
        <w:tabs>
          <w:tab w:val="left" w:pos="283"/>
        </w:tabs>
        <w:suppressAutoHyphens/>
        <w:autoSpaceDN/>
        <w:adjustRightInd/>
        <w:spacing w:before="0" w:after="0"/>
        <w:rPr>
          <w:rFonts w:asciiTheme="minorHAnsi" w:hAnsiTheme="minorHAnsi"/>
          <w:sz w:val="20"/>
        </w:rPr>
      </w:pPr>
      <w:r w:rsidRPr="00203191">
        <w:rPr>
          <w:rFonts w:asciiTheme="minorHAnsi" w:hAnsiTheme="minorHAnsi"/>
          <w:sz w:val="20"/>
        </w:rPr>
        <w:t>przeprowadzenie pomiarów i badań wymaganych w specyfikacji technicznej.</w:t>
      </w:r>
    </w:p>
    <w:p w:rsidR="007467DC" w:rsidRDefault="007467DC" w:rsidP="007467DC">
      <w:pPr>
        <w:pStyle w:val="StylIwony"/>
        <w:suppressAutoHyphens/>
        <w:autoSpaceDN/>
        <w:adjustRightInd/>
        <w:spacing w:before="0" w:after="0"/>
        <w:rPr>
          <w:rFonts w:asciiTheme="minorHAnsi" w:hAnsiTheme="minorHAnsi" w:cs="Calibri"/>
          <w:sz w:val="20"/>
          <w:szCs w:val="20"/>
        </w:rPr>
      </w:pPr>
    </w:p>
    <w:p w:rsidR="006947FD" w:rsidRPr="00A8518B" w:rsidRDefault="006947FD" w:rsidP="007467DC">
      <w:pPr>
        <w:pStyle w:val="StylIwony"/>
        <w:suppressAutoHyphens/>
        <w:autoSpaceDN/>
        <w:adjustRightInd/>
        <w:spacing w:before="0" w:after="0"/>
        <w:rPr>
          <w:rFonts w:asciiTheme="minorHAnsi" w:hAnsiTheme="minorHAnsi" w:cs="Calibri"/>
          <w:sz w:val="20"/>
          <w:szCs w:val="20"/>
        </w:rPr>
      </w:pPr>
      <w:r w:rsidRPr="00A8518B">
        <w:rPr>
          <w:rFonts w:asciiTheme="minorHAnsi" w:hAnsiTheme="minorHAnsi" w:cs="Calibri"/>
          <w:sz w:val="20"/>
          <w:szCs w:val="20"/>
        </w:rPr>
        <w:t>.</w:t>
      </w:r>
    </w:p>
    <w:p w:rsidR="006947FD" w:rsidRPr="00A8518B" w:rsidRDefault="006947FD" w:rsidP="006947FD">
      <w:pPr>
        <w:pStyle w:val="Nagwek2"/>
        <w:pageBreakBefore w:val="0"/>
        <w:numPr>
          <w:ilvl w:val="1"/>
          <w:numId w:val="0"/>
        </w:numPr>
        <w:tabs>
          <w:tab w:val="num" w:pos="0"/>
        </w:tabs>
        <w:suppressAutoHyphens/>
        <w:autoSpaceDN/>
        <w:adjustRightInd/>
        <w:spacing w:before="0" w:after="0"/>
        <w:jc w:val="both"/>
        <w:rPr>
          <w:rFonts w:asciiTheme="minorHAnsi" w:hAnsiTheme="minorHAnsi" w:cs="Calibri"/>
          <w:sz w:val="20"/>
          <w:szCs w:val="20"/>
        </w:rPr>
      </w:pPr>
      <w:bookmarkStart w:id="512" w:name="_Toc358023996"/>
      <w:bookmarkStart w:id="513" w:name="_Toc358024411"/>
      <w:bookmarkStart w:id="514" w:name="_Toc358024826"/>
      <w:r w:rsidRPr="00A8518B">
        <w:rPr>
          <w:rFonts w:asciiTheme="minorHAnsi" w:hAnsiTheme="minorHAnsi" w:cs="Calibri"/>
          <w:sz w:val="20"/>
          <w:szCs w:val="20"/>
        </w:rPr>
        <w:t>10. PRZEPISY ZWIĄZANE</w:t>
      </w:r>
      <w:bookmarkEnd w:id="512"/>
      <w:bookmarkEnd w:id="513"/>
      <w:bookmarkEnd w:id="514"/>
    </w:p>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515" w:name="_Toc358023997"/>
      <w:bookmarkStart w:id="516" w:name="_Toc358024412"/>
      <w:bookmarkStart w:id="517" w:name="_Toc358024827"/>
      <w:r w:rsidRPr="00A8518B">
        <w:rPr>
          <w:rFonts w:asciiTheme="minorHAnsi" w:hAnsiTheme="minorHAnsi" w:cs="Calibri"/>
        </w:rPr>
        <w:t>10.1. Normy</w:t>
      </w:r>
      <w:bookmarkEnd w:id="515"/>
      <w:bookmarkEnd w:id="516"/>
      <w:bookmarkEnd w:id="517"/>
    </w:p>
    <w:tbl>
      <w:tblPr>
        <w:tblW w:w="0" w:type="auto"/>
        <w:tblInd w:w="2" w:type="dxa"/>
        <w:tblLayout w:type="fixed"/>
        <w:tblCellMar>
          <w:left w:w="70" w:type="dxa"/>
          <w:right w:w="70" w:type="dxa"/>
        </w:tblCellMar>
        <w:tblLook w:val="0000"/>
      </w:tblPr>
      <w:tblGrid>
        <w:gridCol w:w="2480"/>
        <w:gridCol w:w="7371"/>
      </w:tblGrid>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1.     PN-B-06712</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Kruszywa mineralne do betonu</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2.     PN-B-06751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Wyroby kanalizacyjne kamionkowe. Rury i kształtki. Wymagania i badania</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3.     PN-B-11111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Kruszywa mineralne. Kruszywa naturalne do nawierzchni drogowych. Żwir i mieszanka</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4.     PN-B-11112</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Kruszywa mineralne. Kruszywa łamane do nawierzchni drogowych</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5.     PN-B-12037</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Cegła pełna wypalana z gliny - kanalizacyjna</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6.     PN-B-12751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Kamionkowe rury i kształtki kanalizacyjne. Kształty i wymiary</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7.     PN-B-14501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Zaprawy budowlane zwykłe</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8.     PN-C-96177</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Lepik asfaltowy bez wypełniaczy stosowany na gorąco</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  9.     PN-H-74051-00</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Włazy kanałowe. Ogólne wymagania i badania</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10.     PN-H-74051-01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Włazy kanałowe. Klasa A (włazy typu lekkiego)</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11.    PN-H-74051-02</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Włazy kanałowe. Klasy B, C, D (włazy typu ciężkiego)</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12.    PN-H-74080-01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Skrzynki żeliwne wpustów deszczowych. Wymagania i badania</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13.    PN-H-74080-04</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Skrzynki żeliwne wpustów deszczowych. Klasa C</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14.    PN-H-74086</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Stopnie żeliwne do studzienek kontrolnych</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15.    PN-H-74101</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Żeliwne rury ciśnieniowe do połączeń sztywnych</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16.    BN-88/6731-08</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Cement. Transport i przechowywanie</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 xml:space="preserve">17.    BN-62/6738-03,04, 07        </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Beton hydrotechniczny</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18.    PN-EN 1401-1:2009</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Systemy przewodów rurowych z tworzyw sztucznych do bezciśnieniowej i podziemnej kanalizacji deszczowej i sanitarnej – Nieplastyfikowany polichlorek winylu (PVC-U)</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19.    BN-86/8971-06.02</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Rury bezciśnieniowe. Rury betonowe i żelbetowe</w:t>
            </w:r>
          </w:p>
        </w:tc>
      </w:tr>
      <w:tr w:rsidR="006947FD" w:rsidRPr="00A8518B" w:rsidTr="006947FD">
        <w:tc>
          <w:tcPr>
            <w:tcW w:w="2480"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20.    BN-86/8971-08</w:t>
            </w:r>
          </w:p>
        </w:tc>
        <w:tc>
          <w:tcPr>
            <w:tcW w:w="7371"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Prefabrykaty budowlane z betonu. Kręgi betonowe i żelbetowe.</w:t>
            </w:r>
          </w:p>
        </w:tc>
      </w:tr>
    </w:tbl>
    <w:p w:rsidR="006947FD" w:rsidRPr="00A8518B" w:rsidRDefault="006947FD" w:rsidP="006947FD">
      <w:pPr>
        <w:pStyle w:val="Nagwek3"/>
        <w:numPr>
          <w:ilvl w:val="2"/>
          <w:numId w:val="0"/>
        </w:numPr>
        <w:tabs>
          <w:tab w:val="num" w:pos="0"/>
        </w:tabs>
        <w:suppressAutoHyphens/>
        <w:autoSpaceDN/>
        <w:adjustRightInd/>
        <w:spacing w:before="0" w:after="0"/>
        <w:rPr>
          <w:rFonts w:asciiTheme="minorHAnsi" w:hAnsiTheme="minorHAnsi" w:cs="Calibri"/>
        </w:rPr>
      </w:pPr>
      <w:bookmarkStart w:id="518" w:name="_Toc358023998"/>
      <w:bookmarkStart w:id="519" w:name="_Toc358024413"/>
      <w:bookmarkStart w:id="520" w:name="_Toc358024828"/>
      <w:r w:rsidRPr="00A8518B">
        <w:rPr>
          <w:rFonts w:asciiTheme="minorHAnsi" w:hAnsiTheme="minorHAnsi" w:cs="Calibri"/>
        </w:rPr>
        <w:t>10.2. Inne dokumenty</w:t>
      </w:r>
      <w:bookmarkEnd w:id="518"/>
      <w:bookmarkEnd w:id="519"/>
      <w:bookmarkEnd w:id="520"/>
    </w:p>
    <w:tbl>
      <w:tblPr>
        <w:tblW w:w="9851" w:type="dxa"/>
        <w:tblInd w:w="2" w:type="dxa"/>
        <w:tblLayout w:type="fixed"/>
        <w:tblCellMar>
          <w:left w:w="70" w:type="dxa"/>
          <w:right w:w="70" w:type="dxa"/>
        </w:tblCellMar>
        <w:tblLook w:val="0000"/>
      </w:tblPr>
      <w:tblGrid>
        <w:gridCol w:w="496"/>
        <w:gridCol w:w="9355"/>
      </w:tblGrid>
      <w:tr w:rsidR="006947FD" w:rsidRPr="00A8518B" w:rsidTr="005B48CA">
        <w:tc>
          <w:tcPr>
            <w:tcW w:w="496"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21.</w:t>
            </w:r>
          </w:p>
        </w:tc>
        <w:tc>
          <w:tcPr>
            <w:tcW w:w="9355"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Instrukcja zabezpieczania przed korozją konstrukcji betonowych opracowana przez Instytut Techniki Budowlanej - Warszawa 1986 r.</w:t>
            </w:r>
          </w:p>
        </w:tc>
      </w:tr>
      <w:tr w:rsidR="006947FD" w:rsidRPr="00A8518B" w:rsidTr="005B48CA">
        <w:tc>
          <w:tcPr>
            <w:tcW w:w="496"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22.</w:t>
            </w:r>
          </w:p>
        </w:tc>
        <w:tc>
          <w:tcPr>
            <w:tcW w:w="9355"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Katalog budownictwa</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KB4-4.12.1.(6)     Studzienki połączeniowe (lipiec 1980)</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KB4-4.12.1.(7)     Studzienki przelotowe (lipiec 1980)</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KB4-4.12.1.(8)     Studzienki spadowe (lipiec 1980)</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KB4-4.12.1.(11)   Studzienki ślepe (lipiec 1980)</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KB4-3.3.1.10.(1)  Studzienki ściekowe do odwodnienia dróg (październik 1983)</w:t>
            </w:r>
          </w:p>
          <w:p w:rsidR="006947FD" w:rsidRPr="00A8518B" w:rsidRDefault="006947FD" w:rsidP="006947FD">
            <w:pPr>
              <w:pStyle w:val="StylIwony"/>
              <w:spacing w:before="0" w:after="0"/>
              <w:rPr>
                <w:rFonts w:asciiTheme="minorHAnsi" w:hAnsiTheme="minorHAnsi" w:cs="Calibri"/>
                <w:sz w:val="20"/>
                <w:szCs w:val="20"/>
              </w:rPr>
            </w:pPr>
            <w:r w:rsidRPr="00A8518B">
              <w:rPr>
                <w:rFonts w:asciiTheme="minorHAnsi" w:hAnsiTheme="minorHAnsi" w:cs="Calibri"/>
                <w:sz w:val="20"/>
                <w:szCs w:val="20"/>
              </w:rPr>
              <w:t>KB1-22.2.6.(6)     Kręgi betonowe średnicy 50 cm; wysokości 30 lub  60 cm</w:t>
            </w:r>
          </w:p>
        </w:tc>
      </w:tr>
      <w:tr w:rsidR="006947FD" w:rsidRPr="00A8518B" w:rsidTr="005B48CA">
        <w:tc>
          <w:tcPr>
            <w:tcW w:w="496"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23.</w:t>
            </w:r>
          </w:p>
        </w:tc>
        <w:tc>
          <w:tcPr>
            <w:tcW w:w="9355"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„Katalog powtarzalnych elementów drogowych”. „Transprojekt” - Warszawa,                1979-1982 r.</w:t>
            </w:r>
          </w:p>
        </w:tc>
      </w:tr>
      <w:tr w:rsidR="006947FD" w:rsidRPr="00A8518B" w:rsidTr="005B48CA">
        <w:tc>
          <w:tcPr>
            <w:tcW w:w="496"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24.</w:t>
            </w:r>
          </w:p>
        </w:tc>
        <w:tc>
          <w:tcPr>
            <w:tcW w:w="9355"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Tymczasowa instrukcja projektowania i budowy przewodów kanalizacyjnych z rur „Wipro”, Centrum Techniki Komunalnej,  1978 r.</w:t>
            </w:r>
          </w:p>
        </w:tc>
      </w:tr>
      <w:tr w:rsidR="006947FD" w:rsidRPr="00A8518B" w:rsidTr="005B48CA">
        <w:tc>
          <w:tcPr>
            <w:tcW w:w="496"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25.</w:t>
            </w:r>
          </w:p>
        </w:tc>
        <w:tc>
          <w:tcPr>
            <w:tcW w:w="9355" w:type="dxa"/>
          </w:tcPr>
          <w:p w:rsidR="006947FD" w:rsidRPr="00A8518B" w:rsidRDefault="006947FD" w:rsidP="006947FD">
            <w:pPr>
              <w:pStyle w:val="StylIwony"/>
              <w:snapToGrid w:val="0"/>
              <w:spacing w:before="0" w:after="0"/>
              <w:rPr>
                <w:rFonts w:asciiTheme="minorHAnsi" w:hAnsiTheme="minorHAnsi" w:cs="Calibri"/>
                <w:sz w:val="20"/>
                <w:szCs w:val="20"/>
              </w:rPr>
            </w:pPr>
            <w:r w:rsidRPr="00A8518B">
              <w:rPr>
                <w:rFonts w:asciiTheme="minorHAnsi" w:hAnsiTheme="minorHAnsi" w:cs="Calibri"/>
                <w:sz w:val="20"/>
                <w:szCs w:val="20"/>
              </w:rPr>
              <w:t>Wytyczne eksploatacyjne do projektowania sieci i urządzeń sieciowych, wodociągowych i kanalizacyjnych, BPC WiK „Cewok” i BPBBO Miastoprojekt- Warszawa, zaakceptowane i zalecone do stosowania przez Zespół Doradczy ds. procesu inwestycyjnego powołany przez Prezydenta m.st. Warszawy - sierpień 1984 r.</w:t>
            </w:r>
          </w:p>
        </w:tc>
      </w:tr>
    </w:tbl>
    <w:p w:rsidR="00656AC1" w:rsidRPr="007467DC" w:rsidRDefault="005B48CA" w:rsidP="007467DC">
      <w:pPr>
        <w:pStyle w:val="Nagwek2"/>
      </w:pPr>
      <w:r w:rsidRPr="007467DC">
        <w:lastRenderedPageBreak/>
        <w:t>SPECYFIKACJE TECHNICZNE</w:t>
      </w:r>
      <w:r w:rsidR="00E22F37" w:rsidRPr="007467DC">
        <w:t xml:space="preserve"> WYKONANIA I ODBIORU ROBÓT BUDOWLANYCH</w:t>
      </w:r>
    </w:p>
    <w:p w:rsidR="00656AC1" w:rsidRPr="007467DC" w:rsidRDefault="00656AC1" w:rsidP="007467DC">
      <w:pPr>
        <w:pStyle w:val="Nagwek1"/>
      </w:pPr>
      <w:bookmarkStart w:id="521" w:name="_Toc352760842"/>
      <w:bookmarkStart w:id="522" w:name="_Toc352837485"/>
      <w:bookmarkStart w:id="523" w:name="_Toc427178270"/>
      <w:bookmarkStart w:id="524" w:name="_Toc459929669"/>
      <w:r w:rsidRPr="007467DC">
        <w:t>D-03.02.01  REGULACJA   PIONOWA   URZĄDZEŃ UZBROJENIA PODZIEMNEGO</w:t>
      </w:r>
      <w:bookmarkEnd w:id="521"/>
      <w:bookmarkEnd w:id="522"/>
      <w:bookmarkEnd w:id="523"/>
      <w:bookmarkEnd w:id="524"/>
    </w:p>
    <w:p w:rsidR="00656AC1" w:rsidRPr="00203191" w:rsidRDefault="00656AC1" w:rsidP="00364E4D">
      <w:pPr>
        <w:pStyle w:val="Nagwek3"/>
        <w:rPr>
          <w:rFonts w:ascii="Calibri" w:hAnsi="Calibri" w:cs="Calibri"/>
        </w:rPr>
      </w:pPr>
      <w:bookmarkStart w:id="525" w:name="_Toc51995829"/>
      <w:r w:rsidRPr="00203191">
        <w:rPr>
          <w:rFonts w:ascii="Calibri" w:hAnsi="Calibri" w:cs="Calibri"/>
        </w:rPr>
        <w:t>1. WSTĘP</w:t>
      </w:r>
      <w:bookmarkEnd w:id="525"/>
    </w:p>
    <w:p w:rsidR="00656AC1" w:rsidRPr="00203191" w:rsidRDefault="00656AC1" w:rsidP="00364E4D">
      <w:pPr>
        <w:pStyle w:val="Nagwek4"/>
        <w:rPr>
          <w:rFonts w:ascii="Calibri" w:hAnsi="Calibri" w:cs="Calibri"/>
        </w:rPr>
      </w:pPr>
      <w:r w:rsidRPr="00203191">
        <w:rPr>
          <w:rFonts w:ascii="Calibri" w:hAnsi="Calibri" w:cs="Calibri"/>
        </w:rPr>
        <w:t xml:space="preserve">1.1. Przedmiot </w:t>
      </w:r>
      <w:r w:rsidR="005B48CA">
        <w:rPr>
          <w:rFonts w:ascii="Calibri" w:hAnsi="Calibri" w:cs="Calibri"/>
        </w:rPr>
        <w:t>STWiORB</w:t>
      </w:r>
    </w:p>
    <w:p w:rsidR="00656AC1" w:rsidRPr="00203191" w:rsidRDefault="00656AC1" w:rsidP="00364E4D">
      <w:pPr>
        <w:tabs>
          <w:tab w:val="left" w:pos="284"/>
          <w:tab w:val="right" w:leader="dot" w:pos="8505"/>
        </w:tabs>
        <w:rPr>
          <w:rFonts w:ascii="Calibri" w:hAnsi="Calibri" w:cs="Calibri"/>
        </w:rPr>
      </w:pPr>
      <w:r w:rsidRPr="00203191">
        <w:rPr>
          <w:rFonts w:ascii="Calibri" w:hAnsi="Calibri" w:cs="Calibri"/>
        </w:rPr>
        <w:t xml:space="preserve">Przedmiotem </w:t>
      </w:r>
      <w:r w:rsidR="00ED6D29">
        <w:rPr>
          <w:rFonts w:ascii="Calibri" w:hAnsi="Calibri" w:cs="Calibri"/>
        </w:rPr>
        <w:t>niniejszej</w:t>
      </w:r>
      <w:r w:rsidRPr="00203191">
        <w:rPr>
          <w:rFonts w:ascii="Calibri" w:hAnsi="Calibri" w:cs="Calibri"/>
        </w:rPr>
        <w:t xml:space="preserve"> </w:t>
      </w:r>
      <w:r w:rsidR="00ED6D29">
        <w:rPr>
          <w:rFonts w:ascii="Calibri" w:hAnsi="Calibri" w:cs="Calibri"/>
        </w:rPr>
        <w:t>specyfikacji</w:t>
      </w:r>
      <w:r w:rsidRPr="00203191">
        <w:rPr>
          <w:rFonts w:ascii="Calibri" w:hAnsi="Calibri" w:cs="Calibri"/>
        </w:rPr>
        <w:t xml:space="preserve"> wykonania i odbioru robót budowlanych (</w:t>
      </w:r>
      <w:r w:rsidR="005B48CA">
        <w:rPr>
          <w:rFonts w:ascii="Calibri" w:hAnsi="Calibri" w:cs="Calibri"/>
        </w:rPr>
        <w:t>STWiORB</w:t>
      </w:r>
      <w:r w:rsidRPr="00203191">
        <w:rPr>
          <w:rFonts w:ascii="Calibri" w:hAnsi="Calibri" w:cs="Calibri"/>
        </w:rPr>
        <w:t xml:space="preserve">) są wymagania dotyczące wykonania i odbioru robót związanych z wykonaniem regulacji pionowej studzienek urządzeń podziemnych. </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E64159">
      <w:pPr>
        <w:spacing w:before="100" w:beforeAutospacing="1" w:after="100" w:afterAutospacing="1"/>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656AC1" w:rsidRPr="00203191" w:rsidRDefault="00656AC1" w:rsidP="00E64159">
      <w:p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Pr="00203191">
        <w:rPr>
          <w:rFonts w:ascii="Calibri" w:hAnsi="Calibri" w:cs="Calibri"/>
        </w:rPr>
        <w:t xml:space="preserve"> warunkach dotyczą zasad prowadzenia robót związanych z wykonaniem i odbiorem przypowierzchniowej regulacji pionowej studzienek</w:t>
      </w:r>
      <w:r w:rsidR="00984D7F">
        <w:rPr>
          <w:rFonts w:ascii="Calibri" w:hAnsi="Calibri" w:cs="Calibri"/>
        </w:rPr>
        <w:t xml:space="preserve"> oraz skrzynek zaworów</w:t>
      </w:r>
      <w:r w:rsidRPr="00203191">
        <w:rPr>
          <w:rFonts w:ascii="Calibri" w:hAnsi="Calibri" w:cs="Calibri"/>
        </w:rPr>
        <w:t xml:space="preserve"> urządzeń podziemnych. </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1.4. Określenia podstawowe</w:t>
      </w:r>
    </w:p>
    <w:p w:rsidR="00656AC1" w:rsidRPr="00203191" w:rsidRDefault="00656AC1" w:rsidP="00E64159">
      <w:p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Określenia podstawowe są zgodne z obowiązującymi, odpowiednimi polskimi normami i z definicjami podanymi w </w:t>
      </w:r>
      <w:r w:rsidR="005B48CA">
        <w:rPr>
          <w:rFonts w:ascii="Calibri" w:hAnsi="Calibri" w:cs="Calibri"/>
        </w:rPr>
        <w:t>STWiORB</w:t>
      </w:r>
      <w:r w:rsidRPr="00203191">
        <w:rPr>
          <w:rFonts w:ascii="Calibri" w:hAnsi="Calibri" w:cs="Calibri"/>
        </w:rPr>
        <w:t xml:space="preserve"> D-M-00.00.00 „Wymagania ogólne”pkt 1.4.</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1.5. Ogólne wymagania dotyczące robót</w:t>
      </w:r>
    </w:p>
    <w:p w:rsidR="00656AC1" w:rsidRPr="00203191" w:rsidRDefault="00656AC1" w:rsidP="00E64159">
      <w:p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E64159">
      <w:pPr>
        <w:pStyle w:val="Nagwek3"/>
        <w:spacing w:before="100" w:beforeAutospacing="1" w:after="100" w:afterAutospacing="1"/>
        <w:rPr>
          <w:rFonts w:ascii="Calibri" w:hAnsi="Calibri" w:cs="Calibri"/>
        </w:rPr>
      </w:pPr>
      <w:bookmarkStart w:id="526" w:name="_Toc424534466"/>
      <w:bookmarkStart w:id="527" w:name="_Toc46643997"/>
      <w:bookmarkStart w:id="528" w:name="_Toc51995830"/>
      <w:r w:rsidRPr="00203191">
        <w:rPr>
          <w:rFonts w:ascii="Calibri" w:hAnsi="Calibri" w:cs="Calibri"/>
        </w:rPr>
        <w:t xml:space="preserve">2. </w:t>
      </w:r>
      <w:r w:rsidR="00A95FEE">
        <w:rPr>
          <w:rFonts w:ascii="Calibri" w:hAnsi="Calibri" w:cs="Calibri"/>
        </w:rPr>
        <w:t>WYROBY BUDOWLANE</w:t>
      </w:r>
      <w:bookmarkEnd w:id="526"/>
      <w:bookmarkEnd w:id="527"/>
      <w:bookmarkEnd w:id="528"/>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2.1. Ogólne wymagania dotyczące materiałów</w:t>
      </w:r>
    </w:p>
    <w:p w:rsidR="00656AC1" w:rsidRPr="00203191" w:rsidRDefault="00656AC1" w:rsidP="00E64159">
      <w:p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 xml:space="preserve">2.2. </w:t>
      </w:r>
      <w:r w:rsidR="00A95FEE">
        <w:rPr>
          <w:rFonts w:ascii="Calibri" w:hAnsi="Calibri" w:cs="Calibri"/>
        </w:rPr>
        <w:t>Wyroby budowlane</w:t>
      </w:r>
      <w:r w:rsidRPr="00203191">
        <w:rPr>
          <w:rFonts w:ascii="Calibri" w:hAnsi="Calibri" w:cs="Calibri"/>
        </w:rPr>
        <w:t xml:space="preserve"> do wykonania regulacji pionowej studzienki </w:t>
      </w:r>
    </w:p>
    <w:p w:rsidR="00656AC1" w:rsidRPr="00203191" w:rsidRDefault="00656AC1" w:rsidP="00E64159">
      <w:pPr>
        <w:spacing w:before="100" w:beforeAutospacing="1" w:after="100" w:afterAutospacing="1"/>
        <w:rPr>
          <w:rFonts w:ascii="Calibri" w:hAnsi="Calibri" w:cs="Calibri"/>
        </w:rPr>
      </w:pPr>
      <w:r w:rsidRPr="00203191">
        <w:rPr>
          <w:rFonts w:ascii="Calibri" w:hAnsi="Calibri" w:cs="Calibri"/>
        </w:rPr>
        <w:t>Do przypowierzchniowej regulacji studzienki należy użyć:</w:t>
      </w:r>
    </w:p>
    <w:p w:rsidR="00984D7F" w:rsidRDefault="00A95FEE" w:rsidP="00973D29">
      <w:pPr>
        <w:numPr>
          <w:ilvl w:val="0"/>
          <w:numId w:val="30"/>
        </w:numPr>
        <w:spacing w:before="100" w:beforeAutospacing="1" w:after="100" w:afterAutospacing="1"/>
        <w:rPr>
          <w:rFonts w:ascii="Calibri" w:hAnsi="Calibri" w:cs="Calibri"/>
        </w:rPr>
      </w:pPr>
      <w:r>
        <w:rPr>
          <w:rFonts w:ascii="Calibri" w:hAnsi="Calibri" w:cs="Calibri"/>
        </w:rPr>
        <w:t>wyroby budowlane</w:t>
      </w:r>
      <w:r w:rsidR="00656AC1" w:rsidRPr="00203191">
        <w:rPr>
          <w:rFonts w:ascii="Calibri" w:hAnsi="Calibri" w:cs="Calibri"/>
        </w:rPr>
        <w:t xml:space="preserve"> nowe, będące materiałem uzupełniającym, tego samego typu, gatunku i wymiarów, jak materiał rozbiórkowy</w:t>
      </w:r>
      <w:r w:rsidR="00984D7F">
        <w:rPr>
          <w:rFonts w:ascii="Calibri" w:hAnsi="Calibri" w:cs="Calibri"/>
        </w:rPr>
        <w:t xml:space="preserve"> otaczającej studzienki, jeżeli materiał ten jest dopuszczony do użycia w danych warunkach</w:t>
      </w:r>
    </w:p>
    <w:p w:rsidR="00656AC1" w:rsidRPr="00203191" w:rsidRDefault="00984D7F" w:rsidP="00973D29">
      <w:pPr>
        <w:numPr>
          <w:ilvl w:val="0"/>
          <w:numId w:val="30"/>
        </w:numPr>
        <w:spacing w:before="100" w:beforeAutospacing="1" w:after="100" w:afterAutospacing="1"/>
        <w:rPr>
          <w:rFonts w:ascii="Calibri" w:hAnsi="Calibri" w:cs="Calibri"/>
        </w:rPr>
      </w:pPr>
      <w:r>
        <w:rPr>
          <w:rFonts w:ascii="Calibri" w:hAnsi="Calibri" w:cs="Calibri"/>
        </w:rPr>
        <w:t>dla studni teletechnicznych nie dopuszcza się użycia do regulacji cegieł w tym również klinkierowych</w:t>
      </w:r>
      <w:r w:rsidR="00656AC1" w:rsidRPr="00203191">
        <w:rPr>
          <w:rFonts w:ascii="Calibri" w:hAnsi="Calibri" w:cs="Calibri"/>
        </w:rPr>
        <w:t>.</w:t>
      </w:r>
    </w:p>
    <w:p w:rsidR="00656AC1" w:rsidRPr="00203191" w:rsidRDefault="00656AC1" w:rsidP="00E64159">
      <w:pPr>
        <w:pStyle w:val="Nagwek3"/>
        <w:spacing w:before="100" w:beforeAutospacing="1" w:after="100" w:afterAutospacing="1"/>
        <w:rPr>
          <w:rFonts w:ascii="Calibri" w:hAnsi="Calibri" w:cs="Calibri"/>
        </w:rPr>
      </w:pPr>
      <w:bookmarkStart w:id="529" w:name="_Toc424534467"/>
      <w:bookmarkStart w:id="530" w:name="_Toc46643998"/>
      <w:bookmarkStart w:id="531" w:name="_Toc51995831"/>
      <w:r w:rsidRPr="00203191">
        <w:rPr>
          <w:rFonts w:ascii="Calibri" w:hAnsi="Calibri" w:cs="Calibri"/>
        </w:rPr>
        <w:lastRenderedPageBreak/>
        <w:t>3. SPRZĘT</w:t>
      </w:r>
      <w:bookmarkEnd w:id="529"/>
      <w:bookmarkEnd w:id="530"/>
      <w:bookmarkEnd w:id="531"/>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3.1. Ogólne wymagania dotyczące sprzętu</w:t>
      </w:r>
    </w:p>
    <w:p w:rsidR="00656AC1" w:rsidRPr="00203191" w:rsidRDefault="00656AC1" w:rsidP="00E64159">
      <w:pPr>
        <w:numPr>
          <w:ilvl w:val="12"/>
          <w:numId w:val="0"/>
        </w:num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 xml:space="preserve">3.2. Sprzęt stosowany do wykonania regulacji pionowej studzienki </w:t>
      </w:r>
    </w:p>
    <w:p w:rsidR="00656AC1" w:rsidRPr="00203191" w:rsidRDefault="00656AC1" w:rsidP="00E64159">
      <w:pPr>
        <w:numPr>
          <w:ilvl w:val="12"/>
          <w:numId w:val="0"/>
        </w:num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Wykonawca przystępujący do wykonania naprawy, powinien wykazać się możliwością korzystania z następującego sprzętu:</w:t>
      </w:r>
    </w:p>
    <w:p w:rsidR="00656AC1" w:rsidRPr="00203191" w:rsidRDefault="00656AC1" w:rsidP="00E64159">
      <w:pPr>
        <w:tabs>
          <w:tab w:val="left" w:pos="284"/>
          <w:tab w:val="right" w:leader="dot" w:pos="8505"/>
        </w:tabs>
        <w:spacing w:before="100" w:beforeAutospacing="1" w:after="100" w:afterAutospacing="1"/>
        <w:ind w:left="283" w:hanging="283"/>
        <w:rPr>
          <w:rFonts w:ascii="Calibri" w:hAnsi="Calibri" w:cs="Calibri"/>
        </w:rPr>
      </w:pPr>
      <w:r w:rsidRPr="00203191">
        <w:rPr>
          <w:rFonts w:ascii="Calibri" w:hAnsi="Calibri" w:cs="Calibri"/>
        </w:rPr>
        <w:t>piły tarczowej,</w:t>
      </w:r>
    </w:p>
    <w:p w:rsidR="00656AC1" w:rsidRPr="00203191" w:rsidRDefault="00656AC1" w:rsidP="00E64159">
      <w:pPr>
        <w:tabs>
          <w:tab w:val="left" w:pos="284"/>
          <w:tab w:val="right" w:leader="dot" w:pos="8505"/>
        </w:tabs>
        <w:spacing w:before="100" w:beforeAutospacing="1" w:after="100" w:afterAutospacing="1"/>
        <w:ind w:left="283" w:hanging="283"/>
        <w:rPr>
          <w:rFonts w:ascii="Calibri" w:hAnsi="Calibri" w:cs="Calibri"/>
        </w:rPr>
      </w:pPr>
      <w:r w:rsidRPr="00203191">
        <w:rPr>
          <w:rFonts w:ascii="Calibri" w:hAnsi="Calibri" w:cs="Calibri"/>
        </w:rPr>
        <w:t>młota pneumatycznego,</w:t>
      </w:r>
    </w:p>
    <w:p w:rsidR="00656AC1" w:rsidRPr="00203191" w:rsidRDefault="00656AC1" w:rsidP="00E64159">
      <w:pPr>
        <w:tabs>
          <w:tab w:val="left" w:pos="284"/>
          <w:tab w:val="right" w:leader="dot" w:pos="8505"/>
        </w:tabs>
        <w:spacing w:before="100" w:beforeAutospacing="1" w:after="100" w:afterAutospacing="1"/>
        <w:ind w:left="283" w:hanging="283"/>
        <w:rPr>
          <w:rFonts w:ascii="Calibri" w:hAnsi="Calibri" w:cs="Calibri"/>
        </w:rPr>
      </w:pPr>
      <w:r w:rsidRPr="00203191">
        <w:rPr>
          <w:rFonts w:ascii="Calibri" w:hAnsi="Calibri" w:cs="Calibri"/>
        </w:rPr>
        <w:t>sprężarki powietrza,</w:t>
      </w:r>
    </w:p>
    <w:p w:rsidR="00656AC1" w:rsidRPr="00203191" w:rsidRDefault="00656AC1" w:rsidP="00E64159">
      <w:pPr>
        <w:tabs>
          <w:tab w:val="left" w:pos="284"/>
          <w:tab w:val="right" w:leader="dot" w:pos="8505"/>
        </w:tabs>
        <w:spacing w:before="100" w:beforeAutospacing="1" w:after="100" w:afterAutospacing="1"/>
        <w:ind w:left="283" w:hanging="283"/>
        <w:rPr>
          <w:rFonts w:ascii="Calibri" w:hAnsi="Calibri" w:cs="Calibri"/>
        </w:rPr>
      </w:pPr>
      <w:r w:rsidRPr="00203191">
        <w:rPr>
          <w:rFonts w:ascii="Calibri" w:hAnsi="Calibri" w:cs="Calibri"/>
        </w:rPr>
        <w:t>zagęszczarki wibracyjnej,</w:t>
      </w:r>
    </w:p>
    <w:p w:rsidR="00656AC1" w:rsidRPr="00203191" w:rsidRDefault="00656AC1" w:rsidP="00E64159">
      <w:pPr>
        <w:tabs>
          <w:tab w:val="left" w:pos="284"/>
          <w:tab w:val="right" w:leader="dot" w:pos="8505"/>
        </w:tabs>
        <w:spacing w:before="100" w:beforeAutospacing="1" w:after="100" w:afterAutospacing="1"/>
        <w:ind w:left="283" w:hanging="283"/>
        <w:rPr>
          <w:rFonts w:ascii="Calibri" w:hAnsi="Calibri" w:cs="Calibri"/>
        </w:rPr>
      </w:pPr>
      <w:r w:rsidRPr="00203191">
        <w:rPr>
          <w:rFonts w:ascii="Calibri" w:hAnsi="Calibri" w:cs="Calibri"/>
        </w:rPr>
        <w:t>sprzętu pomocniczego (szczotka, łopata, szablon itp.).</w:t>
      </w:r>
    </w:p>
    <w:p w:rsidR="00656AC1" w:rsidRPr="00203191" w:rsidRDefault="00656AC1" w:rsidP="00E64159">
      <w:pPr>
        <w:pStyle w:val="Nagwek3"/>
        <w:spacing w:before="100" w:beforeAutospacing="1" w:after="100" w:afterAutospacing="1"/>
        <w:rPr>
          <w:rFonts w:ascii="Calibri" w:hAnsi="Calibri" w:cs="Calibri"/>
        </w:rPr>
      </w:pPr>
      <w:bookmarkStart w:id="532" w:name="_Toc424534468"/>
      <w:bookmarkStart w:id="533" w:name="_Toc46643999"/>
      <w:bookmarkStart w:id="534" w:name="_Toc51995832"/>
      <w:r w:rsidRPr="00203191">
        <w:rPr>
          <w:rFonts w:ascii="Calibri" w:hAnsi="Calibri" w:cs="Calibri"/>
        </w:rPr>
        <w:t>4. TRANSPORT</w:t>
      </w:r>
      <w:bookmarkEnd w:id="532"/>
      <w:bookmarkEnd w:id="533"/>
      <w:bookmarkEnd w:id="534"/>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 xml:space="preserve">4.1. Ogólne wymagania dotyczące transportu </w:t>
      </w:r>
    </w:p>
    <w:p w:rsidR="00656AC1" w:rsidRPr="00203191" w:rsidRDefault="00656AC1" w:rsidP="00E64159">
      <w:p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4.2. Transport materiałów</w:t>
      </w:r>
    </w:p>
    <w:p w:rsidR="00656AC1" w:rsidRPr="00203191" w:rsidRDefault="00656AC1" w:rsidP="00E64159">
      <w:pPr>
        <w:spacing w:before="100" w:beforeAutospacing="1" w:after="100" w:afterAutospacing="1"/>
        <w:rPr>
          <w:rFonts w:ascii="Calibri" w:hAnsi="Calibri" w:cs="Calibri"/>
        </w:rPr>
      </w:pPr>
      <w:r w:rsidRPr="00203191">
        <w:rPr>
          <w:rFonts w:ascii="Calibri" w:hAnsi="Calibri" w:cs="Calibri"/>
        </w:rPr>
        <w:t>Transport nowych materiałów do wykonania regulacji studzienki może odbywać się dowolnymi środkami transportu z zabezpieczeniem materiałów przed zmieszaniem się.</w:t>
      </w:r>
    </w:p>
    <w:p w:rsidR="00656AC1" w:rsidRPr="00203191" w:rsidRDefault="00656AC1" w:rsidP="00E64159">
      <w:pPr>
        <w:pStyle w:val="Nagwek3"/>
        <w:spacing w:before="100" w:beforeAutospacing="1" w:after="100" w:afterAutospacing="1"/>
        <w:rPr>
          <w:rFonts w:ascii="Calibri" w:hAnsi="Calibri" w:cs="Calibri"/>
        </w:rPr>
      </w:pPr>
      <w:bookmarkStart w:id="535" w:name="_Toc51995833"/>
      <w:r w:rsidRPr="00203191">
        <w:rPr>
          <w:rFonts w:ascii="Calibri" w:hAnsi="Calibri" w:cs="Calibri"/>
        </w:rPr>
        <w:t>5. WYKONANIE ROBÓT</w:t>
      </w:r>
      <w:bookmarkEnd w:id="535"/>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5.1. Ogólne zasady wykonania robót</w:t>
      </w:r>
    </w:p>
    <w:p w:rsidR="00656AC1" w:rsidRPr="00203191" w:rsidRDefault="00656AC1" w:rsidP="00E64159">
      <w:pPr>
        <w:tabs>
          <w:tab w:val="left" w:pos="284"/>
          <w:tab w:val="right" w:leader="dot" w:pos="8505"/>
        </w:tabs>
        <w:spacing w:before="100" w:beforeAutospacing="1" w:after="100" w:afterAutospacing="1"/>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5.2. Zasady wykonania regulacji</w:t>
      </w:r>
    </w:p>
    <w:p w:rsidR="00656AC1" w:rsidRPr="00203191" w:rsidRDefault="00656AC1" w:rsidP="00E64159">
      <w:pPr>
        <w:spacing w:before="100" w:beforeAutospacing="1" w:after="100" w:afterAutospacing="1"/>
        <w:rPr>
          <w:rFonts w:ascii="Calibri" w:hAnsi="Calibri" w:cs="Calibri"/>
        </w:rPr>
      </w:pPr>
      <w:r w:rsidRPr="00203191">
        <w:rPr>
          <w:rFonts w:ascii="Calibri" w:hAnsi="Calibri" w:cs="Calibri"/>
        </w:rPr>
        <w:t>Wykonanie regulacji pionowej studzienki, obejmuje:</w:t>
      </w:r>
    </w:p>
    <w:p w:rsidR="00656AC1" w:rsidRPr="00203191" w:rsidRDefault="00656AC1" w:rsidP="00E64159">
      <w:pPr>
        <w:spacing w:before="100" w:beforeAutospacing="1" w:after="100" w:afterAutospacing="1"/>
        <w:ind w:left="572" w:hanging="284"/>
        <w:rPr>
          <w:rFonts w:ascii="Calibri" w:hAnsi="Calibri" w:cs="Calibri"/>
        </w:rPr>
      </w:pPr>
      <w:r w:rsidRPr="00203191">
        <w:rPr>
          <w:rFonts w:ascii="Calibri" w:hAnsi="Calibri" w:cs="Calibri"/>
        </w:rPr>
        <w:t>- wyznaczenie powierzchni podlegającej naprawie,</w:t>
      </w:r>
    </w:p>
    <w:p w:rsidR="00656AC1" w:rsidRPr="00203191" w:rsidRDefault="00656AC1" w:rsidP="00E64159">
      <w:pPr>
        <w:spacing w:before="100" w:beforeAutospacing="1" w:after="100" w:afterAutospacing="1"/>
        <w:ind w:left="572" w:hanging="284"/>
        <w:rPr>
          <w:rFonts w:ascii="Calibri" w:hAnsi="Calibri" w:cs="Calibri"/>
        </w:rPr>
      </w:pPr>
      <w:r w:rsidRPr="00203191">
        <w:rPr>
          <w:rFonts w:ascii="Calibri" w:hAnsi="Calibri" w:cs="Calibri"/>
        </w:rPr>
        <w:t>- regulację studzienki,</w:t>
      </w:r>
    </w:p>
    <w:p w:rsidR="00656AC1" w:rsidRPr="00203191" w:rsidRDefault="00656AC1" w:rsidP="00E64159">
      <w:pPr>
        <w:spacing w:before="100" w:beforeAutospacing="1" w:after="100" w:afterAutospacing="1"/>
        <w:ind w:left="572" w:hanging="284"/>
        <w:rPr>
          <w:rFonts w:ascii="Calibri" w:hAnsi="Calibri" w:cs="Calibri"/>
        </w:rPr>
      </w:pPr>
      <w:r w:rsidRPr="00203191">
        <w:rPr>
          <w:rFonts w:ascii="Calibri" w:hAnsi="Calibri" w:cs="Calibri"/>
        </w:rPr>
        <w:t>- naprawę</w:t>
      </w:r>
      <w:r w:rsidR="008473E1">
        <w:rPr>
          <w:rFonts w:ascii="Calibri" w:hAnsi="Calibri" w:cs="Calibri"/>
        </w:rPr>
        <w:t xml:space="preserve"> lub uzupełnienie</w:t>
      </w:r>
      <w:r w:rsidRPr="00203191">
        <w:rPr>
          <w:rFonts w:ascii="Calibri" w:hAnsi="Calibri" w:cs="Calibri"/>
        </w:rPr>
        <w:t xml:space="preserve"> nawierzchni przy studzience.</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lastRenderedPageBreak/>
        <w:t>5.3. Wykonanie regulacji studzienki</w:t>
      </w:r>
    </w:p>
    <w:p w:rsidR="00656AC1" w:rsidRPr="00203191" w:rsidRDefault="00656AC1" w:rsidP="00E64159">
      <w:pPr>
        <w:spacing w:before="100" w:beforeAutospacing="1" w:after="100" w:afterAutospacing="1"/>
        <w:rPr>
          <w:rFonts w:ascii="Calibri" w:hAnsi="Calibri" w:cs="Calibri"/>
        </w:rPr>
      </w:pPr>
      <w:r w:rsidRPr="00203191">
        <w:rPr>
          <w:rFonts w:ascii="Calibri" w:hAnsi="Calibri" w:cs="Calibri"/>
        </w:rPr>
        <w:t xml:space="preserve">Jeżeli dokumentacja projektowa lub </w:t>
      </w:r>
      <w:r w:rsidR="005B48CA">
        <w:rPr>
          <w:rFonts w:ascii="Calibri" w:hAnsi="Calibri" w:cs="Calibri"/>
        </w:rPr>
        <w:t>STWiORB</w:t>
      </w:r>
      <w:r w:rsidRPr="00203191">
        <w:rPr>
          <w:rFonts w:ascii="Calibri" w:hAnsi="Calibri" w:cs="Calibri"/>
        </w:rPr>
        <w:t xml:space="preserve"> nie przewiduje inaczej, to wykonanie przypowierzchniowej naprawy uszkodzonej studzienki, pod warunkiem zaakceptowania przez Inżyniera, obejmuje:</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zdjęcie przykrycia (pokrywy, włazu, kratki ściekowej, nasady) urządzenia podziemnego,</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rozebranie uszkodzone</w:t>
      </w:r>
      <w:r w:rsidR="008473E1">
        <w:rPr>
          <w:rFonts w:ascii="Calibri" w:hAnsi="Calibri" w:cs="Calibri"/>
        </w:rPr>
        <w:t>j lub wymagającej regulacji</w:t>
      </w:r>
      <w:r w:rsidRPr="00203191">
        <w:rPr>
          <w:rFonts w:ascii="Calibri" w:hAnsi="Calibri" w:cs="Calibri"/>
        </w:rPr>
        <w:t xml:space="preserve"> nawierzchni wokół studzienki:</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ręczne rozebranie górnej części studzienki (np. części żeliwnych, płyt żelbetowych pod studzienką, kręgów podporowych itp.),</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zebranie i odwiezienie lub odrzucenie elementów nawierzchni i gruzu na pobocze, chodnik lub miejsce składowania, z posortowaniem i zabezpieczeniem materiału przydatnego do dalszych robót,</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sprawdzenie stanu konstrukcji studzienki i oczyszczenie górnej części studzienki (np. nasady wpustu, komina włazowego) z ew. uzupełnieniem ubytków,</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 xml:space="preserve">poziomowanie górnej części komina włazowego, nasady wpustu itp. przy użyciu zaprawy cementowo-piaskowej lub mieszanki betonowej klasy co najmniej B20, </w:t>
      </w:r>
    </w:p>
    <w:p w:rsidR="00656AC1" w:rsidRPr="00203191" w:rsidRDefault="00656AC1" w:rsidP="00973D29">
      <w:pPr>
        <w:numPr>
          <w:ilvl w:val="0"/>
          <w:numId w:val="31"/>
        </w:numPr>
        <w:spacing w:before="100" w:beforeAutospacing="1" w:after="100" w:afterAutospacing="1"/>
        <w:rPr>
          <w:rFonts w:ascii="Calibri" w:hAnsi="Calibri" w:cs="Calibri"/>
        </w:rPr>
      </w:pPr>
      <w:r w:rsidRPr="00203191">
        <w:rPr>
          <w:rFonts w:ascii="Calibri" w:hAnsi="Calibri" w:cs="Calibri"/>
        </w:rPr>
        <w:t>osadzenie przykrycia studzienki z wykorzystaniem istniejących lub nowych materiałów oraz ew. wyrównaniem zaprawą cementową.</w:t>
      </w:r>
    </w:p>
    <w:p w:rsidR="00656AC1" w:rsidRPr="00203191" w:rsidRDefault="00656AC1" w:rsidP="00E64159">
      <w:pPr>
        <w:pStyle w:val="Nagwek3"/>
        <w:spacing w:before="100" w:beforeAutospacing="1" w:after="100" w:afterAutospacing="1"/>
        <w:rPr>
          <w:rFonts w:ascii="Calibri" w:hAnsi="Calibri" w:cs="Calibri"/>
        </w:rPr>
      </w:pPr>
      <w:bookmarkStart w:id="536" w:name="_Toc424534470"/>
      <w:bookmarkStart w:id="537" w:name="_Toc46644001"/>
      <w:bookmarkStart w:id="538" w:name="_Toc51995834"/>
      <w:r w:rsidRPr="00203191">
        <w:rPr>
          <w:rFonts w:ascii="Calibri" w:hAnsi="Calibri" w:cs="Calibri"/>
        </w:rPr>
        <w:t>6. KONTROLA JAKOŚCI ROBÓT</w:t>
      </w:r>
      <w:bookmarkEnd w:id="536"/>
      <w:bookmarkEnd w:id="537"/>
      <w:bookmarkEnd w:id="538"/>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6.1. Ogólne zasady kontroli jakości robót</w:t>
      </w:r>
    </w:p>
    <w:p w:rsidR="00656AC1" w:rsidRPr="00203191" w:rsidRDefault="00656AC1" w:rsidP="00E64159">
      <w:pPr>
        <w:spacing w:before="100" w:beforeAutospacing="1" w:after="100" w:afterAutospacing="1"/>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6.2. Badania w czasie robót</w:t>
      </w: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Częstotliwość oraz zakres badań i pomiarów, które należy wykonać w czasie robót podaje tablica 7.</w:t>
      </w: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Tablica 7. Częstotliwość oraz zakres badań i pomiarów w czasie robót</w:t>
      </w:r>
    </w:p>
    <w:tbl>
      <w:tblPr>
        <w:tblW w:w="9970"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4034"/>
        <w:gridCol w:w="1265"/>
        <w:gridCol w:w="4175"/>
      </w:tblGrid>
      <w:tr w:rsidR="00656AC1" w:rsidRPr="00203191">
        <w:tc>
          <w:tcPr>
            <w:tcW w:w="496" w:type="dxa"/>
            <w:tcBorders>
              <w:bottom w:val="double" w:sz="6" w:space="0" w:color="auto"/>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Lp.</w:t>
            </w:r>
          </w:p>
        </w:tc>
        <w:tc>
          <w:tcPr>
            <w:tcW w:w="4034" w:type="dxa"/>
            <w:tcBorders>
              <w:bottom w:val="double" w:sz="6" w:space="0" w:color="auto"/>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Wyszczególnienie badań i pomiarów</w:t>
            </w:r>
          </w:p>
        </w:tc>
        <w:tc>
          <w:tcPr>
            <w:tcW w:w="1265" w:type="dxa"/>
            <w:tcBorders>
              <w:bottom w:val="double" w:sz="6" w:space="0" w:color="auto"/>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Częstotliwość badań</w:t>
            </w:r>
          </w:p>
        </w:tc>
        <w:tc>
          <w:tcPr>
            <w:tcW w:w="4175" w:type="dxa"/>
            <w:tcBorders>
              <w:bottom w:val="double" w:sz="6" w:space="0" w:color="auto"/>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Wartości dopuszczalne</w:t>
            </w:r>
          </w:p>
        </w:tc>
      </w:tr>
      <w:tr w:rsidR="00656AC1" w:rsidRPr="00203191">
        <w:tc>
          <w:tcPr>
            <w:tcW w:w="496" w:type="dxa"/>
            <w:tcBorders>
              <w:top w:val="nil"/>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1</w:t>
            </w:r>
          </w:p>
        </w:tc>
        <w:tc>
          <w:tcPr>
            <w:tcW w:w="4034" w:type="dxa"/>
            <w:tcBorders>
              <w:top w:val="nil"/>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Wyznaczenie powierzchni przeznaczonej do wykonania naprawy</w:t>
            </w:r>
          </w:p>
        </w:tc>
        <w:tc>
          <w:tcPr>
            <w:tcW w:w="1265" w:type="dxa"/>
            <w:tcBorders>
              <w:top w:val="nil"/>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1 raz</w:t>
            </w:r>
          </w:p>
        </w:tc>
        <w:tc>
          <w:tcPr>
            <w:tcW w:w="4175" w:type="dxa"/>
            <w:tcBorders>
              <w:top w:val="nil"/>
            </w:tcBorders>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Niezbędna powierzchnia</w:t>
            </w:r>
          </w:p>
        </w:tc>
      </w:tr>
      <w:tr w:rsidR="00656AC1" w:rsidRPr="00203191">
        <w:tc>
          <w:tcPr>
            <w:tcW w:w="496" w:type="dxa"/>
          </w:tcPr>
          <w:p w:rsidR="00656AC1" w:rsidRPr="00203191" w:rsidRDefault="00656AC1" w:rsidP="00E64159">
            <w:pPr>
              <w:numPr>
                <w:ilvl w:val="12"/>
                <w:numId w:val="0"/>
              </w:numPr>
              <w:spacing w:before="100" w:beforeAutospacing="1" w:after="100" w:afterAutospacing="1"/>
              <w:rPr>
                <w:rFonts w:ascii="Calibri" w:hAnsi="Calibri" w:cs="Calibri"/>
              </w:rPr>
            </w:pP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2</w:t>
            </w:r>
          </w:p>
        </w:tc>
        <w:tc>
          <w:tcPr>
            <w:tcW w:w="4034" w:type="dxa"/>
          </w:tcPr>
          <w:p w:rsidR="00656AC1" w:rsidRPr="00203191" w:rsidRDefault="00656AC1" w:rsidP="00E64159">
            <w:pPr>
              <w:numPr>
                <w:ilvl w:val="12"/>
                <w:numId w:val="0"/>
              </w:numPr>
              <w:spacing w:before="100" w:beforeAutospacing="1" w:after="100" w:afterAutospacing="1"/>
              <w:rPr>
                <w:rFonts w:ascii="Calibri" w:hAnsi="Calibri" w:cs="Calibri"/>
              </w:rPr>
            </w:pP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Roboty rozbiórkowe</w:t>
            </w:r>
          </w:p>
        </w:tc>
        <w:tc>
          <w:tcPr>
            <w:tcW w:w="1265" w:type="dxa"/>
          </w:tcPr>
          <w:p w:rsidR="00656AC1" w:rsidRPr="00203191" w:rsidRDefault="00656AC1" w:rsidP="00E64159">
            <w:pPr>
              <w:numPr>
                <w:ilvl w:val="12"/>
                <w:numId w:val="0"/>
              </w:numPr>
              <w:spacing w:before="100" w:beforeAutospacing="1" w:after="100" w:afterAutospacing="1"/>
              <w:rPr>
                <w:rFonts w:ascii="Calibri" w:hAnsi="Calibri" w:cs="Calibri"/>
              </w:rPr>
            </w:pP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1 raz</w:t>
            </w:r>
          </w:p>
        </w:tc>
        <w:tc>
          <w:tcPr>
            <w:tcW w:w="4175"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Akceptacja nieuszkodzonych materiałów</w:t>
            </w:r>
          </w:p>
        </w:tc>
      </w:tr>
      <w:tr w:rsidR="00656AC1" w:rsidRPr="00203191">
        <w:tc>
          <w:tcPr>
            <w:tcW w:w="496"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3</w:t>
            </w:r>
          </w:p>
        </w:tc>
        <w:tc>
          <w:tcPr>
            <w:tcW w:w="4034"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Szczegółowe rozpoznanie uszkodzenia i decyzja o sposobie naprawy</w:t>
            </w:r>
          </w:p>
        </w:tc>
        <w:tc>
          <w:tcPr>
            <w:tcW w:w="1265"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1 raz</w:t>
            </w:r>
          </w:p>
        </w:tc>
        <w:tc>
          <w:tcPr>
            <w:tcW w:w="4175"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Akceptacja Inżyniera</w:t>
            </w:r>
          </w:p>
        </w:tc>
      </w:tr>
      <w:tr w:rsidR="00656AC1" w:rsidRPr="00203191">
        <w:tc>
          <w:tcPr>
            <w:tcW w:w="496"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4</w:t>
            </w:r>
          </w:p>
        </w:tc>
        <w:tc>
          <w:tcPr>
            <w:tcW w:w="4034"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Położenie studzienki w stosunku do otaczającej nawierzchni</w:t>
            </w:r>
          </w:p>
        </w:tc>
        <w:tc>
          <w:tcPr>
            <w:tcW w:w="1265" w:type="dxa"/>
          </w:tcPr>
          <w:p w:rsidR="00656AC1" w:rsidRPr="00203191" w:rsidRDefault="00656AC1" w:rsidP="00E64159">
            <w:pPr>
              <w:numPr>
                <w:ilvl w:val="12"/>
                <w:numId w:val="0"/>
              </w:numPr>
              <w:spacing w:before="100" w:beforeAutospacing="1" w:after="100" w:afterAutospacing="1"/>
              <w:rPr>
                <w:rFonts w:ascii="Calibri" w:hAnsi="Calibri" w:cs="Calibri"/>
              </w:rPr>
            </w:pP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1 raz</w:t>
            </w:r>
          </w:p>
        </w:tc>
        <w:tc>
          <w:tcPr>
            <w:tcW w:w="4175" w:type="dxa"/>
          </w:tcPr>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Kratka ściekowa ok. 0,5 cm poniżej, właz studzienki - w poziomie nawierzchni</w:t>
            </w:r>
          </w:p>
        </w:tc>
      </w:tr>
    </w:tbl>
    <w:p w:rsidR="00656AC1" w:rsidRPr="00203191" w:rsidRDefault="00656AC1" w:rsidP="00E64159">
      <w:pPr>
        <w:pStyle w:val="Nagwek4"/>
        <w:spacing w:before="100" w:beforeAutospacing="1" w:after="100" w:afterAutospacing="1"/>
        <w:rPr>
          <w:rFonts w:ascii="Calibri" w:hAnsi="Calibri" w:cs="Calibri"/>
        </w:rPr>
      </w:pPr>
      <w:bookmarkStart w:id="539" w:name="_Toc424534471"/>
      <w:bookmarkStart w:id="540" w:name="_Toc46644002"/>
      <w:r w:rsidRPr="00203191">
        <w:rPr>
          <w:rFonts w:ascii="Calibri" w:hAnsi="Calibri" w:cs="Calibri"/>
        </w:rPr>
        <w:t>6.3. Badania wykonanych robót</w:t>
      </w: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Po zakończeniu robót należy sprawdzić wizualnie:</w:t>
      </w:r>
    </w:p>
    <w:p w:rsidR="00656AC1" w:rsidRPr="00203191" w:rsidRDefault="00656AC1" w:rsidP="00973D29">
      <w:pPr>
        <w:numPr>
          <w:ilvl w:val="0"/>
          <w:numId w:val="32"/>
        </w:numPr>
        <w:spacing w:before="100" w:beforeAutospacing="1" w:after="100" w:afterAutospacing="1"/>
        <w:rPr>
          <w:rFonts w:ascii="Calibri" w:hAnsi="Calibri" w:cs="Calibri"/>
        </w:rPr>
      </w:pPr>
      <w:r w:rsidRPr="00203191">
        <w:rPr>
          <w:rFonts w:ascii="Calibri" w:hAnsi="Calibri" w:cs="Calibri"/>
        </w:rPr>
        <w:t>wygląd zewnętrzny wykonanej naprawy w zakresie wyglądu, kształtu, wymiarów, desenia nawierzchni typu kostkowego,</w:t>
      </w:r>
    </w:p>
    <w:p w:rsidR="00656AC1" w:rsidRPr="00203191" w:rsidRDefault="00656AC1" w:rsidP="00973D29">
      <w:pPr>
        <w:numPr>
          <w:ilvl w:val="0"/>
          <w:numId w:val="32"/>
        </w:numPr>
        <w:spacing w:before="100" w:beforeAutospacing="1" w:after="100" w:afterAutospacing="1"/>
        <w:rPr>
          <w:rFonts w:ascii="Calibri" w:hAnsi="Calibri" w:cs="Calibri"/>
        </w:rPr>
      </w:pPr>
      <w:r w:rsidRPr="00203191">
        <w:rPr>
          <w:rFonts w:ascii="Calibri" w:hAnsi="Calibri" w:cs="Calibri"/>
        </w:rPr>
        <w:t>poprawność profilu podłużnego i poprzecznego, nawiązującego do otaczającej nawierzchni i umożliwiającego spływ powierzchniowy wód.</w:t>
      </w:r>
    </w:p>
    <w:p w:rsidR="00656AC1" w:rsidRPr="00203191" w:rsidRDefault="00656AC1" w:rsidP="00E64159">
      <w:pPr>
        <w:pStyle w:val="Nagwek3"/>
        <w:spacing w:before="100" w:beforeAutospacing="1" w:after="100" w:afterAutospacing="1"/>
        <w:rPr>
          <w:rFonts w:ascii="Calibri" w:hAnsi="Calibri" w:cs="Calibri"/>
        </w:rPr>
      </w:pPr>
      <w:bookmarkStart w:id="541" w:name="_Toc51995835"/>
      <w:r w:rsidRPr="00203191">
        <w:rPr>
          <w:rFonts w:ascii="Calibri" w:hAnsi="Calibri" w:cs="Calibri"/>
        </w:rPr>
        <w:lastRenderedPageBreak/>
        <w:t>7. OBMIAR ROBÓT</w:t>
      </w:r>
      <w:bookmarkEnd w:id="539"/>
      <w:bookmarkEnd w:id="540"/>
      <w:bookmarkEnd w:id="541"/>
    </w:p>
    <w:p w:rsidR="000D4846" w:rsidRPr="00203191" w:rsidRDefault="000D4846" w:rsidP="000D4846">
      <w:pPr>
        <w:pStyle w:val="Nagwek4"/>
        <w:rPr>
          <w:rFonts w:asciiTheme="minorHAnsi" w:hAnsiTheme="minorHAnsi"/>
        </w:rPr>
      </w:pPr>
      <w:r w:rsidRPr="00203191">
        <w:rPr>
          <w:rFonts w:asciiTheme="minorHAnsi" w:hAnsiTheme="minorHAnsi"/>
        </w:rPr>
        <w:t>7.1. Ogólne zasady obmiaru robót</w:t>
      </w:r>
    </w:p>
    <w:p w:rsidR="000D4846" w:rsidRPr="00203191" w:rsidRDefault="000D4846" w:rsidP="000D4846">
      <w:pPr>
        <w:numPr>
          <w:ilvl w:val="12"/>
          <w:numId w:val="0"/>
        </w:numPr>
        <w:tabs>
          <w:tab w:val="left" w:pos="-709"/>
        </w:tabs>
        <w:rPr>
          <w:rFonts w:asciiTheme="minorHAnsi" w:hAnsiTheme="minorHAnsi"/>
        </w:rPr>
      </w:pPr>
      <w:r w:rsidRPr="00203191">
        <w:rPr>
          <w:rFonts w:asciiTheme="minorHAnsi" w:hAnsiTheme="minorHAnsi"/>
        </w:rPr>
        <w:t>Ogólne zasady obmiaru robót podano w SSTWiORB D-M-00.00.00 „Wymagania ogólne”  pkt 7.</w:t>
      </w:r>
    </w:p>
    <w:p w:rsidR="000D4846" w:rsidRPr="00203191" w:rsidRDefault="000D4846" w:rsidP="000D4846">
      <w:pPr>
        <w:pStyle w:val="Nagwek4"/>
        <w:rPr>
          <w:rFonts w:asciiTheme="minorHAnsi" w:hAnsiTheme="minorHAnsi"/>
        </w:rPr>
      </w:pPr>
      <w:r w:rsidRPr="00203191">
        <w:rPr>
          <w:rFonts w:asciiTheme="minorHAnsi" w:hAnsiTheme="minorHAnsi"/>
        </w:rPr>
        <w:t>7.2. Jednostka obmiarowa</w:t>
      </w:r>
    </w:p>
    <w:p w:rsidR="000D4846" w:rsidRPr="00203191" w:rsidRDefault="000D4846" w:rsidP="000D4846">
      <w:pPr>
        <w:numPr>
          <w:ilvl w:val="12"/>
          <w:numId w:val="0"/>
        </w:numPr>
        <w:tabs>
          <w:tab w:val="left" w:pos="-709"/>
        </w:tabs>
        <w:rPr>
          <w:rFonts w:asciiTheme="minorHAnsi" w:hAnsiTheme="minorHAnsi"/>
        </w:rPr>
      </w:pPr>
      <w:r w:rsidRPr="00203191">
        <w:rPr>
          <w:rFonts w:asciiTheme="minorHAnsi" w:hAnsiTheme="minorHAnsi"/>
        </w:rPr>
        <w:t>Jednostką obmiarową jest  1 obiekt wykonanej regulowanej studzienki.</w:t>
      </w:r>
    </w:p>
    <w:p w:rsidR="00656AC1" w:rsidRPr="00203191" w:rsidRDefault="00656AC1" w:rsidP="00E64159">
      <w:pPr>
        <w:pStyle w:val="Nagwek3"/>
        <w:spacing w:before="100" w:beforeAutospacing="1" w:after="100" w:afterAutospacing="1"/>
        <w:rPr>
          <w:rFonts w:ascii="Calibri" w:hAnsi="Calibri" w:cs="Calibri"/>
        </w:rPr>
      </w:pPr>
      <w:bookmarkStart w:id="542" w:name="_Toc424534472"/>
      <w:bookmarkStart w:id="543" w:name="_Toc46644003"/>
      <w:bookmarkStart w:id="544" w:name="_Toc51995836"/>
      <w:r w:rsidRPr="00203191">
        <w:rPr>
          <w:rFonts w:ascii="Calibri" w:hAnsi="Calibri" w:cs="Calibri"/>
        </w:rPr>
        <w:t>8. ODBIÓR ROBÓT</w:t>
      </w:r>
      <w:bookmarkEnd w:id="542"/>
      <w:bookmarkEnd w:id="543"/>
      <w:bookmarkEnd w:id="544"/>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8.1. Ogólne zasady odbioru robót</w:t>
      </w:r>
    </w:p>
    <w:p w:rsidR="00656AC1" w:rsidRPr="00203191" w:rsidRDefault="00656AC1" w:rsidP="00E64159">
      <w:pPr>
        <w:numPr>
          <w:ilvl w:val="12"/>
          <w:numId w:val="0"/>
        </w:numPr>
        <w:tabs>
          <w:tab w:val="left" w:pos="-709"/>
        </w:tabs>
        <w:spacing w:before="100" w:beforeAutospacing="1" w:after="100" w:afterAutospacing="1"/>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E64159">
      <w:pPr>
        <w:numPr>
          <w:ilvl w:val="12"/>
          <w:numId w:val="0"/>
        </w:numPr>
        <w:tabs>
          <w:tab w:val="left" w:pos="-709"/>
        </w:tabs>
        <w:spacing w:before="100" w:beforeAutospacing="1" w:after="100" w:afterAutospacing="1"/>
        <w:rPr>
          <w:rFonts w:ascii="Calibri" w:hAnsi="Calibri" w:cs="Calibri"/>
        </w:rPr>
      </w:pPr>
      <w:r w:rsidRPr="00203191">
        <w:rPr>
          <w:rFonts w:ascii="Calibri" w:hAnsi="Calibri" w:cs="Calibri"/>
        </w:rPr>
        <w:t xml:space="preserve">Roboty uznaje się za wykonane zgodnie z dokumentacją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pkt 6 dały wyniki pozytywne.</w:t>
      </w:r>
    </w:p>
    <w:p w:rsidR="00656AC1" w:rsidRPr="00203191" w:rsidRDefault="00656AC1" w:rsidP="00E64159">
      <w:pPr>
        <w:pStyle w:val="Nagwek4"/>
        <w:spacing w:before="100" w:beforeAutospacing="1" w:after="100" w:afterAutospacing="1"/>
        <w:rPr>
          <w:rFonts w:ascii="Calibri" w:hAnsi="Calibri" w:cs="Calibri"/>
        </w:rPr>
      </w:pPr>
      <w:r w:rsidRPr="00203191">
        <w:rPr>
          <w:rFonts w:ascii="Calibri" w:hAnsi="Calibri" w:cs="Calibri"/>
        </w:rPr>
        <w:t>8.2. Odbiór robót zanikających i ulegających zakryciu</w:t>
      </w: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Odbiorowi robót zanikających i ulegających zakryciu podlegają:</w:t>
      </w:r>
    </w:p>
    <w:p w:rsidR="00656AC1" w:rsidRPr="00203191" w:rsidRDefault="00656AC1" w:rsidP="00E64159">
      <w:pPr>
        <w:spacing w:before="100" w:beforeAutospacing="1" w:after="100" w:afterAutospacing="1"/>
        <w:ind w:left="283" w:hanging="283"/>
        <w:rPr>
          <w:rFonts w:ascii="Calibri" w:hAnsi="Calibri" w:cs="Calibri"/>
        </w:rPr>
      </w:pPr>
      <w:r w:rsidRPr="00203191">
        <w:rPr>
          <w:rFonts w:ascii="Calibri" w:hAnsi="Calibri" w:cs="Calibri"/>
        </w:rPr>
        <w:t>roboty rozbiórkowe,</w:t>
      </w:r>
    </w:p>
    <w:p w:rsidR="00656AC1" w:rsidRPr="00203191" w:rsidRDefault="00656AC1" w:rsidP="00E64159">
      <w:pPr>
        <w:spacing w:before="100" w:beforeAutospacing="1" w:after="100" w:afterAutospacing="1"/>
        <w:ind w:left="283" w:hanging="283"/>
        <w:rPr>
          <w:rFonts w:ascii="Calibri" w:hAnsi="Calibri" w:cs="Calibri"/>
        </w:rPr>
      </w:pPr>
      <w:r w:rsidRPr="00203191">
        <w:rPr>
          <w:rFonts w:ascii="Calibri" w:hAnsi="Calibri" w:cs="Calibri"/>
        </w:rPr>
        <w:t>regulacja studzienki.</w:t>
      </w:r>
    </w:p>
    <w:p w:rsidR="00656AC1" w:rsidRPr="00203191" w:rsidRDefault="00656AC1" w:rsidP="00E64159">
      <w:pPr>
        <w:numPr>
          <w:ilvl w:val="12"/>
          <w:numId w:val="0"/>
        </w:numPr>
        <w:spacing w:before="100" w:beforeAutospacing="1" w:after="100" w:afterAutospacing="1"/>
        <w:rPr>
          <w:rFonts w:ascii="Calibri" w:hAnsi="Calibri" w:cs="Calibri"/>
        </w:rPr>
      </w:pPr>
      <w:r w:rsidRPr="00203191">
        <w:rPr>
          <w:rFonts w:ascii="Calibri" w:hAnsi="Calibri" w:cs="Calibri"/>
        </w:rPr>
        <w:t xml:space="preserve">Odbiór tych robót powinien być zgodny z wymaganiami pktu 8.2 </w:t>
      </w:r>
      <w:r w:rsidR="005B48CA">
        <w:rPr>
          <w:rFonts w:ascii="Calibri" w:hAnsi="Calibri" w:cs="Calibri"/>
        </w:rPr>
        <w:t>STWiORB</w:t>
      </w:r>
      <w:r w:rsidRPr="00203191">
        <w:rPr>
          <w:rFonts w:ascii="Calibri" w:hAnsi="Calibri" w:cs="Calibri"/>
        </w:rPr>
        <w:t xml:space="preserve"> D-M-00.00.00 „Wymagania ogólne” oraz niniejszej </w:t>
      </w:r>
      <w:r w:rsidR="005B48CA">
        <w:rPr>
          <w:rFonts w:ascii="Calibri" w:hAnsi="Calibri" w:cs="Calibri"/>
        </w:rPr>
        <w:t>STWiORB</w:t>
      </w:r>
      <w:r w:rsidRPr="00203191">
        <w:rPr>
          <w:rFonts w:ascii="Calibri" w:hAnsi="Calibri" w:cs="Calibri"/>
        </w:rPr>
        <w:t>.</w:t>
      </w:r>
    </w:p>
    <w:p w:rsidR="00656AC1" w:rsidRPr="00203191" w:rsidRDefault="00656AC1" w:rsidP="00E64159">
      <w:pPr>
        <w:pStyle w:val="Nagwek3"/>
        <w:spacing w:before="100" w:beforeAutospacing="1" w:after="100" w:afterAutospacing="1"/>
        <w:rPr>
          <w:rFonts w:ascii="Calibri" w:hAnsi="Calibri" w:cs="Calibri"/>
        </w:rPr>
      </w:pPr>
      <w:bookmarkStart w:id="545" w:name="_Toc424534473"/>
      <w:bookmarkStart w:id="546" w:name="_Toc46644004"/>
      <w:bookmarkStart w:id="547" w:name="_Toc51995837"/>
      <w:r w:rsidRPr="00203191">
        <w:rPr>
          <w:rFonts w:ascii="Calibri" w:hAnsi="Calibri" w:cs="Calibri"/>
        </w:rPr>
        <w:t>9. PODSTAWA PŁATNOŚCI</w:t>
      </w:r>
      <w:bookmarkEnd w:id="545"/>
      <w:bookmarkEnd w:id="546"/>
      <w:bookmarkEnd w:id="547"/>
    </w:p>
    <w:p w:rsidR="000D4846" w:rsidRPr="00203191" w:rsidRDefault="000D4846" w:rsidP="000D4846">
      <w:pPr>
        <w:pStyle w:val="Nagwek4"/>
        <w:rPr>
          <w:rFonts w:asciiTheme="minorHAnsi" w:hAnsiTheme="minorHAnsi"/>
        </w:rPr>
      </w:pPr>
      <w:r w:rsidRPr="00203191">
        <w:rPr>
          <w:rFonts w:asciiTheme="minorHAnsi" w:hAnsiTheme="minorHAnsi"/>
        </w:rPr>
        <w:t>9.1. Ogólne ustalenia dotyczące podstawy płatności</w:t>
      </w:r>
    </w:p>
    <w:p w:rsidR="000D4846" w:rsidRPr="00203191" w:rsidRDefault="000D4846" w:rsidP="000D4846">
      <w:pPr>
        <w:numPr>
          <w:ilvl w:val="12"/>
          <w:numId w:val="0"/>
        </w:numPr>
        <w:tabs>
          <w:tab w:val="left" w:pos="-709"/>
        </w:tabs>
        <w:rPr>
          <w:rFonts w:asciiTheme="minorHAnsi" w:hAnsiTheme="minorHAnsi"/>
        </w:rPr>
      </w:pPr>
      <w:r w:rsidRPr="00203191">
        <w:rPr>
          <w:rFonts w:asciiTheme="minorHAnsi" w:hAnsiTheme="minorHAnsi"/>
        </w:rPr>
        <w:t>Ogólne  ustalenia  dotyczące  podstawy  płatności  podano   w  SSTWiORB D-M-00.00.00  „Wymagania ogólne” pkt 9.</w:t>
      </w:r>
    </w:p>
    <w:p w:rsidR="000D4846" w:rsidRPr="00203191" w:rsidRDefault="000D4846" w:rsidP="000D4846">
      <w:pPr>
        <w:pStyle w:val="Nagwek4"/>
        <w:rPr>
          <w:rFonts w:asciiTheme="minorHAnsi" w:hAnsiTheme="minorHAnsi"/>
        </w:rPr>
      </w:pPr>
      <w:r w:rsidRPr="00203191">
        <w:rPr>
          <w:rFonts w:asciiTheme="minorHAnsi" w:hAnsiTheme="minorHAnsi"/>
        </w:rPr>
        <w:t>9.2. Cena jednostki obmiarowej</w:t>
      </w:r>
    </w:p>
    <w:p w:rsidR="000D4846" w:rsidRPr="00203191" w:rsidRDefault="000D4846" w:rsidP="000D4846">
      <w:pPr>
        <w:numPr>
          <w:ilvl w:val="12"/>
          <w:numId w:val="0"/>
        </w:numPr>
        <w:tabs>
          <w:tab w:val="left" w:pos="-709"/>
        </w:tabs>
        <w:rPr>
          <w:rFonts w:asciiTheme="minorHAnsi" w:hAnsiTheme="minorHAnsi"/>
        </w:rPr>
      </w:pPr>
      <w:r w:rsidRPr="00203191">
        <w:rPr>
          <w:rFonts w:asciiTheme="minorHAnsi" w:hAnsiTheme="minorHAnsi"/>
        </w:rPr>
        <w:t>Cena wykonania regulacji pionowej studzienki obejmuje:</w:t>
      </w:r>
    </w:p>
    <w:p w:rsidR="000D4846" w:rsidRPr="00203191" w:rsidRDefault="000D4846" w:rsidP="000D4846">
      <w:pPr>
        <w:numPr>
          <w:ilvl w:val="0"/>
          <w:numId w:val="38"/>
        </w:numPr>
        <w:tabs>
          <w:tab w:val="left" w:pos="-709"/>
        </w:tabs>
        <w:rPr>
          <w:rFonts w:asciiTheme="minorHAnsi" w:hAnsiTheme="minorHAnsi"/>
        </w:rPr>
      </w:pPr>
      <w:r w:rsidRPr="00203191">
        <w:rPr>
          <w:rFonts w:asciiTheme="minorHAnsi" w:hAnsiTheme="minorHAnsi"/>
        </w:rPr>
        <w:t>prace pomiarowe i roboty przygotowawcze,</w:t>
      </w:r>
    </w:p>
    <w:p w:rsidR="000D4846" w:rsidRPr="00203191" w:rsidRDefault="000D4846" w:rsidP="000D4846">
      <w:pPr>
        <w:numPr>
          <w:ilvl w:val="0"/>
          <w:numId w:val="38"/>
        </w:numPr>
        <w:tabs>
          <w:tab w:val="left" w:pos="-709"/>
        </w:tabs>
        <w:rPr>
          <w:rFonts w:asciiTheme="minorHAnsi" w:hAnsiTheme="minorHAnsi"/>
        </w:rPr>
      </w:pPr>
      <w:r w:rsidRPr="00203191">
        <w:rPr>
          <w:rFonts w:asciiTheme="minorHAnsi" w:hAnsiTheme="minorHAnsi"/>
        </w:rPr>
        <w:t>oznakowanie robót,</w:t>
      </w:r>
    </w:p>
    <w:p w:rsidR="000D4846" w:rsidRPr="00203191" w:rsidRDefault="000D4846" w:rsidP="000D4846">
      <w:pPr>
        <w:numPr>
          <w:ilvl w:val="0"/>
          <w:numId w:val="38"/>
        </w:numPr>
        <w:tabs>
          <w:tab w:val="left" w:pos="-709"/>
        </w:tabs>
        <w:rPr>
          <w:rFonts w:asciiTheme="minorHAnsi" w:hAnsiTheme="minorHAnsi"/>
        </w:rPr>
      </w:pPr>
      <w:r w:rsidRPr="00203191">
        <w:rPr>
          <w:rFonts w:asciiTheme="minorHAnsi" w:hAnsiTheme="minorHAnsi"/>
        </w:rPr>
        <w:t>roboty rozbiórkowe,</w:t>
      </w:r>
    </w:p>
    <w:p w:rsidR="000D4846" w:rsidRPr="00203191" w:rsidRDefault="000D4846" w:rsidP="000D4846">
      <w:pPr>
        <w:numPr>
          <w:ilvl w:val="0"/>
          <w:numId w:val="38"/>
        </w:numPr>
        <w:tabs>
          <w:tab w:val="left" w:pos="-709"/>
        </w:tabs>
        <w:rPr>
          <w:rFonts w:asciiTheme="minorHAnsi" w:hAnsiTheme="minorHAnsi"/>
          <w:szCs w:val="24"/>
        </w:rPr>
      </w:pPr>
      <w:r w:rsidRPr="00203191">
        <w:rPr>
          <w:rFonts w:asciiTheme="minorHAnsi" w:hAnsiTheme="minorHAnsi"/>
          <w:szCs w:val="24"/>
        </w:rPr>
        <w:t>dostarczenie materiałów i sprzętu,</w:t>
      </w:r>
    </w:p>
    <w:p w:rsidR="000D4846" w:rsidRPr="00203191" w:rsidRDefault="000D4846" w:rsidP="000D4846">
      <w:pPr>
        <w:numPr>
          <w:ilvl w:val="0"/>
          <w:numId w:val="38"/>
        </w:numPr>
        <w:tabs>
          <w:tab w:val="left" w:pos="-709"/>
        </w:tabs>
        <w:rPr>
          <w:rFonts w:asciiTheme="minorHAnsi" w:hAnsiTheme="minorHAnsi"/>
          <w:szCs w:val="24"/>
        </w:rPr>
      </w:pPr>
      <w:r w:rsidRPr="00203191">
        <w:rPr>
          <w:rFonts w:asciiTheme="minorHAnsi" w:hAnsiTheme="minorHAnsi"/>
          <w:szCs w:val="24"/>
        </w:rPr>
        <w:t>wykonanie regulacji studzienki,</w:t>
      </w:r>
    </w:p>
    <w:p w:rsidR="000D4846" w:rsidRPr="00203191" w:rsidRDefault="000D4846" w:rsidP="000D4846">
      <w:pPr>
        <w:numPr>
          <w:ilvl w:val="0"/>
          <w:numId w:val="38"/>
        </w:numPr>
        <w:tabs>
          <w:tab w:val="left" w:pos="-709"/>
        </w:tabs>
        <w:rPr>
          <w:rFonts w:asciiTheme="minorHAnsi" w:hAnsiTheme="minorHAnsi"/>
          <w:szCs w:val="24"/>
        </w:rPr>
      </w:pPr>
      <w:r w:rsidRPr="00203191">
        <w:rPr>
          <w:rFonts w:asciiTheme="minorHAnsi" w:hAnsiTheme="minorHAnsi"/>
          <w:szCs w:val="24"/>
        </w:rPr>
        <w:t>ułożenie nawierzchni,</w:t>
      </w:r>
    </w:p>
    <w:p w:rsidR="000D4846" w:rsidRPr="00203191" w:rsidRDefault="000D4846" w:rsidP="000D4846">
      <w:pPr>
        <w:numPr>
          <w:ilvl w:val="0"/>
          <w:numId w:val="38"/>
        </w:numPr>
        <w:tabs>
          <w:tab w:val="left" w:pos="-709"/>
        </w:tabs>
        <w:rPr>
          <w:rFonts w:asciiTheme="minorHAnsi" w:hAnsiTheme="minorHAnsi"/>
          <w:szCs w:val="24"/>
        </w:rPr>
      </w:pPr>
      <w:r w:rsidRPr="00203191">
        <w:rPr>
          <w:rFonts w:asciiTheme="minorHAnsi" w:hAnsiTheme="minorHAnsi"/>
          <w:szCs w:val="24"/>
        </w:rPr>
        <w:t>odwiezienie nieprzydatnych materiałów rozbiórkowych na składowisko,</w:t>
      </w:r>
    </w:p>
    <w:p w:rsidR="000D4846" w:rsidRPr="00203191" w:rsidRDefault="000D4846" w:rsidP="000D4846">
      <w:pPr>
        <w:numPr>
          <w:ilvl w:val="0"/>
          <w:numId w:val="38"/>
        </w:numPr>
        <w:tabs>
          <w:tab w:val="left" w:pos="-709"/>
        </w:tabs>
        <w:ind w:left="284" w:hanging="284"/>
        <w:rPr>
          <w:rFonts w:asciiTheme="minorHAnsi" w:hAnsiTheme="minorHAnsi"/>
          <w:szCs w:val="24"/>
        </w:rPr>
      </w:pPr>
      <w:r w:rsidRPr="00203191">
        <w:rPr>
          <w:rFonts w:asciiTheme="minorHAnsi" w:hAnsiTheme="minorHAnsi"/>
          <w:szCs w:val="24"/>
        </w:rPr>
        <w:t>przeprowadzenie pomiarów i badań wymaganych w niniejszej specyfikacji technicznej,</w:t>
      </w:r>
    </w:p>
    <w:p w:rsidR="000D4846" w:rsidRPr="00203191" w:rsidRDefault="000D4846" w:rsidP="000D4846">
      <w:pPr>
        <w:numPr>
          <w:ilvl w:val="0"/>
          <w:numId w:val="38"/>
        </w:numPr>
        <w:tabs>
          <w:tab w:val="left" w:pos="-709"/>
        </w:tabs>
        <w:ind w:left="284" w:hanging="284"/>
        <w:rPr>
          <w:rFonts w:asciiTheme="minorHAnsi" w:hAnsiTheme="minorHAnsi"/>
          <w:szCs w:val="24"/>
        </w:rPr>
      </w:pPr>
      <w:r w:rsidRPr="00203191">
        <w:rPr>
          <w:rFonts w:asciiTheme="minorHAnsi" w:hAnsiTheme="minorHAnsi"/>
          <w:szCs w:val="24"/>
        </w:rPr>
        <w:t>odwiezienie sprzętu.</w:t>
      </w:r>
    </w:p>
    <w:p w:rsidR="00656AC1" w:rsidRPr="00203191" w:rsidRDefault="00656AC1" w:rsidP="00E64159">
      <w:pPr>
        <w:pStyle w:val="Nagwek3"/>
        <w:spacing w:before="100" w:beforeAutospacing="1" w:after="100" w:afterAutospacing="1"/>
        <w:rPr>
          <w:rFonts w:ascii="Calibri" w:hAnsi="Calibri" w:cs="Calibri"/>
        </w:rPr>
      </w:pPr>
      <w:bookmarkStart w:id="548" w:name="_Toc424534474"/>
      <w:bookmarkStart w:id="549" w:name="_Toc46644005"/>
      <w:bookmarkStart w:id="550" w:name="_Toc51995838"/>
      <w:r w:rsidRPr="00203191">
        <w:rPr>
          <w:rFonts w:ascii="Calibri" w:hAnsi="Calibri" w:cs="Calibri"/>
        </w:rPr>
        <w:t>10. PRZEPISY ZWIĄZANE</w:t>
      </w:r>
      <w:bookmarkEnd w:id="548"/>
      <w:bookmarkEnd w:id="549"/>
      <w:bookmarkEnd w:id="550"/>
    </w:p>
    <w:p w:rsidR="00656AC1" w:rsidRPr="00203191" w:rsidRDefault="00656AC1" w:rsidP="00E64159">
      <w:pPr>
        <w:spacing w:before="100" w:beforeAutospacing="1" w:after="100" w:afterAutospacing="1"/>
        <w:rPr>
          <w:rFonts w:ascii="Calibri" w:hAnsi="Calibri" w:cs="Calibri"/>
        </w:rPr>
      </w:pPr>
      <w:r w:rsidRPr="00203191">
        <w:rPr>
          <w:rFonts w:ascii="Calibri" w:hAnsi="Calibri" w:cs="Calibri"/>
        </w:rPr>
        <w:t>Nie występują</w:t>
      </w:r>
    </w:p>
    <w:p w:rsidR="00656AC1" w:rsidRPr="007467DC" w:rsidRDefault="005B48CA" w:rsidP="007467DC">
      <w:pPr>
        <w:pStyle w:val="Nagwek2"/>
      </w:pPr>
      <w:r w:rsidRPr="007467DC">
        <w:lastRenderedPageBreak/>
        <w:t>SPECYFIKACJE TECHNICZNE</w:t>
      </w:r>
      <w:r w:rsidR="00E22F37" w:rsidRPr="007467DC">
        <w:t xml:space="preserve"> WYKONANIA I ODBIORU ROBÓT BUDOWLANYCH</w:t>
      </w:r>
    </w:p>
    <w:p w:rsidR="00656AC1" w:rsidRPr="007467DC" w:rsidRDefault="00656AC1" w:rsidP="007467DC">
      <w:pPr>
        <w:pStyle w:val="Nagwek1"/>
      </w:pPr>
      <w:bookmarkStart w:id="551" w:name="_Toc352837486"/>
      <w:bookmarkStart w:id="552" w:name="_Toc427178271"/>
      <w:bookmarkStart w:id="553" w:name="_Toc459929670"/>
      <w:r w:rsidRPr="007467DC">
        <w:t>D-04.01.01 KORYTO WRAZ Z PROFILOWANIEM I ZAGĘSZCZANIEM PODŁOŻA</w:t>
      </w:r>
      <w:bookmarkEnd w:id="551"/>
      <w:bookmarkEnd w:id="552"/>
      <w:bookmarkEnd w:id="553"/>
    </w:p>
    <w:p w:rsidR="00656AC1" w:rsidRPr="00203191" w:rsidRDefault="00656AC1" w:rsidP="00364E4D">
      <w:pPr>
        <w:pStyle w:val="Nagwek3"/>
        <w:rPr>
          <w:rFonts w:ascii="Calibri" w:hAnsi="Calibri" w:cs="Calibri"/>
        </w:rPr>
      </w:pPr>
      <w:r w:rsidRPr="00203191">
        <w:rPr>
          <w:rFonts w:ascii="Calibri" w:hAnsi="Calibri" w:cs="Calibri"/>
        </w:rPr>
        <w:t>1. WSTĘP</w:t>
      </w:r>
    </w:p>
    <w:p w:rsidR="00656AC1" w:rsidRPr="00203191" w:rsidRDefault="00656AC1" w:rsidP="00364E4D">
      <w:pPr>
        <w:pStyle w:val="Nagwek4"/>
        <w:rPr>
          <w:rFonts w:ascii="Calibri" w:hAnsi="Calibri" w:cs="Calibri"/>
        </w:rPr>
      </w:pPr>
      <w:bookmarkStart w:id="554" w:name="_Toc405704473"/>
      <w:bookmarkStart w:id="555" w:name="_Toc406913835"/>
      <w:bookmarkStart w:id="556" w:name="_Toc406914080"/>
      <w:bookmarkStart w:id="557" w:name="_Toc406914738"/>
      <w:bookmarkStart w:id="558" w:name="_Toc406915316"/>
      <w:bookmarkStart w:id="559" w:name="_Toc406984009"/>
      <w:bookmarkStart w:id="560" w:name="_Toc406984156"/>
      <w:bookmarkStart w:id="561" w:name="_Toc406984347"/>
      <w:bookmarkStart w:id="562" w:name="_Toc407069555"/>
      <w:bookmarkStart w:id="563" w:name="_Toc407081520"/>
      <w:bookmarkStart w:id="564" w:name="_Toc407083319"/>
      <w:bookmarkStart w:id="565" w:name="_Toc407084153"/>
      <w:bookmarkStart w:id="566" w:name="_Toc407085272"/>
      <w:bookmarkStart w:id="567" w:name="_Toc407085415"/>
      <w:bookmarkStart w:id="568" w:name="_Toc407085558"/>
      <w:bookmarkStart w:id="569" w:name="_Toc407086006"/>
      <w:r w:rsidRPr="00203191">
        <w:rPr>
          <w:rFonts w:ascii="Calibri" w:hAnsi="Calibri" w:cs="Calibri"/>
        </w:rPr>
        <w:t xml:space="preserve">1.1. Przedmiot </w:t>
      </w:r>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r w:rsidR="005B48CA">
        <w:rPr>
          <w:rFonts w:ascii="Calibri" w:hAnsi="Calibri" w:cs="Calibri"/>
        </w:rPr>
        <w:t>STWiORB</w:t>
      </w:r>
    </w:p>
    <w:p w:rsidR="00656AC1" w:rsidRPr="00203191" w:rsidRDefault="00656AC1" w:rsidP="00364E4D">
      <w:pPr>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są wymagania dotyczące wykonania i odbioru robót związanych z wykonywaniem koryta wraz z profilowaniem i zagęszczaniem podłoża gruntowego.</w:t>
      </w:r>
    </w:p>
    <w:p w:rsidR="00656AC1" w:rsidRPr="00203191" w:rsidRDefault="00656AC1" w:rsidP="00364E4D">
      <w:pPr>
        <w:pStyle w:val="Nagwek4"/>
        <w:rPr>
          <w:rFonts w:ascii="Calibri" w:hAnsi="Calibri" w:cs="Calibri"/>
        </w:rPr>
      </w:pPr>
      <w:bookmarkStart w:id="570" w:name="_Toc405704474"/>
      <w:bookmarkStart w:id="571" w:name="_Toc406913836"/>
      <w:bookmarkStart w:id="572" w:name="_Toc406914081"/>
      <w:bookmarkStart w:id="573" w:name="_Toc406914739"/>
      <w:bookmarkStart w:id="574" w:name="_Toc406915317"/>
      <w:bookmarkStart w:id="575" w:name="_Toc406984010"/>
      <w:bookmarkStart w:id="576" w:name="_Toc406984157"/>
      <w:bookmarkStart w:id="577" w:name="_Toc406984348"/>
      <w:bookmarkStart w:id="578" w:name="_Toc407069556"/>
      <w:bookmarkStart w:id="579" w:name="_Toc407081521"/>
      <w:bookmarkStart w:id="580" w:name="_Toc407083320"/>
      <w:bookmarkStart w:id="581" w:name="_Toc407084154"/>
      <w:bookmarkStart w:id="582" w:name="_Toc407085273"/>
      <w:bookmarkStart w:id="583" w:name="_Toc407085416"/>
      <w:bookmarkStart w:id="584" w:name="_Toc407085559"/>
      <w:bookmarkStart w:id="585" w:name="_Toc407086007"/>
      <w:r w:rsidRPr="00203191">
        <w:rPr>
          <w:rFonts w:ascii="Calibri" w:hAnsi="Calibri" w:cs="Calibri"/>
        </w:rPr>
        <w:t xml:space="preserve">1.2. Zakres stosowania </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r w:rsidR="005B48CA">
        <w:rPr>
          <w:rFonts w:ascii="Calibri" w:hAnsi="Calibri" w:cs="Calibri"/>
        </w:rPr>
        <w:t>STWiORB</w:t>
      </w:r>
    </w:p>
    <w:p w:rsidR="00656AC1" w:rsidRPr="00203191" w:rsidRDefault="00FE60E3" w:rsidP="008B786E">
      <w:pPr>
        <w:rPr>
          <w:rFonts w:ascii="Calibri" w:hAnsi="Calibri" w:cs="Calibri"/>
        </w:rPr>
      </w:pPr>
      <w:bookmarkStart w:id="586" w:name="_Toc405704475"/>
      <w:bookmarkStart w:id="587" w:name="_Toc406913837"/>
      <w:bookmarkStart w:id="588" w:name="_Toc406914082"/>
      <w:bookmarkStart w:id="589" w:name="_Toc406914740"/>
      <w:bookmarkStart w:id="590" w:name="_Toc406915318"/>
      <w:bookmarkStart w:id="591" w:name="_Toc406984011"/>
      <w:bookmarkStart w:id="592" w:name="_Toc406984158"/>
      <w:bookmarkStart w:id="593" w:name="_Toc406984349"/>
      <w:bookmarkStart w:id="594" w:name="_Toc407069557"/>
      <w:bookmarkStart w:id="595" w:name="_Toc407081522"/>
      <w:bookmarkStart w:id="596" w:name="_Toc407083321"/>
      <w:bookmarkStart w:id="597" w:name="_Toc407084155"/>
      <w:bookmarkStart w:id="598" w:name="_Toc407085274"/>
      <w:bookmarkStart w:id="599" w:name="_Toc407085417"/>
      <w:bookmarkStart w:id="600" w:name="_Toc407085560"/>
      <w:bookmarkStart w:id="601" w:name="_Toc407086008"/>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r w:rsidR="005B48CA">
        <w:rPr>
          <w:rFonts w:ascii="Calibri" w:hAnsi="Calibri" w:cs="Calibri"/>
        </w:rPr>
        <w:t>STWiORB</w:t>
      </w:r>
    </w:p>
    <w:p w:rsidR="00656AC1" w:rsidRPr="00203191" w:rsidRDefault="00656AC1" w:rsidP="00364E4D">
      <w:pPr>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dotyczą zasad prowadzenia robót związanych z wykonaniem koryta przeznaczonego do ułożenia konstrukcji nawierzchni. </w:t>
      </w:r>
    </w:p>
    <w:p w:rsidR="00656AC1" w:rsidRPr="00203191" w:rsidRDefault="00656AC1" w:rsidP="00364E4D">
      <w:pPr>
        <w:pStyle w:val="Nagwek4"/>
        <w:rPr>
          <w:rFonts w:ascii="Calibri" w:hAnsi="Calibri" w:cs="Calibri"/>
        </w:rPr>
      </w:pPr>
      <w:bookmarkStart w:id="602" w:name="_Toc405704476"/>
      <w:bookmarkStart w:id="603" w:name="_Toc406913838"/>
      <w:bookmarkStart w:id="604" w:name="_Toc406914083"/>
      <w:bookmarkStart w:id="605" w:name="_Toc406914741"/>
      <w:bookmarkStart w:id="606" w:name="_Toc406915319"/>
      <w:bookmarkStart w:id="607" w:name="_Toc406984012"/>
      <w:bookmarkStart w:id="608" w:name="_Toc406984159"/>
      <w:bookmarkStart w:id="609" w:name="_Toc406984350"/>
      <w:bookmarkStart w:id="610" w:name="_Toc407069558"/>
      <w:bookmarkStart w:id="611" w:name="_Toc407081523"/>
      <w:bookmarkStart w:id="612" w:name="_Toc407083322"/>
      <w:bookmarkStart w:id="613" w:name="_Toc407084156"/>
      <w:bookmarkStart w:id="614" w:name="_Toc407085275"/>
      <w:bookmarkStart w:id="615" w:name="_Toc407085418"/>
      <w:bookmarkStart w:id="616" w:name="_Toc407085561"/>
      <w:bookmarkStart w:id="617" w:name="_Toc407086009"/>
      <w:r w:rsidRPr="00203191">
        <w:rPr>
          <w:rFonts w:ascii="Calibri" w:hAnsi="Calibri" w:cs="Calibri"/>
        </w:rPr>
        <w:t>1.4. Określenia podstawowe</w:t>
      </w:r>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rsidR="00656AC1" w:rsidRPr="00203191" w:rsidRDefault="00656AC1" w:rsidP="00364E4D">
      <w:pPr>
        <w:rPr>
          <w:rFonts w:ascii="Calibri" w:hAnsi="Calibri" w:cs="Calibri"/>
        </w:rPr>
      </w:pPr>
      <w:r w:rsidRPr="00203191">
        <w:rPr>
          <w:rFonts w:ascii="Calibri" w:hAnsi="Calibri" w:cs="Calibri"/>
        </w:rPr>
        <w:t xml:space="preserve">Określenia podstawowe są zgodne z obowiązującymi, odpowiednimi polskimi normami i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203191" w:rsidRDefault="00656AC1" w:rsidP="00364E4D">
      <w:pPr>
        <w:pStyle w:val="Nagwek4"/>
        <w:rPr>
          <w:rFonts w:ascii="Calibri" w:hAnsi="Calibri" w:cs="Calibri"/>
        </w:rPr>
      </w:pPr>
      <w:bookmarkStart w:id="618" w:name="_Toc405704477"/>
      <w:bookmarkStart w:id="619" w:name="_Toc406913839"/>
      <w:bookmarkStart w:id="620" w:name="_Toc406914084"/>
      <w:bookmarkStart w:id="621" w:name="_Toc406914742"/>
      <w:bookmarkStart w:id="622" w:name="_Toc406915320"/>
      <w:bookmarkStart w:id="623" w:name="_Toc406984013"/>
      <w:bookmarkStart w:id="624" w:name="_Toc406984160"/>
      <w:bookmarkStart w:id="625" w:name="_Toc406984351"/>
      <w:bookmarkStart w:id="626" w:name="_Toc407069559"/>
      <w:bookmarkStart w:id="627" w:name="_Toc407081524"/>
      <w:bookmarkStart w:id="628" w:name="_Toc407083323"/>
      <w:bookmarkStart w:id="629" w:name="_Toc407084157"/>
      <w:bookmarkStart w:id="630" w:name="_Toc407085276"/>
      <w:bookmarkStart w:id="631" w:name="_Toc407085419"/>
      <w:bookmarkStart w:id="632" w:name="_Toc407085562"/>
      <w:bookmarkStart w:id="633" w:name="_Toc407086010"/>
      <w:r w:rsidRPr="00203191">
        <w:rPr>
          <w:rFonts w:ascii="Calibri" w:hAnsi="Calibri" w:cs="Calibri"/>
        </w:rPr>
        <w:t>1.5. Ogólne wymagania dotyczące robót</w:t>
      </w:r>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rsidR="00656AC1" w:rsidRPr="00203191" w:rsidRDefault="00656AC1" w:rsidP="00364E4D">
      <w:pPr>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364E4D">
      <w:pPr>
        <w:pStyle w:val="Nagwek3"/>
        <w:rPr>
          <w:rFonts w:ascii="Calibri" w:hAnsi="Calibri" w:cs="Calibri"/>
        </w:rPr>
      </w:pPr>
      <w:bookmarkStart w:id="634" w:name="_Toc406913840"/>
      <w:bookmarkStart w:id="635" w:name="_Toc406914085"/>
      <w:bookmarkStart w:id="636" w:name="_Toc406914743"/>
      <w:bookmarkStart w:id="637" w:name="_Toc406915321"/>
      <w:bookmarkStart w:id="638" w:name="_Toc406984014"/>
      <w:bookmarkStart w:id="639" w:name="_Toc406984161"/>
      <w:bookmarkStart w:id="640" w:name="_Toc406984352"/>
      <w:bookmarkStart w:id="641" w:name="_Toc407069560"/>
      <w:bookmarkStart w:id="642" w:name="_Toc407081525"/>
      <w:bookmarkStart w:id="643" w:name="_Toc407083324"/>
      <w:bookmarkStart w:id="644" w:name="_Toc407084158"/>
      <w:bookmarkStart w:id="645" w:name="_Toc407085277"/>
      <w:bookmarkStart w:id="646" w:name="_Toc407085420"/>
      <w:bookmarkStart w:id="647" w:name="_Toc407085563"/>
      <w:bookmarkStart w:id="648" w:name="_Toc407086011"/>
      <w:r w:rsidRPr="00203191">
        <w:rPr>
          <w:rFonts w:ascii="Calibri" w:hAnsi="Calibri" w:cs="Calibri"/>
        </w:rPr>
        <w:t xml:space="preserve">2. </w:t>
      </w:r>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r w:rsidR="00764F74">
        <w:rPr>
          <w:rFonts w:ascii="Calibri" w:hAnsi="Calibri" w:cs="Calibri"/>
        </w:rPr>
        <w:t>MATERIAŁY (GRUNTY)</w:t>
      </w:r>
    </w:p>
    <w:p w:rsidR="00656AC1" w:rsidRPr="00203191" w:rsidRDefault="00656AC1" w:rsidP="00364E4D">
      <w:pPr>
        <w:pStyle w:val="Nagwek4"/>
        <w:rPr>
          <w:rFonts w:ascii="Calibri" w:hAnsi="Calibri" w:cs="Calibri"/>
        </w:rPr>
      </w:pPr>
      <w:r w:rsidRPr="00203191">
        <w:rPr>
          <w:rFonts w:ascii="Calibri" w:hAnsi="Calibri" w:cs="Calibri"/>
        </w:rPr>
        <w:t>2.1. Ogólne wymagania dotyczące materiałów</w:t>
      </w:r>
    </w:p>
    <w:p w:rsidR="00656AC1" w:rsidRPr="00203191" w:rsidRDefault="00656AC1" w:rsidP="00364E4D">
      <w:pPr>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364E4D">
      <w:pPr>
        <w:pStyle w:val="Nagwek4"/>
        <w:rPr>
          <w:rFonts w:ascii="Calibri" w:hAnsi="Calibri" w:cs="Calibri"/>
        </w:rPr>
      </w:pPr>
      <w:r w:rsidRPr="00203191">
        <w:rPr>
          <w:rFonts w:ascii="Calibri" w:hAnsi="Calibri" w:cs="Calibri"/>
        </w:rPr>
        <w:t>2.2. Grunt nasypowy</w:t>
      </w:r>
    </w:p>
    <w:p w:rsidR="00656AC1" w:rsidRPr="00203191" w:rsidRDefault="00656AC1" w:rsidP="00364E4D">
      <w:pPr>
        <w:pStyle w:val="Nagwek7"/>
        <w:rPr>
          <w:rFonts w:ascii="Calibri" w:hAnsi="Calibri" w:cs="Calibri"/>
        </w:rPr>
      </w:pPr>
      <w:r>
        <w:rPr>
          <w:rFonts w:ascii="Calibri" w:hAnsi="Calibri" w:cs="Calibri"/>
        </w:rPr>
        <w:t xml:space="preserve">Nie przewiduje się wykonania nasypu, podczas wykonania koryta będą prowadzone prace polegające na wykopie. Wyrównanie podłoża należy wykonać gruntem niespoistym o Wskaźniku Piaskowym WP&gt;25.  </w:t>
      </w:r>
    </w:p>
    <w:p w:rsidR="00656AC1" w:rsidRPr="00203191" w:rsidRDefault="00656AC1" w:rsidP="00364E4D">
      <w:pPr>
        <w:pStyle w:val="Nagwek3"/>
        <w:rPr>
          <w:rFonts w:ascii="Calibri" w:hAnsi="Calibri" w:cs="Calibri"/>
        </w:rPr>
      </w:pPr>
      <w:bookmarkStart w:id="649" w:name="_Toc406913841"/>
      <w:bookmarkStart w:id="650" w:name="_Toc406914086"/>
      <w:bookmarkStart w:id="651" w:name="_Toc406914744"/>
      <w:bookmarkStart w:id="652" w:name="_Toc406915322"/>
      <w:bookmarkStart w:id="653" w:name="_Toc406984015"/>
      <w:bookmarkStart w:id="654" w:name="_Toc406984162"/>
      <w:bookmarkStart w:id="655" w:name="_Toc406984353"/>
      <w:bookmarkStart w:id="656" w:name="_Toc407069561"/>
      <w:bookmarkStart w:id="657" w:name="_Toc407081526"/>
      <w:bookmarkStart w:id="658" w:name="_Toc407083325"/>
      <w:bookmarkStart w:id="659" w:name="_Toc407084159"/>
      <w:bookmarkStart w:id="660" w:name="_Toc407085278"/>
      <w:bookmarkStart w:id="661" w:name="_Toc407085421"/>
      <w:bookmarkStart w:id="662" w:name="_Toc407085564"/>
      <w:bookmarkStart w:id="663" w:name="_Toc407086012"/>
      <w:r w:rsidRPr="00203191">
        <w:rPr>
          <w:rFonts w:ascii="Calibri" w:hAnsi="Calibri" w:cs="Calibri"/>
        </w:rPr>
        <w:t>3. SPRZĘT</w:t>
      </w:r>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p>
    <w:p w:rsidR="00656AC1" w:rsidRPr="00203191" w:rsidRDefault="00656AC1" w:rsidP="00364E4D">
      <w:pPr>
        <w:pStyle w:val="Nagwek4"/>
        <w:rPr>
          <w:rFonts w:ascii="Calibri" w:hAnsi="Calibri" w:cs="Calibri"/>
        </w:rPr>
      </w:pPr>
      <w:bookmarkStart w:id="664" w:name="_Toc406913842"/>
      <w:bookmarkStart w:id="665" w:name="_Toc406914087"/>
      <w:bookmarkStart w:id="666" w:name="_Toc406914745"/>
      <w:bookmarkStart w:id="667" w:name="_Toc406915323"/>
      <w:bookmarkStart w:id="668" w:name="_Toc406984016"/>
      <w:bookmarkStart w:id="669" w:name="_Toc406984163"/>
      <w:bookmarkStart w:id="670" w:name="_Toc406984354"/>
      <w:bookmarkStart w:id="671" w:name="_Toc407069562"/>
      <w:bookmarkStart w:id="672" w:name="_Toc407081527"/>
      <w:bookmarkStart w:id="673" w:name="_Toc407083326"/>
      <w:bookmarkStart w:id="674" w:name="_Toc407084160"/>
      <w:bookmarkStart w:id="675" w:name="_Toc407085279"/>
      <w:bookmarkStart w:id="676" w:name="_Toc407085422"/>
      <w:bookmarkStart w:id="677" w:name="_Toc407085565"/>
      <w:bookmarkStart w:id="678" w:name="_Toc407086013"/>
      <w:r w:rsidRPr="00203191">
        <w:rPr>
          <w:rFonts w:ascii="Calibri" w:hAnsi="Calibri" w:cs="Calibri"/>
        </w:rPr>
        <w:t>3.1. Ogólne wymagania dotyczące sprzętu</w:t>
      </w:r>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p>
    <w:p w:rsidR="00656AC1" w:rsidRPr="00203191" w:rsidRDefault="00656AC1" w:rsidP="00364E4D">
      <w:pPr>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rPr>
          <w:rFonts w:ascii="Calibri" w:hAnsi="Calibri" w:cs="Calibri"/>
        </w:rPr>
      </w:pPr>
      <w:bookmarkStart w:id="679" w:name="_Toc406913843"/>
      <w:bookmarkStart w:id="680" w:name="_Toc406914088"/>
      <w:bookmarkStart w:id="681" w:name="_Toc406914746"/>
      <w:bookmarkStart w:id="682" w:name="_Toc406915324"/>
      <w:bookmarkStart w:id="683" w:name="_Toc406984017"/>
      <w:bookmarkStart w:id="684" w:name="_Toc406984164"/>
      <w:bookmarkStart w:id="685" w:name="_Toc406984355"/>
      <w:bookmarkStart w:id="686" w:name="_Toc407069563"/>
      <w:bookmarkStart w:id="687" w:name="_Toc407081528"/>
      <w:bookmarkStart w:id="688" w:name="_Toc407083327"/>
      <w:bookmarkStart w:id="689" w:name="_Toc407084161"/>
      <w:bookmarkStart w:id="690" w:name="_Toc407085280"/>
      <w:bookmarkStart w:id="691" w:name="_Toc407085423"/>
      <w:bookmarkStart w:id="692" w:name="_Toc407085566"/>
      <w:bookmarkStart w:id="693" w:name="_Toc407086014"/>
      <w:r w:rsidRPr="00203191">
        <w:rPr>
          <w:rFonts w:ascii="Calibri" w:hAnsi="Calibri" w:cs="Calibri"/>
        </w:rPr>
        <w:t>3.2. Sprzęt do wykonania robót</w:t>
      </w:r>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p>
    <w:p w:rsidR="00656AC1" w:rsidRPr="00203191" w:rsidRDefault="00656AC1" w:rsidP="00364E4D">
      <w:pPr>
        <w:rPr>
          <w:rFonts w:ascii="Calibri" w:hAnsi="Calibri" w:cs="Calibri"/>
        </w:rPr>
      </w:pPr>
      <w:r w:rsidRPr="00203191">
        <w:rPr>
          <w:rFonts w:ascii="Calibri" w:hAnsi="Calibri" w:cs="Calibri"/>
        </w:rPr>
        <w:t>Wykonawca przystępujący do wykonania koryta i profilowania podłoża powinien wykazać się możliwością korzystania z następującego sprzętu:</w:t>
      </w:r>
    </w:p>
    <w:p w:rsidR="00656AC1" w:rsidRPr="00203191" w:rsidRDefault="00656AC1" w:rsidP="00954A11">
      <w:pPr>
        <w:numPr>
          <w:ilvl w:val="0"/>
          <w:numId w:val="1"/>
        </w:numPr>
        <w:ind w:left="284" w:hanging="284"/>
        <w:rPr>
          <w:rFonts w:ascii="Calibri" w:hAnsi="Calibri" w:cs="Calibri"/>
        </w:rPr>
      </w:pPr>
      <w:r w:rsidRPr="00203191">
        <w:rPr>
          <w:rFonts w:ascii="Calibri" w:hAnsi="Calibri" w:cs="Calibri"/>
        </w:rPr>
        <w:t>równiarek lub spycharek uniwersalnych z ukośnie ustawianym lemieszem; Inżynier może dopuścić wykonanie koryta i profilowanie podłoża z zastosowaniem spycharki z lemieszem ustawionym prostopadle do kierunku pracy maszyny,</w:t>
      </w:r>
    </w:p>
    <w:p w:rsidR="00656AC1" w:rsidRPr="00203191" w:rsidRDefault="00656AC1" w:rsidP="00954A11">
      <w:pPr>
        <w:numPr>
          <w:ilvl w:val="0"/>
          <w:numId w:val="1"/>
        </w:numPr>
        <w:rPr>
          <w:rFonts w:ascii="Calibri" w:hAnsi="Calibri" w:cs="Calibri"/>
        </w:rPr>
      </w:pPr>
      <w:r w:rsidRPr="00203191">
        <w:rPr>
          <w:rFonts w:ascii="Calibri" w:hAnsi="Calibri" w:cs="Calibri"/>
        </w:rPr>
        <w:t>koparek z czerpakami profilowymi (przy wykonywaniu wąskich koryt),</w:t>
      </w:r>
    </w:p>
    <w:p w:rsidR="00656AC1" w:rsidRPr="00203191" w:rsidRDefault="00656AC1" w:rsidP="00954A11">
      <w:pPr>
        <w:numPr>
          <w:ilvl w:val="0"/>
          <w:numId w:val="1"/>
        </w:numPr>
        <w:rPr>
          <w:rFonts w:ascii="Calibri" w:hAnsi="Calibri" w:cs="Calibri"/>
        </w:rPr>
      </w:pPr>
      <w:r w:rsidRPr="00203191">
        <w:rPr>
          <w:rFonts w:ascii="Calibri" w:hAnsi="Calibri" w:cs="Calibri"/>
        </w:rPr>
        <w:lastRenderedPageBreak/>
        <w:t>walców statycznych, wibracyjnych lub płyt wibracyjnych.</w:t>
      </w:r>
    </w:p>
    <w:p w:rsidR="00656AC1" w:rsidRPr="00203191" w:rsidRDefault="00656AC1" w:rsidP="00364E4D">
      <w:pPr>
        <w:rPr>
          <w:rFonts w:ascii="Calibri" w:hAnsi="Calibri" w:cs="Calibri"/>
        </w:rPr>
      </w:pPr>
      <w:r w:rsidRPr="00203191">
        <w:rPr>
          <w:rFonts w:ascii="Calibri" w:hAnsi="Calibri" w:cs="Calibri"/>
        </w:rPr>
        <w:t>Stosowany sprzęt nie może spowodować niekorzystnego wpływu na właściwości gruntu podłoża.</w:t>
      </w:r>
    </w:p>
    <w:p w:rsidR="00656AC1" w:rsidRPr="00203191" w:rsidRDefault="00656AC1" w:rsidP="00364E4D">
      <w:pPr>
        <w:pStyle w:val="Nagwek3"/>
        <w:rPr>
          <w:rFonts w:ascii="Calibri" w:hAnsi="Calibri" w:cs="Calibri"/>
        </w:rPr>
      </w:pPr>
      <w:bookmarkStart w:id="694" w:name="_Toc406913844"/>
      <w:bookmarkStart w:id="695" w:name="_Toc406914089"/>
      <w:bookmarkStart w:id="696" w:name="_Toc406914747"/>
      <w:bookmarkStart w:id="697" w:name="_Toc406915325"/>
      <w:bookmarkStart w:id="698" w:name="_Toc406984018"/>
      <w:bookmarkStart w:id="699" w:name="_Toc406984165"/>
      <w:bookmarkStart w:id="700" w:name="_Toc406984356"/>
      <w:bookmarkStart w:id="701" w:name="_Toc407069564"/>
      <w:bookmarkStart w:id="702" w:name="_Toc407081529"/>
      <w:bookmarkStart w:id="703" w:name="_Toc407083328"/>
      <w:bookmarkStart w:id="704" w:name="_Toc407084162"/>
      <w:bookmarkStart w:id="705" w:name="_Toc407085281"/>
      <w:bookmarkStart w:id="706" w:name="_Toc407085424"/>
      <w:bookmarkStart w:id="707" w:name="_Toc407085567"/>
      <w:bookmarkStart w:id="708" w:name="_Toc407086015"/>
      <w:r w:rsidRPr="00203191">
        <w:rPr>
          <w:rFonts w:ascii="Calibri" w:hAnsi="Calibri" w:cs="Calibri"/>
        </w:rPr>
        <w:t>4. TRANSPORT</w:t>
      </w:r>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rsidR="00656AC1" w:rsidRPr="00203191" w:rsidRDefault="00656AC1" w:rsidP="00364E4D">
      <w:pPr>
        <w:pStyle w:val="Nagwek4"/>
        <w:rPr>
          <w:rFonts w:ascii="Calibri" w:hAnsi="Calibri" w:cs="Calibri"/>
        </w:rPr>
      </w:pPr>
      <w:bookmarkStart w:id="709" w:name="_Toc406913845"/>
      <w:bookmarkStart w:id="710" w:name="_Toc406914090"/>
      <w:bookmarkStart w:id="711" w:name="_Toc406914748"/>
      <w:bookmarkStart w:id="712" w:name="_Toc406915326"/>
      <w:bookmarkStart w:id="713" w:name="_Toc406984019"/>
      <w:bookmarkStart w:id="714" w:name="_Toc406984166"/>
      <w:bookmarkStart w:id="715" w:name="_Toc406984357"/>
      <w:bookmarkStart w:id="716" w:name="_Toc407069565"/>
      <w:bookmarkStart w:id="717" w:name="_Toc407081530"/>
      <w:bookmarkStart w:id="718" w:name="_Toc407083329"/>
      <w:bookmarkStart w:id="719" w:name="_Toc407084163"/>
      <w:bookmarkStart w:id="720" w:name="_Toc407085282"/>
      <w:bookmarkStart w:id="721" w:name="_Toc407085425"/>
      <w:bookmarkStart w:id="722" w:name="_Toc407085568"/>
      <w:bookmarkStart w:id="723" w:name="_Toc407086016"/>
      <w:r w:rsidRPr="00203191">
        <w:rPr>
          <w:rFonts w:ascii="Calibri" w:hAnsi="Calibri" w:cs="Calibri"/>
        </w:rPr>
        <w:t>4.1. Ogólne wymagania dotyczące transportu</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p>
    <w:p w:rsidR="00656AC1" w:rsidRPr="00203191" w:rsidRDefault="00656AC1" w:rsidP="00364E4D">
      <w:pPr>
        <w:rPr>
          <w:rFonts w:ascii="Calibri" w:hAnsi="Calibri" w:cs="Calibri"/>
        </w:rPr>
      </w:pPr>
      <w:bookmarkStart w:id="724" w:name="_Toc406822326"/>
      <w:bookmarkStart w:id="725" w:name="_Toc406913846"/>
      <w:bookmarkStart w:id="726" w:name="_Toc406914091"/>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bookmarkEnd w:id="724"/>
      <w:bookmarkEnd w:id="725"/>
      <w:bookmarkEnd w:id="726"/>
    </w:p>
    <w:p w:rsidR="00656AC1" w:rsidRPr="00203191" w:rsidRDefault="00656AC1" w:rsidP="00364E4D">
      <w:pPr>
        <w:pStyle w:val="Nagwek4"/>
        <w:rPr>
          <w:rFonts w:ascii="Calibri" w:hAnsi="Calibri" w:cs="Calibri"/>
        </w:rPr>
      </w:pPr>
      <w:bookmarkStart w:id="727" w:name="_Toc406913847"/>
      <w:bookmarkStart w:id="728" w:name="_Toc406914092"/>
      <w:bookmarkStart w:id="729" w:name="_Toc406914749"/>
      <w:bookmarkStart w:id="730" w:name="_Toc406915327"/>
      <w:bookmarkStart w:id="731" w:name="_Toc406984020"/>
      <w:bookmarkStart w:id="732" w:name="_Toc406984167"/>
      <w:bookmarkStart w:id="733" w:name="_Toc406984358"/>
      <w:bookmarkStart w:id="734" w:name="_Toc407069566"/>
      <w:bookmarkStart w:id="735" w:name="_Toc407081531"/>
      <w:bookmarkStart w:id="736" w:name="_Toc407083330"/>
      <w:bookmarkStart w:id="737" w:name="_Toc407084164"/>
      <w:bookmarkStart w:id="738" w:name="_Toc407085283"/>
      <w:bookmarkStart w:id="739" w:name="_Toc407085426"/>
      <w:bookmarkStart w:id="740" w:name="_Toc407085569"/>
      <w:bookmarkStart w:id="741" w:name="_Toc407086017"/>
      <w:r w:rsidRPr="00203191">
        <w:rPr>
          <w:rFonts w:ascii="Calibri" w:hAnsi="Calibri" w:cs="Calibri"/>
        </w:rPr>
        <w:t>4.2. Transport materiałów</w:t>
      </w:r>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p>
    <w:p w:rsidR="00656AC1" w:rsidRPr="00203191" w:rsidRDefault="00656AC1" w:rsidP="00364E4D">
      <w:pPr>
        <w:rPr>
          <w:rFonts w:ascii="Calibri" w:hAnsi="Calibri" w:cs="Calibri"/>
        </w:rPr>
      </w:pPr>
      <w:r w:rsidRPr="00203191">
        <w:rPr>
          <w:rFonts w:ascii="Calibri" w:hAnsi="Calibri" w:cs="Calibri"/>
        </w:rPr>
        <w:t>Odspojony grunt można przewozić dowolnymi środkami transportu.</w:t>
      </w:r>
    </w:p>
    <w:p w:rsidR="00656AC1" w:rsidRPr="00203191" w:rsidRDefault="00656AC1" w:rsidP="00364E4D">
      <w:pPr>
        <w:pStyle w:val="Nagwek3"/>
        <w:rPr>
          <w:rFonts w:ascii="Calibri" w:hAnsi="Calibri" w:cs="Calibri"/>
        </w:rPr>
      </w:pPr>
      <w:bookmarkStart w:id="742" w:name="_Toc406913849"/>
      <w:bookmarkStart w:id="743" w:name="_Toc406914094"/>
      <w:bookmarkStart w:id="744" w:name="_Toc406914750"/>
      <w:bookmarkStart w:id="745" w:name="_Toc406915328"/>
      <w:bookmarkStart w:id="746" w:name="_Toc406984021"/>
      <w:bookmarkStart w:id="747" w:name="_Toc406984168"/>
      <w:bookmarkStart w:id="748" w:name="_Toc406984359"/>
      <w:bookmarkStart w:id="749" w:name="_Toc407069567"/>
      <w:bookmarkStart w:id="750" w:name="_Toc407081532"/>
      <w:bookmarkStart w:id="751" w:name="_Toc407083331"/>
      <w:bookmarkStart w:id="752" w:name="_Toc407084165"/>
      <w:bookmarkStart w:id="753" w:name="_Toc407085284"/>
      <w:bookmarkStart w:id="754" w:name="_Toc407085427"/>
      <w:bookmarkStart w:id="755" w:name="_Toc407085570"/>
      <w:bookmarkStart w:id="756" w:name="_Toc407086018"/>
      <w:r w:rsidRPr="00203191">
        <w:rPr>
          <w:rFonts w:ascii="Calibri" w:hAnsi="Calibri" w:cs="Calibri"/>
        </w:rPr>
        <w:t>5. WYKONANIE ROBÓT</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rsidR="00656AC1" w:rsidRPr="00203191" w:rsidRDefault="00656AC1" w:rsidP="00364E4D">
      <w:pPr>
        <w:pStyle w:val="Nagwek4"/>
        <w:rPr>
          <w:rFonts w:ascii="Calibri" w:hAnsi="Calibri" w:cs="Calibri"/>
        </w:rPr>
      </w:pPr>
      <w:bookmarkStart w:id="757" w:name="_Toc406913850"/>
      <w:bookmarkStart w:id="758" w:name="_Toc406914095"/>
      <w:bookmarkStart w:id="759" w:name="_Toc406914751"/>
      <w:bookmarkStart w:id="760" w:name="_Toc406915329"/>
      <w:bookmarkStart w:id="761" w:name="_Toc406984022"/>
      <w:bookmarkStart w:id="762" w:name="_Toc406984169"/>
      <w:bookmarkStart w:id="763" w:name="_Toc406984360"/>
      <w:bookmarkStart w:id="764" w:name="_Toc407069568"/>
      <w:bookmarkStart w:id="765" w:name="_Toc407081533"/>
      <w:bookmarkStart w:id="766" w:name="_Toc407083332"/>
      <w:bookmarkStart w:id="767" w:name="_Toc407084166"/>
      <w:bookmarkStart w:id="768" w:name="_Toc407085285"/>
      <w:bookmarkStart w:id="769" w:name="_Toc407085428"/>
      <w:bookmarkStart w:id="770" w:name="_Toc407085571"/>
      <w:bookmarkStart w:id="771" w:name="_Toc407086019"/>
      <w:r w:rsidRPr="00203191">
        <w:rPr>
          <w:rFonts w:ascii="Calibri" w:hAnsi="Calibri" w:cs="Calibri"/>
        </w:rPr>
        <w:t>5.1. Ogólne zasady wykonania robót</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p>
    <w:p w:rsidR="00656AC1" w:rsidRPr="00203191" w:rsidRDefault="00656AC1" w:rsidP="00364E4D">
      <w:pPr>
        <w:rPr>
          <w:rFonts w:ascii="Calibri" w:hAnsi="Calibri" w:cs="Calibri"/>
        </w:rPr>
      </w:pPr>
      <w:bookmarkStart w:id="772" w:name="_Toc406822331"/>
      <w:bookmarkStart w:id="773" w:name="_Toc406913851"/>
      <w:bookmarkStart w:id="774" w:name="_Toc406914096"/>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bookmarkEnd w:id="772"/>
      <w:bookmarkEnd w:id="773"/>
      <w:bookmarkEnd w:id="774"/>
    </w:p>
    <w:p w:rsidR="00656AC1" w:rsidRPr="00203191" w:rsidRDefault="00656AC1" w:rsidP="00364E4D">
      <w:pPr>
        <w:pStyle w:val="Nagwek4"/>
        <w:rPr>
          <w:rFonts w:ascii="Calibri" w:hAnsi="Calibri" w:cs="Calibri"/>
        </w:rPr>
      </w:pPr>
      <w:bookmarkStart w:id="775" w:name="_Toc406913852"/>
      <w:bookmarkStart w:id="776" w:name="_Toc406914097"/>
      <w:bookmarkStart w:id="777" w:name="_Toc406914752"/>
      <w:bookmarkStart w:id="778" w:name="_Toc406915330"/>
      <w:bookmarkStart w:id="779" w:name="_Toc406984023"/>
      <w:bookmarkStart w:id="780" w:name="_Toc406984170"/>
      <w:bookmarkStart w:id="781" w:name="_Toc406984361"/>
      <w:bookmarkStart w:id="782" w:name="_Toc407069569"/>
      <w:bookmarkStart w:id="783" w:name="_Toc407081534"/>
      <w:bookmarkStart w:id="784" w:name="_Toc407083333"/>
      <w:bookmarkStart w:id="785" w:name="_Toc407084167"/>
      <w:bookmarkStart w:id="786" w:name="_Toc407085286"/>
      <w:bookmarkStart w:id="787" w:name="_Toc407085429"/>
      <w:bookmarkStart w:id="788" w:name="_Toc407085572"/>
      <w:bookmarkStart w:id="789" w:name="_Toc407086020"/>
      <w:r w:rsidRPr="00203191">
        <w:rPr>
          <w:rFonts w:ascii="Calibri" w:hAnsi="Calibri" w:cs="Calibri"/>
        </w:rPr>
        <w:t>5.2. Warunki przystąpienia do robót</w:t>
      </w:r>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p>
    <w:p w:rsidR="00656AC1" w:rsidRPr="00203191" w:rsidRDefault="00656AC1" w:rsidP="00364E4D">
      <w:pPr>
        <w:rPr>
          <w:rFonts w:ascii="Calibri" w:hAnsi="Calibri" w:cs="Calibri"/>
        </w:rPr>
      </w:pPr>
      <w:r w:rsidRPr="00203191">
        <w:rPr>
          <w:rFonts w:ascii="Calibri" w:hAnsi="Calibri" w:cs="Calibri"/>
        </w:rPr>
        <w:t>Wykonawca powinien przystąpić do wykonania koryta oraz profilowania i zagęszczenia podłoża bezpośrednio przed rozpoczęciem robót związanych z wykonaniem warstw nawierzchni. Wcześniejsze przystąpienie do wykonania koryta oraz profilowania i zagęszczania podłoża,</w:t>
      </w:r>
      <w:r w:rsidR="00764F74">
        <w:rPr>
          <w:rFonts w:ascii="Calibri" w:hAnsi="Calibri" w:cs="Calibri"/>
        </w:rPr>
        <w:t xml:space="preserve"> </w:t>
      </w:r>
      <w:r w:rsidRPr="00203191">
        <w:rPr>
          <w:rFonts w:ascii="Calibri" w:hAnsi="Calibri" w:cs="Calibri"/>
        </w:rPr>
        <w:t>jest możliwe wyłącznie za zgodą Inżyniera, w korzystnych warunkach atmosferycznych.</w:t>
      </w:r>
    </w:p>
    <w:p w:rsidR="00656AC1" w:rsidRPr="00203191" w:rsidRDefault="00656AC1" w:rsidP="00364E4D">
      <w:pPr>
        <w:rPr>
          <w:rFonts w:ascii="Calibri" w:hAnsi="Calibri" w:cs="Calibri"/>
        </w:rPr>
      </w:pPr>
      <w:r w:rsidRPr="00203191">
        <w:rPr>
          <w:rFonts w:ascii="Calibri" w:hAnsi="Calibri" w:cs="Calibri"/>
        </w:rPr>
        <w:t>W wykonanym korycie oraz po wyprofilowanym i zagęszczonym podłożu nie może odbywać się ruch budowlany, niezwiązany bezpośrednio z wykonaniem pierwszej warstwy nawierzchni.</w:t>
      </w:r>
    </w:p>
    <w:p w:rsidR="00656AC1" w:rsidRPr="00203191" w:rsidRDefault="00656AC1" w:rsidP="00364E4D">
      <w:pPr>
        <w:pStyle w:val="Nagwek4"/>
        <w:rPr>
          <w:rFonts w:ascii="Calibri" w:hAnsi="Calibri" w:cs="Calibri"/>
        </w:rPr>
      </w:pPr>
      <w:bookmarkStart w:id="790" w:name="_Toc406913853"/>
      <w:bookmarkStart w:id="791" w:name="_Toc406914098"/>
      <w:bookmarkStart w:id="792" w:name="_Toc406914753"/>
      <w:bookmarkStart w:id="793" w:name="_Toc406915331"/>
      <w:bookmarkStart w:id="794" w:name="_Toc406984024"/>
      <w:bookmarkStart w:id="795" w:name="_Toc406984171"/>
      <w:bookmarkStart w:id="796" w:name="_Toc406984362"/>
      <w:bookmarkStart w:id="797" w:name="_Toc407069570"/>
      <w:bookmarkStart w:id="798" w:name="_Toc407081535"/>
      <w:bookmarkStart w:id="799" w:name="_Toc407083334"/>
      <w:bookmarkStart w:id="800" w:name="_Toc407084168"/>
      <w:bookmarkStart w:id="801" w:name="_Toc407085287"/>
      <w:bookmarkStart w:id="802" w:name="_Toc407085430"/>
      <w:bookmarkStart w:id="803" w:name="_Toc407085573"/>
      <w:bookmarkStart w:id="804" w:name="_Toc407086021"/>
      <w:r w:rsidRPr="00203191">
        <w:rPr>
          <w:rFonts w:ascii="Calibri" w:hAnsi="Calibri" w:cs="Calibri"/>
        </w:rPr>
        <w:t>5.3. Wykonanie koryta</w:t>
      </w:r>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rsidR="00656AC1" w:rsidRPr="00203191" w:rsidRDefault="00656AC1" w:rsidP="00364E4D">
      <w:pPr>
        <w:rPr>
          <w:rFonts w:ascii="Calibri" w:hAnsi="Calibri" w:cs="Calibri"/>
        </w:rPr>
      </w:pPr>
      <w:r w:rsidRPr="00203191">
        <w:rPr>
          <w:rFonts w:ascii="Calibri" w:hAnsi="Calibri" w:cs="Calibri"/>
        </w:rPr>
        <w:t>Paliki lub szpilki do prawidłowego ukształtowania koryta w planie i profilu powinny być wcześniej przygotowane.</w:t>
      </w:r>
    </w:p>
    <w:p w:rsidR="00656AC1" w:rsidRPr="00203191" w:rsidRDefault="00656AC1" w:rsidP="00364E4D">
      <w:pPr>
        <w:rPr>
          <w:rFonts w:ascii="Calibri" w:hAnsi="Calibri" w:cs="Calibri"/>
        </w:rPr>
      </w:pPr>
      <w:r w:rsidRPr="00203191">
        <w:rPr>
          <w:rFonts w:ascii="Calibri" w:hAnsi="Calibri" w:cs="Calibri"/>
        </w:rPr>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656AC1" w:rsidRPr="00203191" w:rsidRDefault="00656AC1" w:rsidP="00364E4D">
      <w:pPr>
        <w:rPr>
          <w:rFonts w:ascii="Calibri" w:hAnsi="Calibri" w:cs="Calibri"/>
        </w:rPr>
      </w:pPr>
      <w:r w:rsidRPr="00203191">
        <w:rPr>
          <w:rFonts w:ascii="Calibri" w:hAnsi="Calibri" w:cs="Calibri"/>
        </w:rPr>
        <w:t xml:space="preserve">Rodzaj sprzętu, a w szczególności jego moc należy dostosować do rodzaju gruntu, w którym prowadzone są roboty i do trudności jego odspojenia. </w:t>
      </w:r>
    </w:p>
    <w:p w:rsidR="00656AC1" w:rsidRPr="00203191" w:rsidRDefault="00656AC1" w:rsidP="00364E4D">
      <w:pPr>
        <w:rPr>
          <w:rFonts w:ascii="Calibri" w:hAnsi="Calibri" w:cs="Calibri"/>
        </w:rPr>
      </w:pPr>
      <w:r w:rsidRPr="00203191">
        <w:rPr>
          <w:rFonts w:ascii="Calibri" w:hAnsi="Calibri" w:cs="Calibri"/>
        </w:rPr>
        <w:t>Koryto można wykonywać ręcznie, gdy jego szerokość nie pozwala na zastosowanie maszyn, na przykład na poszerzeniach lub w przypadku robót o małym zakresie. Sposób wykonania musi być zaakceptowany przez Inżyniera.</w:t>
      </w:r>
    </w:p>
    <w:p w:rsidR="00656AC1" w:rsidRPr="00203191" w:rsidRDefault="00656AC1" w:rsidP="00364E4D">
      <w:pPr>
        <w:rPr>
          <w:rFonts w:ascii="Calibri" w:hAnsi="Calibri" w:cs="Calibri"/>
        </w:rPr>
      </w:pPr>
      <w:r w:rsidRPr="00203191">
        <w:rPr>
          <w:rFonts w:ascii="Calibri" w:hAnsi="Calibri" w:cs="Calibri"/>
        </w:rPr>
        <w:t>Grunt odspojony w czasie wykonywania koryta powinien być wykorzystany zgodnie z ustaleniami dokumentacji projektowej  tj. wbudowany w nasyp lub odwieziony na odkład w miejsce wskazane przez Inżyniera.</w:t>
      </w:r>
    </w:p>
    <w:p w:rsidR="00656AC1" w:rsidRPr="00203191" w:rsidRDefault="00656AC1" w:rsidP="00364E4D">
      <w:pPr>
        <w:rPr>
          <w:rFonts w:ascii="Calibri" w:hAnsi="Calibri" w:cs="Calibri"/>
        </w:rPr>
      </w:pPr>
      <w:r w:rsidRPr="00203191">
        <w:rPr>
          <w:rFonts w:ascii="Calibri" w:hAnsi="Calibri" w:cs="Calibri"/>
        </w:rPr>
        <w:t>Profilowanie i zagęszczenie podłoża należy wykonać zgodnie z zasadami określonymi w pkt 5.4.</w:t>
      </w:r>
    </w:p>
    <w:p w:rsidR="00656AC1" w:rsidRPr="00203191" w:rsidRDefault="00656AC1" w:rsidP="00364E4D">
      <w:pPr>
        <w:pStyle w:val="Nagwek4"/>
        <w:rPr>
          <w:rFonts w:ascii="Calibri" w:hAnsi="Calibri" w:cs="Calibri"/>
        </w:rPr>
      </w:pPr>
      <w:bookmarkStart w:id="805" w:name="_Toc406913854"/>
      <w:bookmarkStart w:id="806" w:name="_Toc406914099"/>
      <w:bookmarkStart w:id="807" w:name="_Toc406914754"/>
      <w:bookmarkStart w:id="808" w:name="_Toc406915332"/>
      <w:bookmarkStart w:id="809" w:name="_Toc406984025"/>
      <w:bookmarkStart w:id="810" w:name="_Toc406984172"/>
      <w:bookmarkStart w:id="811" w:name="_Toc406984363"/>
      <w:bookmarkStart w:id="812" w:name="_Toc407069571"/>
      <w:bookmarkStart w:id="813" w:name="_Toc407081536"/>
      <w:bookmarkStart w:id="814" w:name="_Toc407083335"/>
      <w:bookmarkStart w:id="815" w:name="_Toc407084169"/>
      <w:bookmarkStart w:id="816" w:name="_Toc407085288"/>
      <w:bookmarkStart w:id="817" w:name="_Toc407085431"/>
      <w:bookmarkStart w:id="818" w:name="_Toc407085574"/>
      <w:bookmarkStart w:id="819" w:name="_Toc407086022"/>
      <w:r w:rsidRPr="00203191">
        <w:rPr>
          <w:rFonts w:ascii="Calibri" w:hAnsi="Calibri" w:cs="Calibri"/>
        </w:rPr>
        <w:t>5.4. Profilowanie i zagęszczanie podłoża</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rsidR="00656AC1" w:rsidRPr="00203191" w:rsidRDefault="00656AC1" w:rsidP="00364E4D">
      <w:pPr>
        <w:rPr>
          <w:rFonts w:ascii="Calibri" w:hAnsi="Calibri" w:cs="Calibri"/>
        </w:rPr>
      </w:pPr>
      <w:r w:rsidRPr="00203191">
        <w:rPr>
          <w:rFonts w:ascii="Calibri" w:hAnsi="Calibri" w:cs="Calibri"/>
        </w:rPr>
        <w:t>Przed przystąpieniem do profilowania podłoże powinno być oczyszczone ze wszelkich zanieczyszczeń.</w:t>
      </w:r>
    </w:p>
    <w:p w:rsidR="00656AC1" w:rsidRPr="00203191" w:rsidRDefault="00656AC1" w:rsidP="00364E4D">
      <w:pPr>
        <w:rPr>
          <w:rFonts w:ascii="Calibri" w:hAnsi="Calibri" w:cs="Calibri"/>
        </w:rPr>
      </w:pPr>
      <w:r w:rsidRPr="00203191">
        <w:rPr>
          <w:rFonts w:ascii="Calibri" w:hAnsi="Calibri" w:cs="Calibri"/>
        </w:rPr>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656AC1" w:rsidRPr="00203191" w:rsidRDefault="00656AC1" w:rsidP="00364E4D">
      <w:pPr>
        <w:rPr>
          <w:rFonts w:ascii="Calibri" w:hAnsi="Calibri" w:cs="Calibri"/>
        </w:rPr>
      </w:pPr>
      <w:r w:rsidRPr="00203191">
        <w:rPr>
          <w:rFonts w:ascii="Calibri" w:hAnsi="Calibri" w:cs="Calibri"/>
        </w:rPr>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8.</w:t>
      </w:r>
    </w:p>
    <w:p w:rsidR="00656AC1" w:rsidRPr="00203191" w:rsidRDefault="00656AC1" w:rsidP="00364E4D">
      <w:pPr>
        <w:rPr>
          <w:rFonts w:ascii="Calibri" w:hAnsi="Calibri" w:cs="Calibri"/>
        </w:rPr>
      </w:pPr>
      <w:r w:rsidRPr="00203191">
        <w:rPr>
          <w:rFonts w:ascii="Calibri" w:hAnsi="Calibri" w:cs="Calibri"/>
        </w:rPr>
        <w:t>Do profilowania podłoża należy stosować równiarki. Ścięty grunt powinien być wykorzystany w robotach ziemnych lub w inny sposób zaakceptowany przez Inżyniera.</w:t>
      </w:r>
    </w:p>
    <w:p w:rsidR="00656AC1" w:rsidRPr="00203191" w:rsidRDefault="00656AC1" w:rsidP="00364E4D">
      <w:pPr>
        <w:rPr>
          <w:rFonts w:ascii="Calibri" w:hAnsi="Calibri" w:cs="Calibri"/>
        </w:rPr>
      </w:pPr>
      <w:r w:rsidRPr="00203191">
        <w:rPr>
          <w:rFonts w:ascii="Calibri" w:hAnsi="Calibri" w:cs="Calibri"/>
        </w:rPr>
        <w:t xml:space="preserve">Bezpośrednio po profilowaniu podłoża należy przystąpić do jego zagęszczania. Zagęszczanie podłoża należy kontynuować do osiągnięcia wskaźnika zagęszczenia nie mniejszego od podanego w tablicy 8. Wskaźnik </w:t>
      </w:r>
      <w:r w:rsidRPr="00203191">
        <w:rPr>
          <w:rFonts w:ascii="Calibri" w:hAnsi="Calibri" w:cs="Calibri"/>
        </w:rPr>
        <w:lastRenderedPageBreak/>
        <w:t>zagęszczenia należy określać zgodnie z BN-77/8931-12. Dopuszcza się określenie wskaźnika zagęszczenia dowolną metodą określoną w BN-77/8931-12</w:t>
      </w:r>
    </w:p>
    <w:p w:rsidR="00656AC1" w:rsidRPr="00203191" w:rsidRDefault="00656AC1" w:rsidP="00364E4D">
      <w:pPr>
        <w:rPr>
          <w:rFonts w:ascii="Calibri" w:hAnsi="Calibri" w:cs="Calibri"/>
        </w:rPr>
      </w:pPr>
      <w:r w:rsidRPr="00203191">
        <w:rPr>
          <w:rFonts w:ascii="Calibri" w:hAnsi="Calibri" w:cs="Calibri"/>
        </w:rPr>
        <w:t>Dla warstw leżących poniżej 0,2 m badanie zagęszczenia przeprowadzić należy poprzez oznaczenie wskaźnika odkształcenia oznaczonego wg PN-02205:1998. Grunt przy pomiarze zagęszczenia metodą obciążenia płytą VSS uznaje się za należycie zagęszczony, gdy wskaźnik odkształcenia nie przekracza 2,2.</w:t>
      </w:r>
    </w:p>
    <w:p w:rsidR="00764F74" w:rsidRDefault="00764F74" w:rsidP="00364E4D">
      <w:pPr>
        <w:rPr>
          <w:rFonts w:ascii="Calibri" w:hAnsi="Calibri" w:cs="Calibri"/>
        </w:rPr>
      </w:pPr>
      <w:r>
        <w:rPr>
          <w:rFonts w:ascii="Calibri" w:hAnsi="Calibri" w:cs="Calibri"/>
        </w:rPr>
        <w:t>Tablica 1</w:t>
      </w:r>
      <w:r w:rsidR="00656AC1" w:rsidRPr="00203191">
        <w:rPr>
          <w:rFonts w:ascii="Calibri" w:hAnsi="Calibri" w:cs="Calibri"/>
        </w:rPr>
        <w:t>. Minimalne wartości wskaźnika zagęszczenia podłoża (I</w:t>
      </w:r>
      <w:r w:rsidR="00656AC1" w:rsidRPr="00203191">
        <w:rPr>
          <w:rFonts w:ascii="Calibri" w:hAnsi="Calibri" w:cs="Calibri"/>
          <w:vertAlign w:val="subscript"/>
        </w:rPr>
        <w:t>s</w:t>
      </w:r>
      <w:r w:rsidR="00656AC1" w:rsidRPr="00203191">
        <w:rPr>
          <w:rFonts w:ascii="Calibri" w:hAnsi="Calibri" w:cs="Calibri"/>
        </w:rPr>
        <w:t xml:space="preserve">) </w:t>
      </w:r>
    </w:p>
    <w:p w:rsidR="00764F74" w:rsidRPr="00203191" w:rsidRDefault="00764F74" w:rsidP="00364E4D">
      <w:pPr>
        <w:rPr>
          <w:rFonts w:ascii="Calibri" w:hAnsi="Calibri" w:cs="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890"/>
        <w:gridCol w:w="1701"/>
      </w:tblGrid>
      <w:tr w:rsidR="00764F74" w:rsidRPr="008C309F" w:rsidTr="00AF470B">
        <w:trPr>
          <w:trHeight w:val="391"/>
        </w:trPr>
        <w:tc>
          <w:tcPr>
            <w:tcW w:w="4890" w:type="dxa"/>
          </w:tcPr>
          <w:p w:rsidR="00764F74" w:rsidRPr="00764F74" w:rsidRDefault="00764F74" w:rsidP="00AF470B">
            <w:pPr>
              <w:rPr>
                <w:rFonts w:asciiTheme="minorHAnsi" w:hAnsiTheme="minorHAnsi"/>
              </w:rPr>
            </w:pPr>
            <w:r w:rsidRPr="00764F74">
              <w:rPr>
                <w:rFonts w:asciiTheme="minorHAnsi" w:hAnsiTheme="minorHAnsi"/>
              </w:rPr>
              <w:t>Strefa korpusu</w:t>
            </w:r>
          </w:p>
        </w:tc>
        <w:tc>
          <w:tcPr>
            <w:tcW w:w="1701" w:type="dxa"/>
          </w:tcPr>
          <w:p w:rsidR="00764F74" w:rsidRPr="00764F74" w:rsidRDefault="00764F74" w:rsidP="00AF470B">
            <w:pPr>
              <w:rPr>
                <w:rFonts w:asciiTheme="minorHAnsi" w:hAnsiTheme="minorHAnsi"/>
              </w:rPr>
            </w:pPr>
            <w:r w:rsidRPr="00764F74">
              <w:rPr>
                <w:rFonts w:asciiTheme="minorHAnsi" w:hAnsiTheme="minorHAnsi"/>
              </w:rPr>
              <w:t>Minimalna wartość I</w:t>
            </w:r>
            <w:r w:rsidRPr="00764F74">
              <w:rPr>
                <w:rFonts w:asciiTheme="minorHAnsi" w:hAnsiTheme="minorHAnsi"/>
                <w:vertAlign w:val="subscript"/>
              </w:rPr>
              <w:t>s</w:t>
            </w:r>
            <w:r w:rsidRPr="00764F74">
              <w:rPr>
                <w:rFonts w:asciiTheme="minorHAnsi" w:hAnsiTheme="minorHAnsi"/>
              </w:rPr>
              <w:t xml:space="preserve"> </w:t>
            </w:r>
          </w:p>
        </w:tc>
      </w:tr>
      <w:tr w:rsidR="00764F74" w:rsidRPr="008C309F" w:rsidTr="00AF470B">
        <w:tc>
          <w:tcPr>
            <w:tcW w:w="4890" w:type="dxa"/>
          </w:tcPr>
          <w:p w:rsidR="00764F74" w:rsidRPr="00764F74" w:rsidRDefault="00764F74" w:rsidP="00AF470B">
            <w:pPr>
              <w:rPr>
                <w:rFonts w:asciiTheme="minorHAnsi" w:hAnsiTheme="minorHAnsi"/>
              </w:rPr>
            </w:pPr>
            <w:r w:rsidRPr="00764F74">
              <w:rPr>
                <w:rFonts w:asciiTheme="minorHAnsi" w:hAnsiTheme="minorHAnsi"/>
              </w:rPr>
              <w:t>Górna warstwa o grubości 20 cm</w:t>
            </w:r>
          </w:p>
        </w:tc>
        <w:tc>
          <w:tcPr>
            <w:tcW w:w="1701" w:type="dxa"/>
          </w:tcPr>
          <w:p w:rsidR="00764F74" w:rsidRPr="00764F74" w:rsidRDefault="00764F74" w:rsidP="000D4846">
            <w:pPr>
              <w:jc w:val="right"/>
              <w:rPr>
                <w:rFonts w:asciiTheme="minorHAnsi" w:hAnsiTheme="minorHAnsi"/>
              </w:rPr>
            </w:pPr>
            <w:r w:rsidRPr="00764F74">
              <w:rPr>
                <w:rFonts w:asciiTheme="minorHAnsi" w:hAnsiTheme="minorHAnsi"/>
              </w:rPr>
              <w:t>1,0</w:t>
            </w:r>
            <w:r w:rsidR="000D4846">
              <w:rPr>
                <w:rFonts w:asciiTheme="minorHAnsi" w:hAnsiTheme="minorHAnsi"/>
              </w:rPr>
              <w:t>0</w:t>
            </w:r>
          </w:p>
        </w:tc>
      </w:tr>
      <w:tr w:rsidR="00764F74" w:rsidRPr="008C309F" w:rsidTr="00AF470B">
        <w:tc>
          <w:tcPr>
            <w:tcW w:w="4890" w:type="dxa"/>
          </w:tcPr>
          <w:p w:rsidR="00764F74" w:rsidRPr="00764F74" w:rsidRDefault="00764F74" w:rsidP="00AF470B">
            <w:pPr>
              <w:rPr>
                <w:rFonts w:asciiTheme="minorHAnsi" w:hAnsiTheme="minorHAnsi"/>
              </w:rPr>
            </w:pPr>
            <w:r w:rsidRPr="00764F74">
              <w:rPr>
                <w:rFonts w:asciiTheme="minorHAnsi" w:hAnsiTheme="minorHAnsi"/>
              </w:rPr>
              <w:t>Na głębokości od 20 do 50 cm od powierzchni podłoża</w:t>
            </w:r>
          </w:p>
        </w:tc>
        <w:tc>
          <w:tcPr>
            <w:tcW w:w="1701" w:type="dxa"/>
          </w:tcPr>
          <w:p w:rsidR="00764F74" w:rsidRPr="00764F74" w:rsidRDefault="00764F74" w:rsidP="00AF470B">
            <w:pPr>
              <w:jc w:val="right"/>
              <w:rPr>
                <w:rFonts w:asciiTheme="minorHAnsi" w:hAnsiTheme="minorHAnsi"/>
              </w:rPr>
            </w:pPr>
            <w:r w:rsidRPr="00764F74">
              <w:rPr>
                <w:rFonts w:asciiTheme="minorHAnsi" w:hAnsiTheme="minorHAnsi"/>
              </w:rPr>
              <w:t>1,00</w:t>
            </w:r>
          </w:p>
        </w:tc>
      </w:tr>
      <w:tr w:rsidR="00764F74" w:rsidRPr="008C309F" w:rsidTr="00AF470B">
        <w:tc>
          <w:tcPr>
            <w:tcW w:w="4890" w:type="dxa"/>
          </w:tcPr>
          <w:p w:rsidR="00764F74" w:rsidRPr="00764F74" w:rsidRDefault="00764F74" w:rsidP="00AF470B">
            <w:pPr>
              <w:rPr>
                <w:rFonts w:asciiTheme="minorHAnsi" w:hAnsiTheme="minorHAnsi"/>
              </w:rPr>
            </w:pPr>
            <w:r w:rsidRPr="00764F74">
              <w:rPr>
                <w:rFonts w:asciiTheme="minorHAnsi" w:hAnsiTheme="minorHAnsi"/>
              </w:rPr>
              <w:t>Górna warstwa o grubości 20 cm</w:t>
            </w:r>
          </w:p>
        </w:tc>
        <w:tc>
          <w:tcPr>
            <w:tcW w:w="1701" w:type="dxa"/>
          </w:tcPr>
          <w:p w:rsidR="00764F74" w:rsidRPr="00764F74" w:rsidRDefault="00764F74" w:rsidP="00AF470B">
            <w:pPr>
              <w:jc w:val="right"/>
              <w:rPr>
                <w:rFonts w:asciiTheme="minorHAnsi" w:hAnsiTheme="minorHAnsi"/>
              </w:rPr>
            </w:pPr>
            <w:r w:rsidRPr="00764F74">
              <w:rPr>
                <w:rFonts w:asciiTheme="minorHAnsi" w:hAnsiTheme="minorHAnsi"/>
              </w:rPr>
              <w:t>1,00</w:t>
            </w:r>
          </w:p>
        </w:tc>
      </w:tr>
      <w:tr w:rsidR="00764F74" w:rsidRPr="008C309F" w:rsidTr="00AF470B">
        <w:tc>
          <w:tcPr>
            <w:tcW w:w="4890" w:type="dxa"/>
          </w:tcPr>
          <w:p w:rsidR="00764F74" w:rsidRPr="00764F74" w:rsidRDefault="00764F74" w:rsidP="00AF470B">
            <w:pPr>
              <w:rPr>
                <w:rFonts w:asciiTheme="minorHAnsi" w:hAnsiTheme="minorHAnsi"/>
              </w:rPr>
            </w:pPr>
            <w:r w:rsidRPr="00764F74">
              <w:rPr>
                <w:rFonts w:asciiTheme="minorHAnsi" w:hAnsiTheme="minorHAnsi"/>
              </w:rPr>
              <w:t>Na głębokości od 20 do 50 cm od powierzchni podłoża</w:t>
            </w:r>
          </w:p>
        </w:tc>
        <w:tc>
          <w:tcPr>
            <w:tcW w:w="1701" w:type="dxa"/>
          </w:tcPr>
          <w:p w:rsidR="00764F74" w:rsidRPr="00764F74" w:rsidRDefault="00764F74" w:rsidP="000D4846">
            <w:pPr>
              <w:jc w:val="right"/>
              <w:rPr>
                <w:rFonts w:asciiTheme="minorHAnsi" w:hAnsiTheme="minorHAnsi"/>
              </w:rPr>
            </w:pPr>
            <w:r w:rsidRPr="00764F74">
              <w:rPr>
                <w:rFonts w:asciiTheme="minorHAnsi" w:hAnsiTheme="minorHAnsi"/>
              </w:rPr>
              <w:t>0,9</w:t>
            </w:r>
            <w:r w:rsidR="000D4846">
              <w:rPr>
                <w:rFonts w:asciiTheme="minorHAnsi" w:hAnsiTheme="minorHAnsi"/>
              </w:rPr>
              <w:t>8</w:t>
            </w:r>
          </w:p>
        </w:tc>
      </w:tr>
    </w:tbl>
    <w:p w:rsidR="00656AC1" w:rsidRPr="00203191" w:rsidRDefault="00656AC1" w:rsidP="00364E4D">
      <w:pPr>
        <w:pStyle w:val="tekstost"/>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Za zgodą Inżyniera dopuszcza się prowadzenie badań przy zastosowaniu metod alternatywnych – w szczególności lekkiej płyty dynamicznej ZFG-02 lub lekkiej sondy wbijanej SD-10 zgodnie z Instrukcją Badań Podłoża Gruntowego Budowli Mostowych i Drogowych Część 2 Załącznik, Warszawa 1998. Korelacji pomiędzy wynikami uzyskanymi przy pomocy metod alternatywnych, a wymaganiami niniejszej SST należy dokonać zgodnie z instrukcjami producentów urządzeń alternatywnych.</w:t>
      </w:r>
    </w:p>
    <w:p w:rsidR="00656AC1" w:rsidRPr="00203191" w:rsidRDefault="00656AC1" w:rsidP="00364E4D">
      <w:pPr>
        <w:rPr>
          <w:rFonts w:ascii="Calibri" w:hAnsi="Calibri" w:cs="Calibri"/>
        </w:rPr>
      </w:pPr>
      <w:r w:rsidRPr="00203191">
        <w:rPr>
          <w:rFonts w:ascii="Calibri" w:hAnsi="Calibri" w:cs="Calibri"/>
        </w:rPr>
        <w:t>Podczas zagęszczania gruntu wilgotność naturalna gruntu nie powinna się różnić od wilgotności optymalnej o ±2% dla gruntów niespoistych i od 0 do -2% dla gruntów mało i średnio spoistych. Pomiaru wilgotności naturalnej gruntu należy dokonać w oparciu o normę PKN-CEN ISO/TS 17892-1.</w:t>
      </w:r>
    </w:p>
    <w:p w:rsidR="00656AC1" w:rsidRPr="00203191" w:rsidRDefault="00656AC1" w:rsidP="00364E4D">
      <w:pPr>
        <w:rPr>
          <w:rFonts w:ascii="Calibri" w:hAnsi="Calibri" w:cs="Calibri"/>
        </w:rPr>
      </w:pPr>
      <w:r w:rsidRPr="00203191">
        <w:rPr>
          <w:rFonts w:ascii="Calibri" w:hAnsi="Calibri" w:cs="Calibri"/>
        </w:rPr>
        <w:t>W przypadku przekroczenia wymaganej wilgotności należy odczekać do naturalnego osuszenia gruntu, bądź zastosować inne środki zaakceptowane przez Inżyniera.</w:t>
      </w:r>
    </w:p>
    <w:p w:rsidR="00656AC1" w:rsidRPr="00203191" w:rsidRDefault="00656AC1" w:rsidP="00364E4D">
      <w:pPr>
        <w:pStyle w:val="Nagwek4"/>
        <w:rPr>
          <w:rFonts w:ascii="Calibri" w:hAnsi="Calibri" w:cs="Calibri"/>
        </w:rPr>
      </w:pPr>
      <w:bookmarkStart w:id="820" w:name="_Toc406913855"/>
      <w:bookmarkStart w:id="821" w:name="_Toc406914100"/>
      <w:bookmarkStart w:id="822" w:name="_Toc406914755"/>
      <w:bookmarkStart w:id="823" w:name="_Toc406915333"/>
      <w:bookmarkStart w:id="824" w:name="_Toc406984026"/>
      <w:bookmarkStart w:id="825" w:name="_Toc406984173"/>
      <w:bookmarkStart w:id="826" w:name="_Toc406984364"/>
      <w:bookmarkStart w:id="827" w:name="_Toc407069572"/>
      <w:bookmarkStart w:id="828" w:name="_Toc407081537"/>
      <w:bookmarkStart w:id="829" w:name="_Toc407083336"/>
      <w:bookmarkStart w:id="830" w:name="_Toc407084170"/>
      <w:bookmarkStart w:id="831" w:name="_Toc407085289"/>
      <w:bookmarkStart w:id="832" w:name="_Toc407085432"/>
      <w:bookmarkStart w:id="833" w:name="_Toc407085575"/>
      <w:bookmarkStart w:id="834" w:name="_Toc407086023"/>
      <w:r w:rsidRPr="00203191">
        <w:rPr>
          <w:rFonts w:ascii="Calibri" w:hAnsi="Calibri" w:cs="Calibri"/>
        </w:rPr>
        <w:t>5.5. Utrzymanie koryta oraz wyprofilowanego i zagęszczonego podłoża</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p>
    <w:p w:rsidR="00656AC1" w:rsidRPr="00203191" w:rsidRDefault="00656AC1" w:rsidP="00364E4D">
      <w:pPr>
        <w:rPr>
          <w:rFonts w:ascii="Calibri" w:hAnsi="Calibri" w:cs="Calibri"/>
        </w:rPr>
      </w:pPr>
      <w:r w:rsidRPr="00203191">
        <w:rPr>
          <w:rFonts w:ascii="Calibri" w:hAnsi="Calibri" w:cs="Calibri"/>
        </w:rPr>
        <w:t>Podłoże (koryto) po wyprofilowaniu i zagęszczeniu powinno być utrzymywane w dobrym stanie.</w:t>
      </w:r>
    </w:p>
    <w:p w:rsidR="00656AC1" w:rsidRPr="00203191" w:rsidRDefault="00656AC1" w:rsidP="00364E4D">
      <w:pPr>
        <w:rPr>
          <w:rFonts w:ascii="Calibri" w:hAnsi="Calibri" w:cs="Calibri"/>
        </w:rPr>
      </w:pPr>
      <w:r w:rsidRPr="00203191">
        <w:rPr>
          <w:rFonts w:ascii="Calibri" w:hAnsi="Calibri" w:cs="Calibri"/>
        </w:rPr>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656AC1" w:rsidRPr="00203191" w:rsidRDefault="00656AC1" w:rsidP="00364E4D">
      <w:pPr>
        <w:rPr>
          <w:rFonts w:ascii="Calibri" w:hAnsi="Calibri" w:cs="Calibri"/>
        </w:rPr>
      </w:pPr>
      <w:r w:rsidRPr="00203191">
        <w:rPr>
          <w:rFonts w:ascii="Calibri" w:hAnsi="Calibri" w:cs="Calibri"/>
        </w:rPr>
        <w:t>Jeżeli wyprofilowane i zagęszczone podłoże uległo nadmiernemu zawilgoceniu, to do układania kolejnej warstwy można przystąpić dopiero po jego naturalnym osuszeniu i po sprawdzeniu parametrów zagęszczenia.</w:t>
      </w:r>
    </w:p>
    <w:p w:rsidR="00656AC1" w:rsidRPr="00203191" w:rsidRDefault="00656AC1" w:rsidP="00364E4D">
      <w:pPr>
        <w:rPr>
          <w:rFonts w:ascii="Calibri" w:hAnsi="Calibri" w:cs="Calibri"/>
        </w:rPr>
      </w:pPr>
      <w:r w:rsidRPr="00203191">
        <w:rPr>
          <w:rFonts w:ascii="Calibri" w:hAnsi="Calibri" w:cs="Calibri"/>
        </w:rPr>
        <w:t>Po osuszeniu podłoża Inżynier</w:t>
      </w:r>
      <w:r w:rsidR="003D751A">
        <w:rPr>
          <w:rFonts w:ascii="Calibri" w:hAnsi="Calibri" w:cs="Calibri"/>
        </w:rPr>
        <w:t xml:space="preserve"> </w:t>
      </w:r>
      <w:r w:rsidRPr="00203191">
        <w:rPr>
          <w:rFonts w:ascii="Calibri" w:hAnsi="Calibri" w:cs="Calibri"/>
        </w:rPr>
        <w:t>oceni jego stan i ewentualnie zaleci wykonanie niezbędnych napraw. Jeżeli zawilgocenie nastąpiło wskutek zaniedbania Wykonawcy, to naprawę wykona on na własny koszt.</w:t>
      </w:r>
    </w:p>
    <w:p w:rsidR="00656AC1" w:rsidRPr="00203191" w:rsidRDefault="00656AC1" w:rsidP="00364E4D">
      <w:pPr>
        <w:pStyle w:val="Nagwek3"/>
        <w:rPr>
          <w:rFonts w:ascii="Calibri" w:hAnsi="Calibri" w:cs="Calibri"/>
        </w:rPr>
      </w:pPr>
      <w:bookmarkStart w:id="835" w:name="_Toc406913856"/>
      <w:bookmarkStart w:id="836" w:name="_Toc406914101"/>
      <w:bookmarkStart w:id="837" w:name="_Toc406914756"/>
      <w:bookmarkStart w:id="838" w:name="_Toc406915334"/>
      <w:bookmarkStart w:id="839" w:name="_Toc406984027"/>
      <w:bookmarkStart w:id="840" w:name="_Toc406984174"/>
      <w:bookmarkStart w:id="841" w:name="_Toc406984365"/>
      <w:bookmarkStart w:id="842" w:name="_Toc407069573"/>
      <w:bookmarkStart w:id="843" w:name="_Toc407081538"/>
      <w:bookmarkStart w:id="844" w:name="_Toc407083337"/>
      <w:bookmarkStart w:id="845" w:name="_Toc407084171"/>
      <w:bookmarkStart w:id="846" w:name="_Toc407085290"/>
      <w:bookmarkStart w:id="847" w:name="_Toc407085433"/>
      <w:bookmarkStart w:id="848" w:name="_Toc407085576"/>
      <w:bookmarkStart w:id="849" w:name="_Toc407086024"/>
      <w:r w:rsidRPr="00203191">
        <w:rPr>
          <w:rFonts w:ascii="Calibri" w:hAnsi="Calibri" w:cs="Calibri"/>
        </w:rPr>
        <w:t>6. KONTROLA JAKOŚCI ROBÓT</w:t>
      </w:r>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p>
    <w:p w:rsidR="00656AC1" w:rsidRPr="00203191" w:rsidRDefault="00656AC1" w:rsidP="00364E4D">
      <w:pPr>
        <w:pStyle w:val="Nagwek4"/>
        <w:rPr>
          <w:rFonts w:ascii="Calibri" w:hAnsi="Calibri" w:cs="Calibri"/>
        </w:rPr>
      </w:pPr>
      <w:bookmarkStart w:id="850" w:name="_Toc406913857"/>
      <w:bookmarkStart w:id="851" w:name="_Toc406914102"/>
      <w:bookmarkStart w:id="852" w:name="_Toc406914757"/>
      <w:bookmarkStart w:id="853" w:name="_Toc406915335"/>
      <w:bookmarkStart w:id="854" w:name="_Toc406984028"/>
      <w:bookmarkStart w:id="855" w:name="_Toc406984175"/>
      <w:bookmarkStart w:id="856" w:name="_Toc406984366"/>
      <w:bookmarkStart w:id="857" w:name="_Toc407069574"/>
      <w:bookmarkStart w:id="858" w:name="_Toc407081539"/>
      <w:bookmarkStart w:id="859" w:name="_Toc407083338"/>
      <w:bookmarkStart w:id="860" w:name="_Toc407084172"/>
      <w:bookmarkStart w:id="861" w:name="_Toc407085291"/>
      <w:bookmarkStart w:id="862" w:name="_Toc407085434"/>
      <w:bookmarkStart w:id="863" w:name="_Toc407085577"/>
      <w:bookmarkStart w:id="864" w:name="_Toc407086025"/>
      <w:r w:rsidRPr="00203191">
        <w:rPr>
          <w:rFonts w:ascii="Calibri" w:hAnsi="Calibri" w:cs="Calibri"/>
        </w:rPr>
        <w:t>6.1. Ogólne zasady kontroli jakości robót</w:t>
      </w:r>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p>
    <w:p w:rsidR="00656AC1" w:rsidRPr="00203191" w:rsidRDefault="00656AC1" w:rsidP="00364E4D">
      <w:pPr>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rPr>
          <w:rFonts w:ascii="Calibri" w:hAnsi="Calibri" w:cs="Calibri"/>
        </w:rPr>
      </w:pPr>
      <w:bookmarkStart w:id="865" w:name="_Toc406913858"/>
      <w:bookmarkStart w:id="866" w:name="_Toc406914103"/>
      <w:bookmarkStart w:id="867" w:name="_Toc406914758"/>
      <w:bookmarkStart w:id="868" w:name="_Toc406915336"/>
      <w:bookmarkStart w:id="869" w:name="_Toc406984029"/>
      <w:bookmarkStart w:id="870" w:name="_Toc406984176"/>
      <w:bookmarkStart w:id="871" w:name="_Toc406984367"/>
      <w:bookmarkStart w:id="872" w:name="_Toc407069575"/>
      <w:bookmarkStart w:id="873" w:name="_Toc407081540"/>
      <w:bookmarkStart w:id="874" w:name="_Toc407083339"/>
      <w:bookmarkStart w:id="875" w:name="_Toc407084173"/>
      <w:bookmarkStart w:id="876" w:name="_Toc407085292"/>
      <w:bookmarkStart w:id="877" w:name="_Toc407085435"/>
      <w:bookmarkStart w:id="878" w:name="_Toc407085578"/>
      <w:bookmarkStart w:id="879" w:name="_Toc407086026"/>
      <w:r w:rsidRPr="00203191">
        <w:rPr>
          <w:rFonts w:ascii="Calibri" w:hAnsi="Calibri" w:cs="Calibri"/>
        </w:rPr>
        <w:t>6.2. Badania w czasie robót</w:t>
      </w:r>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p>
    <w:p w:rsidR="00656AC1" w:rsidRPr="00203191" w:rsidRDefault="00656AC1" w:rsidP="00364E4D">
      <w:pPr>
        <w:pStyle w:val="Nagwek7"/>
        <w:rPr>
          <w:rFonts w:ascii="Calibri" w:hAnsi="Calibri" w:cs="Calibri"/>
          <w:b/>
          <w:bCs/>
          <w:i/>
          <w:iCs/>
        </w:rPr>
      </w:pPr>
      <w:r w:rsidRPr="00203191">
        <w:rPr>
          <w:rFonts w:ascii="Calibri" w:hAnsi="Calibri" w:cs="Calibri"/>
          <w:b/>
          <w:bCs/>
          <w:i/>
          <w:iCs/>
        </w:rPr>
        <w:t>6.2.1. Częstotliwość oraz zakres badań i pomiarów</w:t>
      </w:r>
    </w:p>
    <w:p w:rsidR="00656AC1" w:rsidRPr="00203191" w:rsidRDefault="00656AC1" w:rsidP="00364E4D">
      <w:pPr>
        <w:rPr>
          <w:rFonts w:ascii="Calibri" w:hAnsi="Calibri" w:cs="Calibri"/>
        </w:rPr>
      </w:pPr>
      <w:r w:rsidRPr="00203191">
        <w:rPr>
          <w:rFonts w:ascii="Calibri" w:hAnsi="Calibri" w:cs="Calibri"/>
        </w:rPr>
        <w:t>Częstotliwość oraz zakres badań i pomiarów dotyczących cech geometrycznych i zagęszczenia koryta i wyprofilowanego podłoża podaje tablica 9.</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Tablica 9. Częstotliwość oraz zakres badań i pomiarów wykonanego koryta i wyprofilowanego podłoża</w:t>
      </w:r>
    </w:p>
    <w:tbl>
      <w:tblPr>
        <w:tblW w:w="8505" w:type="dxa"/>
        <w:tblInd w:w="2" w:type="dxa"/>
        <w:tblLayout w:type="fixed"/>
        <w:tblCellMar>
          <w:left w:w="70" w:type="dxa"/>
          <w:right w:w="70" w:type="dxa"/>
        </w:tblCellMar>
        <w:tblLook w:val="0000"/>
      </w:tblPr>
      <w:tblGrid>
        <w:gridCol w:w="491"/>
        <w:gridCol w:w="2770"/>
        <w:gridCol w:w="5244"/>
      </w:tblGrid>
      <w:tr w:rsidR="00656AC1" w:rsidRPr="00203191">
        <w:tc>
          <w:tcPr>
            <w:tcW w:w="491"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Lp.</w:t>
            </w:r>
          </w:p>
        </w:tc>
        <w:tc>
          <w:tcPr>
            <w:tcW w:w="2770"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Wyszczególnienie badań</w:t>
            </w:r>
          </w:p>
          <w:p w:rsidR="00656AC1" w:rsidRPr="00203191" w:rsidRDefault="00656AC1" w:rsidP="00364E4D">
            <w:pPr>
              <w:rPr>
                <w:rFonts w:ascii="Calibri" w:hAnsi="Calibri" w:cs="Calibri"/>
              </w:rPr>
            </w:pPr>
            <w:r w:rsidRPr="00203191">
              <w:rPr>
                <w:rFonts w:ascii="Calibri" w:hAnsi="Calibri" w:cs="Calibri"/>
              </w:rPr>
              <w:t>i pomiarów</w:t>
            </w:r>
          </w:p>
        </w:tc>
        <w:tc>
          <w:tcPr>
            <w:tcW w:w="5244"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Minimalna częstotliwość</w:t>
            </w:r>
          </w:p>
          <w:p w:rsidR="00656AC1" w:rsidRPr="00203191" w:rsidRDefault="00656AC1" w:rsidP="00364E4D">
            <w:pPr>
              <w:rPr>
                <w:rFonts w:ascii="Calibri" w:hAnsi="Calibri" w:cs="Calibri"/>
              </w:rPr>
            </w:pPr>
            <w:r w:rsidRPr="00203191">
              <w:rPr>
                <w:rFonts w:ascii="Calibri" w:hAnsi="Calibri" w:cs="Calibri"/>
              </w:rPr>
              <w:t>badań i pomiarów</w:t>
            </w:r>
          </w:p>
        </w:tc>
      </w:tr>
      <w:tr w:rsidR="00656AC1" w:rsidRPr="00203191">
        <w:tc>
          <w:tcPr>
            <w:tcW w:w="491" w:type="dxa"/>
            <w:tcBorders>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1</w:t>
            </w:r>
          </w:p>
        </w:tc>
        <w:tc>
          <w:tcPr>
            <w:tcW w:w="2770" w:type="dxa"/>
            <w:tcBorders>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Szerokość koryta</w:t>
            </w:r>
          </w:p>
        </w:tc>
        <w:tc>
          <w:tcPr>
            <w:tcW w:w="5244" w:type="dxa"/>
            <w:tcBorders>
              <w:left w:val="single" w:sz="6" w:space="0" w:color="auto"/>
              <w:bottom w:val="single" w:sz="6" w:space="0" w:color="auto"/>
              <w:right w:val="single" w:sz="6" w:space="0" w:color="auto"/>
            </w:tcBorders>
          </w:tcPr>
          <w:p w:rsidR="00656AC1" w:rsidRPr="00203191" w:rsidRDefault="000D4846" w:rsidP="00364E4D">
            <w:pPr>
              <w:rPr>
                <w:rFonts w:ascii="Calibri" w:hAnsi="Calibri" w:cs="Calibri"/>
              </w:rPr>
            </w:pPr>
            <w:r>
              <w:rPr>
                <w:rFonts w:ascii="Calibri" w:hAnsi="Calibri" w:cs="Calibri"/>
              </w:rPr>
              <w:t>Co 20 m</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2</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Równość podłużna</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656AC1" w:rsidP="000D4846">
            <w:pPr>
              <w:rPr>
                <w:rFonts w:ascii="Calibri" w:hAnsi="Calibri" w:cs="Calibri"/>
              </w:rPr>
            </w:pPr>
            <w:r w:rsidRPr="00203191">
              <w:rPr>
                <w:rFonts w:ascii="Calibri" w:hAnsi="Calibri" w:cs="Calibri"/>
              </w:rPr>
              <w:t>co 20 m</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3</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Równość poprzeczna</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0D4846" w:rsidP="00364E4D">
            <w:pPr>
              <w:rPr>
                <w:rFonts w:ascii="Calibri" w:hAnsi="Calibri" w:cs="Calibri"/>
              </w:rPr>
            </w:pPr>
            <w:r>
              <w:rPr>
                <w:rFonts w:ascii="Calibri" w:hAnsi="Calibri" w:cs="Calibri"/>
              </w:rPr>
              <w:t>Co 20 m</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lastRenderedPageBreak/>
              <w:t>4</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 xml:space="preserve">Spadki poprzeczne </w:t>
            </w:r>
            <w:r w:rsidRPr="00203191">
              <w:rPr>
                <w:rFonts w:ascii="Calibri" w:hAnsi="Calibri" w:cs="Calibri"/>
                <w:vertAlign w:val="superscript"/>
              </w:rPr>
              <w:t>*)</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0D4846" w:rsidP="00364E4D">
            <w:pPr>
              <w:rPr>
                <w:rFonts w:ascii="Calibri" w:hAnsi="Calibri" w:cs="Calibri"/>
              </w:rPr>
            </w:pPr>
            <w:r>
              <w:rPr>
                <w:rFonts w:ascii="Calibri" w:hAnsi="Calibri" w:cs="Calibri"/>
              </w:rPr>
              <w:t>Co 20 m</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5</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Rzędne wysokościowe</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656AC1" w:rsidP="000D4846">
            <w:pPr>
              <w:rPr>
                <w:rFonts w:ascii="Calibri" w:hAnsi="Calibri" w:cs="Calibri"/>
              </w:rPr>
            </w:pPr>
            <w:r w:rsidRPr="00203191">
              <w:rPr>
                <w:rFonts w:ascii="Calibri" w:hAnsi="Calibri" w:cs="Calibri"/>
              </w:rPr>
              <w:t xml:space="preserve">co </w:t>
            </w:r>
            <w:r w:rsidR="000D4846">
              <w:rPr>
                <w:rFonts w:ascii="Calibri" w:hAnsi="Calibri" w:cs="Calibri"/>
              </w:rPr>
              <w:t>2</w:t>
            </w:r>
            <w:r w:rsidRPr="00203191">
              <w:rPr>
                <w:rFonts w:ascii="Calibri" w:hAnsi="Calibri" w:cs="Calibri"/>
              </w:rPr>
              <w:t xml:space="preserve">0 m </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6</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 xml:space="preserve">Ukształtowanie osi w planie </w:t>
            </w:r>
            <w:r w:rsidRPr="00203191">
              <w:rPr>
                <w:rFonts w:ascii="Calibri" w:hAnsi="Calibri" w:cs="Calibri"/>
                <w:vertAlign w:val="superscript"/>
              </w:rPr>
              <w:t>*)</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656AC1" w:rsidP="000D4846">
            <w:pPr>
              <w:rPr>
                <w:rFonts w:ascii="Calibri" w:hAnsi="Calibri" w:cs="Calibri"/>
              </w:rPr>
            </w:pPr>
            <w:r w:rsidRPr="00203191">
              <w:rPr>
                <w:rFonts w:ascii="Calibri" w:hAnsi="Calibri" w:cs="Calibri"/>
              </w:rPr>
              <w:t xml:space="preserve">co </w:t>
            </w:r>
            <w:r w:rsidR="000D4846">
              <w:rPr>
                <w:rFonts w:ascii="Calibri" w:hAnsi="Calibri" w:cs="Calibri"/>
              </w:rPr>
              <w:t>2</w:t>
            </w:r>
            <w:r w:rsidRPr="00203191">
              <w:rPr>
                <w:rFonts w:ascii="Calibri" w:hAnsi="Calibri" w:cs="Calibri"/>
              </w:rPr>
              <w:t xml:space="preserve">0 m </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7</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Zagęszczenie, wilgotność gruntu podłoża</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656AC1" w:rsidP="000D4846">
            <w:pPr>
              <w:rPr>
                <w:rFonts w:ascii="Calibri" w:hAnsi="Calibri" w:cs="Calibri"/>
              </w:rPr>
            </w:pPr>
            <w:r w:rsidRPr="00203191">
              <w:rPr>
                <w:rFonts w:ascii="Calibri" w:hAnsi="Calibri" w:cs="Calibri"/>
              </w:rPr>
              <w:t xml:space="preserve">w 2 punktach na dziennej działce roboczej, lecz nie rzadziej niż raz na </w:t>
            </w:r>
            <w:r w:rsidR="000D4846">
              <w:rPr>
                <w:rFonts w:ascii="Calibri" w:hAnsi="Calibri" w:cs="Calibri"/>
              </w:rPr>
              <w:t>1</w:t>
            </w:r>
            <w:r w:rsidRPr="00203191">
              <w:rPr>
                <w:rFonts w:ascii="Calibri" w:hAnsi="Calibri" w:cs="Calibri"/>
              </w:rPr>
              <w:t>00 m</w:t>
            </w:r>
            <w:r w:rsidRPr="00203191">
              <w:rPr>
                <w:rFonts w:ascii="Calibri" w:hAnsi="Calibri" w:cs="Calibri"/>
                <w:vertAlign w:val="superscript"/>
              </w:rPr>
              <w:t>2</w:t>
            </w:r>
          </w:p>
        </w:tc>
      </w:tr>
      <w:tr w:rsidR="00656AC1" w:rsidRPr="00203191">
        <w:tc>
          <w:tcPr>
            <w:tcW w:w="491"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8</w:t>
            </w:r>
          </w:p>
        </w:tc>
        <w:tc>
          <w:tcPr>
            <w:tcW w:w="277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Badania nośności (pierwotny i wtórny moduł odkształcenia)</w:t>
            </w:r>
          </w:p>
        </w:tc>
        <w:tc>
          <w:tcPr>
            <w:tcW w:w="5244" w:type="dxa"/>
            <w:tcBorders>
              <w:top w:val="single" w:sz="6" w:space="0" w:color="auto"/>
              <w:left w:val="single" w:sz="6" w:space="0" w:color="auto"/>
              <w:bottom w:val="single" w:sz="6" w:space="0" w:color="auto"/>
              <w:right w:val="single" w:sz="6" w:space="0" w:color="auto"/>
            </w:tcBorders>
          </w:tcPr>
          <w:p w:rsidR="00656AC1" w:rsidRPr="00203191" w:rsidRDefault="00656AC1" w:rsidP="000D4846">
            <w:pPr>
              <w:rPr>
                <w:rFonts w:ascii="Calibri" w:hAnsi="Calibri" w:cs="Calibri"/>
              </w:rPr>
            </w:pPr>
            <w:r w:rsidRPr="00203191">
              <w:rPr>
                <w:rFonts w:ascii="Calibri" w:hAnsi="Calibri" w:cs="Calibri"/>
              </w:rPr>
              <w:t xml:space="preserve">w 2 punktach na dziennej działce roboczej, lecz nie rzadziej niż raz na </w:t>
            </w:r>
            <w:r w:rsidR="000D4846">
              <w:rPr>
                <w:rFonts w:ascii="Calibri" w:hAnsi="Calibri" w:cs="Calibri"/>
              </w:rPr>
              <w:t>2</w:t>
            </w:r>
            <w:r w:rsidRPr="00203191">
              <w:rPr>
                <w:rFonts w:ascii="Calibri" w:hAnsi="Calibri" w:cs="Calibri"/>
              </w:rPr>
              <w:t>00 m</w:t>
            </w:r>
            <w:r w:rsidRPr="00203191">
              <w:rPr>
                <w:rFonts w:ascii="Calibri" w:hAnsi="Calibri" w:cs="Calibri"/>
                <w:vertAlign w:val="superscript"/>
              </w:rPr>
              <w:t>2</w:t>
            </w:r>
          </w:p>
        </w:tc>
      </w:tr>
      <w:tr w:rsidR="00656AC1" w:rsidRPr="00203191">
        <w:tc>
          <w:tcPr>
            <w:tcW w:w="8505" w:type="dxa"/>
            <w:gridSpan w:val="3"/>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bookmarkStart w:id="880" w:name="_Toc406822339"/>
            <w:bookmarkStart w:id="881" w:name="_Toc406913859"/>
            <w:bookmarkStart w:id="882" w:name="_Toc406914104"/>
            <w:r w:rsidRPr="00203191">
              <w:rPr>
                <w:rFonts w:ascii="Calibri" w:hAnsi="Calibri" w:cs="Calibri"/>
              </w:rPr>
              <w:t>*) Dodatkowe pomiary spadków poprzecznych i ukształtowania osi w planie należy wykonać w punktach głównych łuków poziomych</w:t>
            </w:r>
            <w:bookmarkEnd w:id="880"/>
            <w:bookmarkEnd w:id="881"/>
            <w:bookmarkEnd w:id="882"/>
          </w:p>
          <w:p w:rsidR="00656AC1" w:rsidRPr="00203191" w:rsidRDefault="00656AC1" w:rsidP="00364E4D">
            <w:pPr>
              <w:rPr>
                <w:rFonts w:ascii="Calibri" w:hAnsi="Calibri" w:cs="Calibri"/>
              </w:rPr>
            </w:pPr>
            <w:r w:rsidRPr="00203191">
              <w:rPr>
                <w:rFonts w:ascii="Calibri" w:hAnsi="Calibri" w:cs="Calibri"/>
              </w:rPr>
              <w:tab/>
            </w:r>
          </w:p>
        </w:tc>
      </w:tr>
    </w:tbl>
    <w:p w:rsidR="00656AC1" w:rsidRPr="00203191" w:rsidRDefault="00656AC1" w:rsidP="00364E4D">
      <w:pPr>
        <w:pStyle w:val="Nagwek7"/>
        <w:rPr>
          <w:rFonts w:ascii="Calibri" w:hAnsi="Calibri" w:cs="Calibri"/>
          <w:b/>
          <w:bCs/>
          <w:i/>
          <w:iCs/>
        </w:rPr>
      </w:pPr>
    </w:p>
    <w:p w:rsidR="00656AC1" w:rsidRPr="00203191" w:rsidRDefault="00656AC1" w:rsidP="00364E4D">
      <w:pPr>
        <w:pStyle w:val="Nagwek7"/>
        <w:rPr>
          <w:rFonts w:ascii="Calibri" w:hAnsi="Calibri" w:cs="Calibri"/>
          <w:b/>
          <w:bCs/>
          <w:i/>
          <w:iCs/>
        </w:rPr>
      </w:pPr>
      <w:r w:rsidRPr="00203191">
        <w:rPr>
          <w:rFonts w:ascii="Calibri" w:hAnsi="Calibri" w:cs="Calibri"/>
          <w:b/>
          <w:bCs/>
          <w:i/>
          <w:iCs/>
        </w:rPr>
        <w:t>6.2.2. Szerokość koryta (profilowanego podłoża)</w:t>
      </w:r>
    </w:p>
    <w:p w:rsidR="00656AC1" w:rsidRPr="00203191" w:rsidRDefault="00656AC1" w:rsidP="00364E4D">
      <w:pPr>
        <w:rPr>
          <w:rFonts w:ascii="Calibri" w:hAnsi="Calibri" w:cs="Calibri"/>
        </w:rPr>
      </w:pPr>
      <w:r w:rsidRPr="00203191">
        <w:rPr>
          <w:rFonts w:ascii="Calibri" w:hAnsi="Calibri" w:cs="Calibri"/>
        </w:rPr>
        <w:t>Szerokość koryta i profilowanego podłoża nie może różnić się od szerokości projektowanej o więcej niż +10 cm i -5 cm.</w:t>
      </w:r>
    </w:p>
    <w:p w:rsidR="00656AC1" w:rsidRPr="00203191" w:rsidRDefault="00656AC1" w:rsidP="00364E4D">
      <w:pPr>
        <w:rPr>
          <w:rFonts w:ascii="Calibri" w:hAnsi="Calibri" w:cs="Calibri"/>
          <w:b/>
          <w:bCs/>
          <w:i/>
          <w:iCs/>
        </w:rPr>
      </w:pPr>
      <w:r w:rsidRPr="00203191">
        <w:rPr>
          <w:rFonts w:ascii="Calibri" w:hAnsi="Calibri" w:cs="Calibri"/>
          <w:b/>
          <w:bCs/>
          <w:i/>
          <w:iCs/>
        </w:rPr>
        <w:t>6.2.3. Równość koryta (profilowanego podłoża)</w:t>
      </w:r>
    </w:p>
    <w:p w:rsidR="00656AC1" w:rsidRPr="00203191" w:rsidRDefault="00656AC1" w:rsidP="00364E4D">
      <w:pPr>
        <w:rPr>
          <w:rFonts w:ascii="Calibri" w:hAnsi="Calibri" w:cs="Calibri"/>
        </w:rPr>
      </w:pPr>
      <w:r w:rsidRPr="00203191">
        <w:rPr>
          <w:rFonts w:ascii="Calibri" w:hAnsi="Calibri" w:cs="Calibri"/>
        </w:rPr>
        <w:t>Nierówności podłużne koryta i profilowanego podłoża należy mierzyć 4-metrową łatą zgodnie z normą BN-68/8931-04.</w:t>
      </w:r>
    </w:p>
    <w:p w:rsidR="00656AC1" w:rsidRPr="00203191" w:rsidRDefault="00656AC1" w:rsidP="00364E4D">
      <w:pPr>
        <w:rPr>
          <w:rFonts w:ascii="Calibri" w:hAnsi="Calibri" w:cs="Calibri"/>
        </w:rPr>
      </w:pPr>
      <w:r w:rsidRPr="00203191">
        <w:rPr>
          <w:rFonts w:ascii="Calibri" w:hAnsi="Calibri" w:cs="Calibri"/>
        </w:rPr>
        <w:t>Nierówności poprzeczne należy mierzyć 4-metrową łatą.</w:t>
      </w:r>
    </w:p>
    <w:p w:rsidR="00656AC1" w:rsidRPr="00203191" w:rsidRDefault="00656AC1" w:rsidP="00364E4D">
      <w:pPr>
        <w:rPr>
          <w:rFonts w:ascii="Calibri" w:hAnsi="Calibri" w:cs="Calibri"/>
        </w:rPr>
      </w:pPr>
      <w:r w:rsidRPr="00203191">
        <w:rPr>
          <w:rFonts w:ascii="Calibri" w:hAnsi="Calibri" w:cs="Calibri"/>
        </w:rPr>
        <w:t>Nierówności nie mogą przekraczać 20 mm.</w:t>
      </w:r>
    </w:p>
    <w:p w:rsidR="00656AC1" w:rsidRPr="00203191" w:rsidRDefault="00656AC1" w:rsidP="00364E4D">
      <w:pPr>
        <w:rPr>
          <w:rFonts w:ascii="Calibri" w:hAnsi="Calibri" w:cs="Calibri"/>
          <w:b/>
          <w:bCs/>
          <w:i/>
          <w:iCs/>
        </w:rPr>
      </w:pPr>
      <w:r w:rsidRPr="00203191">
        <w:rPr>
          <w:rFonts w:ascii="Calibri" w:hAnsi="Calibri" w:cs="Calibri"/>
          <w:b/>
          <w:bCs/>
          <w:i/>
          <w:iCs/>
        </w:rPr>
        <w:t>6.2.4. Spadki poprzeczne</w:t>
      </w:r>
    </w:p>
    <w:p w:rsidR="00656AC1" w:rsidRPr="00203191" w:rsidRDefault="00656AC1" w:rsidP="00364E4D">
      <w:pPr>
        <w:rPr>
          <w:rFonts w:ascii="Calibri" w:hAnsi="Calibri" w:cs="Calibri"/>
        </w:rPr>
      </w:pPr>
      <w:r w:rsidRPr="00203191">
        <w:rPr>
          <w:rFonts w:ascii="Calibri" w:hAnsi="Calibri" w:cs="Calibri"/>
        </w:rPr>
        <w:t xml:space="preserve">Spadki poprzeczne koryta i profilowanego podłoża powinny być zgodne z dokumentacją projektową z tolerancją </w:t>
      </w:r>
      <w:r>
        <w:rPr>
          <w:rFonts w:ascii="Calibri" w:hAnsi="Calibri" w:cs="Calibri"/>
        </w:rPr>
        <w:t>±</w:t>
      </w:r>
      <w:r w:rsidRPr="00203191">
        <w:rPr>
          <w:rFonts w:ascii="Calibri" w:hAnsi="Calibri" w:cs="Calibri"/>
        </w:rPr>
        <w:t xml:space="preserve"> 0,5%.</w:t>
      </w:r>
    </w:p>
    <w:p w:rsidR="00656AC1" w:rsidRPr="00203191" w:rsidRDefault="00656AC1" w:rsidP="00364E4D">
      <w:pPr>
        <w:rPr>
          <w:rFonts w:ascii="Calibri" w:hAnsi="Calibri" w:cs="Calibri"/>
          <w:b/>
          <w:bCs/>
          <w:i/>
          <w:iCs/>
        </w:rPr>
      </w:pPr>
      <w:r w:rsidRPr="00203191">
        <w:rPr>
          <w:rFonts w:ascii="Calibri" w:hAnsi="Calibri" w:cs="Calibri"/>
          <w:b/>
          <w:bCs/>
          <w:i/>
          <w:iCs/>
        </w:rPr>
        <w:t>6.2.5. Rzędne wysokościowe</w:t>
      </w:r>
    </w:p>
    <w:p w:rsidR="00656AC1" w:rsidRPr="00203191" w:rsidRDefault="00656AC1" w:rsidP="00364E4D">
      <w:pPr>
        <w:rPr>
          <w:rFonts w:ascii="Calibri" w:hAnsi="Calibri" w:cs="Calibri"/>
        </w:rPr>
      </w:pPr>
      <w:r w:rsidRPr="00203191">
        <w:rPr>
          <w:rFonts w:ascii="Calibri" w:hAnsi="Calibri" w:cs="Calibri"/>
        </w:rPr>
        <w:t>Różnice pomiędzy rzędnymi wysokościowymi koryta lub wyprofilowanego podłoża i rzędnymi projektowanymi nie powinny przekraczać +1 cm, -2 cm.</w:t>
      </w:r>
    </w:p>
    <w:p w:rsidR="00656AC1" w:rsidRPr="00203191" w:rsidRDefault="00656AC1" w:rsidP="00364E4D">
      <w:pPr>
        <w:rPr>
          <w:rFonts w:ascii="Calibri" w:hAnsi="Calibri" w:cs="Calibri"/>
          <w:b/>
          <w:bCs/>
          <w:i/>
          <w:iCs/>
        </w:rPr>
      </w:pPr>
      <w:r w:rsidRPr="00203191">
        <w:rPr>
          <w:rFonts w:ascii="Calibri" w:hAnsi="Calibri" w:cs="Calibri"/>
          <w:b/>
          <w:bCs/>
          <w:i/>
          <w:iCs/>
        </w:rPr>
        <w:t>6.2.6. Ukształtowanie osi w planie</w:t>
      </w:r>
    </w:p>
    <w:p w:rsidR="00656AC1" w:rsidRPr="00203191" w:rsidRDefault="00656AC1" w:rsidP="00364E4D">
      <w:pPr>
        <w:rPr>
          <w:rFonts w:ascii="Calibri" w:hAnsi="Calibri" w:cs="Calibri"/>
        </w:rPr>
      </w:pPr>
      <w:r w:rsidRPr="00203191">
        <w:rPr>
          <w:rFonts w:ascii="Calibri" w:hAnsi="Calibri" w:cs="Calibri"/>
        </w:rPr>
        <w:t xml:space="preserve">Oś w planie nie może być przesunięta w stosunku do osi projektowanej o więcej niż </w:t>
      </w:r>
      <w:r>
        <w:rPr>
          <w:rFonts w:ascii="Calibri" w:hAnsi="Calibri" w:cs="Calibri"/>
        </w:rPr>
        <w:t>±</w:t>
      </w:r>
      <w:r w:rsidRPr="00203191">
        <w:rPr>
          <w:rFonts w:ascii="Calibri" w:hAnsi="Calibri" w:cs="Calibri"/>
        </w:rPr>
        <w:t xml:space="preserve"> 5 cm.</w:t>
      </w:r>
    </w:p>
    <w:p w:rsidR="00656AC1" w:rsidRPr="00203191" w:rsidRDefault="00656AC1" w:rsidP="00364E4D">
      <w:pPr>
        <w:rPr>
          <w:rFonts w:ascii="Calibri" w:hAnsi="Calibri" w:cs="Calibri"/>
          <w:b/>
          <w:bCs/>
          <w:i/>
          <w:iCs/>
        </w:rPr>
      </w:pPr>
      <w:r w:rsidRPr="00203191">
        <w:rPr>
          <w:rFonts w:ascii="Calibri" w:hAnsi="Calibri" w:cs="Calibri"/>
          <w:b/>
          <w:bCs/>
          <w:i/>
          <w:iCs/>
        </w:rPr>
        <w:t>6.2.7. Zagęszczenie koryta (profilowanego podłoża)</w:t>
      </w:r>
    </w:p>
    <w:p w:rsidR="00656AC1" w:rsidRPr="00203191" w:rsidRDefault="00656AC1" w:rsidP="00364E4D">
      <w:pPr>
        <w:rPr>
          <w:rFonts w:ascii="Calibri" w:hAnsi="Calibri" w:cs="Calibri"/>
        </w:rPr>
      </w:pPr>
      <w:r w:rsidRPr="00203191">
        <w:rPr>
          <w:rFonts w:ascii="Calibri" w:hAnsi="Calibri" w:cs="Calibri"/>
        </w:rPr>
        <w:t>Wskaźnik zagęszczenia koryta i wyprofilowanego podłoża określony wg BN-77/8931-12 nie powinien być mniejszy od podanego w tablicy 2.</w:t>
      </w:r>
    </w:p>
    <w:p w:rsidR="00656AC1" w:rsidRPr="00203191" w:rsidRDefault="00656AC1" w:rsidP="00364E4D">
      <w:pPr>
        <w:rPr>
          <w:rFonts w:ascii="Calibri" w:hAnsi="Calibri" w:cs="Calibri"/>
        </w:rPr>
      </w:pPr>
      <w:r w:rsidRPr="00203191">
        <w:rPr>
          <w:rFonts w:ascii="Calibri" w:hAnsi="Calibri" w:cs="Calibri"/>
        </w:rPr>
        <w:t>Jeśli jako kryterium dobrego zagęszczenia stosuje się porównanie wartości modułów odkształcenia, to wartość stosunku wtórnego do pierwotnego modułu odkształcenia, określonych zgodnie z normą PN-02205:1998 nie powinna być większa od 2,2.</w:t>
      </w:r>
    </w:p>
    <w:p w:rsidR="00656AC1" w:rsidRPr="00203191" w:rsidRDefault="00656AC1" w:rsidP="00364E4D">
      <w:pPr>
        <w:rPr>
          <w:rFonts w:ascii="Calibri" w:hAnsi="Calibri" w:cs="Calibri"/>
        </w:rPr>
      </w:pPr>
      <w:r w:rsidRPr="00203191">
        <w:rPr>
          <w:rFonts w:ascii="Calibri" w:hAnsi="Calibri" w:cs="Calibri"/>
        </w:rPr>
        <w:t>Pomiaru wilgotności naturalnej gruntu należy dokonać w oparciu o normę PKN-CEN ISO/TS 17892-1</w:t>
      </w:r>
    </w:p>
    <w:p w:rsidR="00656AC1" w:rsidRPr="00203191" w:rsidRDefault="00656AC1" w:rsidP="00364E4D">
      <w:pPr>
        <w:rPr>
          <w:rFonts w:ascii="Calibri" w:hAnsi="Calibri" w:cs="Calibri"/>
          <w:b/>
          <w:bCs/>
          <w:i/>
          <w:iCs/>
        </w:rPr>
      </w:pPr>
      <w:r w:rsidRPr="00203191">
        <w:rPr>
          <w:rFonts w:ascii="Calibri" w:hAnsi="Calibri" w:cs="Calibri"/>
          <w:b/>
          <w:bCs/>
          <w:i/>
          <w:iCs/>
        </w:rPr>
        <w:t>6.2.8 Badania nośności</w:t>
      </w:r>
    </w:p>
    <w:p w:rsidR="00656AC1" w:rsidRPr="00203191" w:rsidRDefault="00656AC1" w:rsidP="00364E4D">
      <w:pPr>
        <w:rPr>
          <w:rFonts w:ascii="Calibri" w:hAnsi="Calibri" w:cs="Calibri"/>
        </w:rPr>
      </w:pPr>
      <w:r w:rsidRPr="00203191">
        <w:rPr>
          <w:rFonts w:ascii="Calibri" w:hAnsi="Calibri" w:cs="Calibri"/>
        </w:rPr>
        <w:t xml:space="preserve">Pierwotny i wtórny moduł odkształcenia należy badać wg PN-S-02205:1998. Wyniki winny odpowiadać wymaganiom pkt 5.4 niniejszej </w:t>
      </w:r>
      <w:r w:rsidR="005B48CA">
        <w:rPr>
          <w:rFonts w:ascii="Calibri" w:hAnsi="Calibri" w:cs="Calibri"/>
        </w:rPr>
        <w:t>STWiORB</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 xml:space="preserve"> </w:t>
      </w:r>
    </w:p>
    <w:p w:rsidR="00656AC1" w:rsidRPr="00203191" w:rsidRDefault="00656AC1" w:rsidP="00364E4D">
      <w:pPr>
        <w:pStyle w:val="Nagwek4"/>
        <w:rPr>
          <w:rFonts w:ascii="Calibri" w:hAnsi="Calibri" w:cs="Calibri"/>
        </w:rPr>
      </w:pPr>
      <w:bookmarkStart w:id="883" w:name="_Toc406913860"/>
      <w:bookmarkStart w:id="884" w:name="_Toc406914105"/>
      <w:bookmarkStart w:id="885" w:name="_Toc406914759"/>
      <w:bookmarkStart w:id="886" w:name="_Toc406914862"/>
      <w:bookmarkStart w:id="887" w:name="_Toc406915337"/>
      <w:bookmarkStart w:id="888" w:name="_Toc406984030"/>
      <w:bookmarkStart w:id="889" w:name="_Toc406984177"/>
      <w:bookmarkStart w:id="890" w:name="_Toc406984368"/>
      <w:bookmarkStart w:id="891" w:name="_Toc407069576"/>
      <w:bookmarkStart w:id="892" w:name="_Toc407081541"/>
      <w:bookmarkStart w:id="893" w:name="_Toc407083340"/>
      <w:bookmarkStart w:id="894" w:name="_Toc407084174"/>
      <w:bookmarkStart w:id="895" w:name="_Toc407085293"/>
      <w:bookmarkStart w:id="896" w:name="_Toc407085436"/>
      <w:bookmarkStart w:id="897" w:name="_Toc407085579"/>
      <w:bookmarkStart w:id="898" w:name="_Toc407086027"/>
      <w:r w:rsidRPr="00203191">
        <w:rPr>
          <w:rFonts w:ascii="Calibri" w:hAnsi="Calibri" w:cs="Calibri"/>
        </w:rPr>
        <w:t>6.3. Zasady postępowania z wadliwie wykonanymi odcinkami koryta (profilowanego</w:t>
      </w:r>
      <w:bookmarkEnd w:id="883"/>
      <w:bookmarkEnd w:id="884"/>
      <w:bookmarkEnd w:id="885"/>
      <w:bookmarkEnd w:id="886"/>
      <w:bookmarkEnd w:id="887"/>
      <w:r w:rsidRPr="00203191">
        <w:rPr>
          <w:rFonts w:ascii="Calibri" w:hAnsi="Calibri" w:cs="Calibri"/>
        </w:rPr>
        <w:t xml:space="preserve"> podłoża)</w:t>
      </w:r>
      <w:bookmarkEnd w:id="888"/>
      <w:bookmarkEnd w:id="889"/>
      <w:bookmarkEnd w:id="890"/>
      <w:bookmarkEnd w:id="891"/>
      <w:bookmarkEnd w:id="892"/>
      <w:bookmarkEnd w:id="893"/>
      <w:bookmarkEnd w:id="894"/>
      <w:bookmarkEnd w:id="895"/>
      <w:bookmarkEnd w:id="896"/>
      <w:bookmarkEnd w:id="897"/>
      <w:bookmarkEnd w:id="898"/>
    </w:p>
    <w:p w:rsidR="00656AC1" w:rsidRPr="00203191" w:rsidRDefault="00656AC1" w:rsidP="00364E4D">
      <w:pPr>
        <w:rPr>
          <w:rFonts w:ascii="Calibri" w:hAnsi="Calibri" w:cs="Calibri"/>
        </w:rPr>
      </w:pPr>
      <w:r w:rsidRPr="00203191">
        <w:rPr>
          <w:rFonts w:ascii="Calibri" w:hAnsi="Calibri" w:cs="Calibri"/>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656AC1" w:rsidRPr="00203191" w:rsidRDefault="00656AC1" w:rsidP="00364E4D">
      <w:pPr>
        <w:pStyle w:val="Nagwek3"/>
        <w:rPr>
          <w:rFonts w:ascii="Calibri" w:hAnsi="Calibri" w:cs="Calibri"/>
        </w:rPr>
      </w:pPr>
      <w:bookmarkStart w:id="899" w:name="_Toc406913861"/>
      <w:bookmarkStart w:id="900" w:name="_Toc406914106"/>
      <w:bookmarkStart w:id="901" w:name="_Toc406914760"/>
      <w:bookmarkStart w:id="902" w:name="_Toc406915338"/>
      <w:bookmarkStart w:id="903" w:name="_Toc406984031"/>
      <w:bookmarkStart w:id="904" w:name="_Toc406984178"/>
      <w:bookmarkStart w:id="905" w:name="_Toc406984369"/>
      <w:bookmarkStart w:id="906" w:name="_Toc407069577"/>
      <w:bookmarkStart w:id="907" w:name="_Toc407081542"/>
      <w:bookmarkStart w:id="908" w:name="_Toc407083341"/>
      <w:bookmarkStart w:id="909" w:name="_Toc407084175"/>
      <w:bookmarkStart w:id="910" w:name="_Toc407085294"/>
      <w:bookmarkStart w:id="911" w:name="_Toc407085437"/>
      <w:bookmarkStart w:id="912" w:name="_Toc407085580"/>
      <w:bookmarkStart w:id="913" w:name="_Toc407086028"/>
      <w:r w:rsidRPr="00203191">
        <w:rPr>
          <w:rFonts w:ascii="Calibri" w:hAnsi="Calibri" w:cs="Calibri"/>
        </w:rPr>
        <w:t>7. OBMIAR ROBÓT</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p>
    <w:p w:rsidR="00656AC1" w:rsidRPr="00203191" w:rsidRDefault="00656AC1" w:rsidP="00364E4D">
      <w:pPr>
        <w:pStyle w:val="Nagwek4"/>
        <w:rPr>
          <w:rFonts w:ascii="Calibri" w:hAnsi="Calibri" w:cs="Calibri"/>
        </w:rPr>
      </w:pPr>
      <w:bookmarkStart w:id="914" w:name="_Toc406913862"/>
      <w:bookmarkStart w:id="915" w:name="_Toc406914107"/>
      <w:bookmarkStart w:id="916" w:name="_Toc406914761"/>
      <w:bookmarkStart w:id="917" w:name="_Toc406915339"/>
      <w:bookmarkStart w:id="918" w:name="_Toc406984032"/>
      <w:bookmarkStart w:id="919" w:name="_Toc406984179"/>
      <w:bookmarkStart w:id="920" w:name="_Toc406984370"/>
      <w:bookmarkStart w:id="921" w:name="_Toc407069578"/>
      <w:bookmarkStart w:id="922" w:name="_Toc407081543"/>
      <w:bookmarkStart w:id="923" w:name="_Toc407083342"/>
      <w:bookmarkStart w:id="924" w:name="_Toc407084176"/>
      <w:bookmarkStart w:id="925" w:name="_Toc407085295"/>
      <w:bookmarkStart w:id="926" w:name="_Toc407085438"/>
      <w:bookmarkStart w:id="927" w:name="_Toc407085581"/>
      <w:bookmarkStart w:id="928" w:name="_Toc407086029"/>
      <w:r w:rsidRPr="00203191">
        <w:rPr>
          <w:rFonts w:ascii="Calibri" w:hAnsi="Calibri" w:cs="Calibri"/>
        </w:rPr>
        <w:t>7.1. Ogólne zasady obmiaru robót</w:t>
      </w:r>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p>
    <w:p w:rsidR="00656AC1" w:rsidRPr="00203191" w:rsidRDefault="00656AC1" w:rsidP="00364E4D">
      <w:pPr>
        <w:rPr>
          <w:rFonts w:ascii="Calibri" w:hAnsi="Calibri" w:cs="Calibri"/>
        </w:rPr>
      </w:pPr>
      <w:r w:rsidRPr="00203191">
        <w:rPr>
          <w:rFonts w:ascii="Calibri" w:hAnsi="Calibri" w:cs="Calibri"/>
        </w:rPr>
        <w:t xml:space="preserve">Ogólne zasady obmiaru robót podano w </w:t>
      </w:r>
      <w:r w:rsidR="005B48CA">
        <w:rPr>
          <w:rFonts w:ascii="Calibri" w:hAnsi="Calibri" w:cs="Calibri"/>
        </w:rPr>
        <w:t>STWiORB</w:t>
      </w:r>
      <w:r w:rsidRPr="00203191">
        <w:rPr>
          <w:rFonts w:ascii="Calibri" w:hAnsi="Calibri" w:cs="Calibri"/>
        </w:rPr>
        <w:t xml:space="preserve"> D-M-00.00.00 „Wymagania ogólne” pkt 7.</w:t>
      </w:r>
    </w:p>
    <w:p w:rsidR="00656AC1" w:rsidRPr="00203191" w:rsidRDefault="00656AC1" w:rsidP="00364E4D">
      <w:pPr>
        <w:pStyle w:val="Nagwek4"/>
        <w:rPr>
          <w:rFonts w:ascii="Calibri" w:hAnsi="Calibri" w:cs="Calibri"/>
        </w:rPr>
      </w:pPr>
      <w:bookmarkStart w:id="929" w:name="_Toc406913863"/>
      <w:bookmarkStart w:id="930" w:name="_Toc406914108"/>
      <w:bookmarkStart w:id="931" w:name="_Toc406914762"/>
      <w:bookmarkStart w:id="932" w:name="_Toc406915340"/>
      <w:bookmarkStart w:id="933" w:name="_Toc406984033"/>
      <w:bookmarkStart w:id="934" w:name="_Toc406984180"/>
      <w:bookmarkStart w:id="935" w:name="_Toc406984371"/>
      <w:bookmarkStart w:id="936" w:name="_Toc407069579"/>
      <w:bookmarkStart w:id="937" w:name="_Toc407081544"/>
      <w:bookmarkStart w:id="938" w:name="_Toc407083343"/>
      <w:bookmarkStart w:id="939" w:name="_Toc407084177"/>
      <w:bookmarkStart w:id="940" w:name="_Toc407085296"/>
      <w:bookmarkStart w:id="941" w:name="_Toc407085439"/>
      <w:bookmarkStart w:id="942" w:name="_Toc407085582"/>
      <w:bookmarkStart w:id="943" w:name="_Toc407086030"/>
      <w:r w:rsidRPr="00203191">
        <w:rPr>
          <w:rFonts w:ascii="Calibri" w:hAnsi="Calibri" w:cs="Calibri"/>
        </w:rPr>
        <w:t>7.2. Jednostka obmiarowa</w:t>
      </w:r>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rsidR="00656AC1" w:rsidRPr="00203191" w:rsidRDefault="00656AC1" w:rsidP="00364E4D">
      <w:pPr>
        <w:rPr>
          <w:rFonts w:ascii="Calibri" w:hAnsi="Calibri" w:cs="Calibri"/>
        </w:rPr>
      </w:pPr>
      <w:r w:rsidRPr="00203191">
        <w:rPr>
          <w:rFonts w:ascii="Calibri" w:hAnsi="Calibri" w:cs="Calibri"/>
        </w:rPr>
        <w:t>Jednostką obmiarową jest m</w:t>
      </w:r>
      <w:r w:rsidR="00A2657F">
        <w:rPr>
          <w:rFonts w:ascii="Calibri" w:hAnsi="Calibri" w:cs="Calibri"/>
          <w:vertAlign w:val="superscript"/>
        </w:rPr>
        <w:t>2</w:t>
      </w:r>
      <w:r w:rsidRPr="00203191">
        <w:rPr>
          <w:rFonts w:ascii="Calibri" w:hAnsi="Calibri" w:cs="Calibri"/>
        </w:rPr>
        <w:t xml:space="preserve"> (metr </w:t>
      </w:r>
      <w:r w:rsidR="00A2657F">
        <w:rPr>
          <w:rFonts w:ascii="Calibri" w:hAnsi="Calibri" w:cs="Calibri"/>
        </w:rPr>
        <w:t>kwadratowy</w:t>
      </w:r>
      <w:r w:rsidRPr="00203191">
        <w:rPr>
          <w:rFonts w:ascii="Calibri" w:hAnsi="Calibri" w:cs="Calibri"/>
        </w:rPr>
        <w:t xml:space="preserve"> wykonanego i odebranego koryta.</w:t>
      </w:r>
    </w:p>
    <w:p w:rsidR="00656AC1" w:rsidRPr="00203191" w:rsidRDefault="00656AC1" w:rsidP="00364E4D">
      <w:pPr>
        <w:pStyle w:val="Nagwek3"/>
        <w:rPr>
          <w:rFonts w:ascii="Calibri" w:hAnsi="Calibri" w:cs="Calibri"/>
        </w:rPr>
      </w:pPr>
      <w:bookmarkStart w:id="944" w:name="_Toc406913864"/>
      <w:bookmarkStart w:id="945" w:name="_Toc406914109"/>
      <w:bookmarkStart w:id="946" w:name="_Toc406914763"/>
      <w:bookmarkStart w:id="947" w:name="_Toc406915341"/>
      <w:bookmarkStart w:id="948" w:name="_Toc406984034"/>
      <w:bookmarkStart w:id="949" w:name="_Toc406984181"/>
      <w:bookmarkStart w:id="950" w:name="_Toc406984372"/>
      <w:bookmarkStart w:id="951" w:name="_Toc407069580"/>
      <w:bookmarkStart w:id="952" w:name="_Toc407081545"/>
      <w:bookmarkStart w:id="953" w:name="_Toc407083344"/>
      <w:bookmarkStart w:id="954" w:name="_Toc407084178"/>
      <w:bookmarkStart w:id="955" w:name="_Toc407085297"/>
      <w:bookmarkStart w:id="956" w:name="_Toc407085440"/>
      <w:bookmarkStart w:id="957" w:name="_Toc407085583"/>
      <w:bookmarkStart w:id="958" w:name="_Toc407086031"/>
      <w:r w:rsidRPr="00203191">
        <w:rPr>
          <w:rFonts w:ascii="Calibri" w:hAnsi="Calibri" w:cs="Calibri"/>
        </w:rPr>
        <w:lastRenderedPageBreak/>
        <w:t>8. ODBIÓR ROBÓT</w:t>
      </w:r>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rsidR="00656AC1" w:rsidRPr="00203191" w:rsidRDefault="00656AC1" w:rsidP="00364E4D">
      <w:pPr>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364E4D">
      <w:pPr>
        <w:rPr>
          <w:rFonts w:ascii="Calibri" w:hAnsi="Calibri" w:cs="Calibri"/>
        </w:rPr>
      </w:pPr>
      <w:r w:rsidRPr="00203191">
        <w:rPr>
          <w:rFonts w:ascii="Calibri" w:hAnsi="Calibri" w:cs="Calibri"/>
        </w:rPr>
        <w:t xml:space="preserve">Roboty uznaje się za wykonane zgodnie z dokumentacja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punktu 6 dały wyniki pozytywne.</w:t>
      </w:r>
    </w:p>
    <w:p w:rsidR="00656AC1" w:rsidRPr="00203191" w:rsidRDefault="00656AC1" w:rsidP="00364E4D">
      <w:pPr>
        <w:pStyle w:val="Nagwek3"/>
        <w:rPr>
          <w:rFonts w:ascii="Calibri" w:hAnsi="Calibri" w:cs="Calibri"/>
        </w:rPr>
      </w:pPr>
      <w:bookmarkStart w:id="959" w:name="_Toc406913865"/>
      <w:bookmarkStart w:id="960" w:name="_Toc406914110"/>
      <w:bookmarkStart w:id="961" w:name="_Toc406914764"/>
      <w:bookmarkStart w:id="962" w:name="_Toc406915342"/>
      <w:bookmarkStart w:id="963" w:name="_Toc406984035"/>
      <w:bookmarkStart w:id="964" w:name="_Toc406984182"/>
      <w:bookmarkStart w:id="965" w:name="_Toc406984373"/>
      <w:bookmarkStart w:id="966" w:name="_Toc407069581"/>
      <w:bookmarkStart w:id="967" w:name="_Toc407081546"/>
      <w:bookmarkStart w:id="968" w:name="_Toc407083345"/>
      <w:bookmarkStart w:id="969" w:name="_Toc407084179"/>
      <w:bookmarkStart w:id="970" w:name="_Toc407085298"/>
      <w:bookmarkStart w:id="971" w:name="_Toc407085441"/>
      <w:bookmarkStart w:id="972" w:name="_Toc407085584"/>
      <w:bookmarkStart w:id="973" w:name="_Toc407086032"/>
      <w:r w:rsidRPr="00203191">
        <w:rPr>
          <w:rFonts w:ascii="Calibri" w:hAnsi="Calibri" w:cs="Calibri"/>
        </w:rPr>
        <w:t>9. PODSTAWA PŁATNOŚCI</w:t>
      </w:r>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p>
    <w:p w:rsidR="00656AC1" w:rsidRPr="00203191" w:rsidRDefault="00656AC1" w:rsidP="00364E4D">
      <w:pPr>
        <w:pStyle w:val="Nagwek4"/>
        <w:rPr>
          <w:rFonts w:ascii="Calibri" w:hAnsi="Calibri" w:cs="Calibri"/>
        </w:rPr>
      </w:pPr>
      <w:bookmarkStart w:id="974" w:name="_Toc406913866"/>
      <w:bookmarkStart w:id="975" w:name="_Toc406914111"/>
      <w:bookmarkStart w:id="976" w:name="_Toc406914765"/>
      <w:bookmarkStart w:id="977" w:name="_Toc406915343"/>
      <w:bookmarkStart w:id="978" w:name="_Toc406984036"/>
      <w:bookmarkStart w:id="979" w:name="_Toc406984183"/>
      <w:bookmarkStart w:id="980" w:name="_Toc406984374"/>
      <w:bookmarkStart w:id="981" w:name="_Toc407069582"/>
      <w:bookmarkStart w:id="982" w:name="_Toc407081547"/>
      <w:bookmarkStart w:id="983" w:name="_Toc407083346"/>
      <w:bookmarkStart w:id="984" w:name="_Toc407084180"/>
      <w:bookmarkStart w:id="985" w:name="_Toc407085299"/>
      <w:bookmarkStart w:id="986" w:name="_Toc407085442"/>
      <w:bookmarkStart w:id="987" w:name="_Toc407085585"/>
      <w:bookmarkStart w:id="988" w:name="_Toc407086033"/>
      <w:r w:rsidRPr="00203191">
        <w:rPr>
          <w:rFonts w:ascii="Calibri" w:hAnsi="Calibri" w:cs="Calibri"/>
        </w:rPr>
        <w:t>9.1. Ogólne ustalenia dotyczące podstawy płatności</w:t>
      </w:r>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p>
    <w:p w:rsidR="00656AC1" w:rsidRPr="00203191" w:rsidRDefault="00656AC1" w:rsidP="00364E4D">
      <w:pPr>
        <w:rPr>
          <w:rFonts w:ascii="Calibri" w:hAnsi="Calibri" w:cs="Calibri"/>
        </w:rPr>
      </w:pPr>
      <w:r w:rsidRPr="00203191">
        <w:rPr>
          <w:rFonts w:ascii="Calibri" w:hAnsi="Calibri" w:cs="Calibri"/>
        </w:rPr>
        <w:t xml:space="preserve">Ogólne ustalenia dotyczące podstawy płatności podano w </w:t>
      </w:r>
      <w:r w:rsidR="005B48CA">
        <w:rPr>
          <w:rFonts w:ascii="Calibri" w:hAnsi="Calibri" w:cs="Calibri"/>
        </w:rPr>
        <w:t>STWiORB</w:t>
      </w:r>
      <w:r w:rsidRPr="00203191">
        <w:rPr>
          <w:rFonts w:ascii="Calibri" w:hAnsi="Calibri" w:cs="Calibri"/>
        </w:rPr>
        <w:t xml:space="preserve"> D-M-00.00.00 „Wymagania ogólne” pkt 9.</w:t>
      </w:r>
    </w:p>
    <w:p w:rsidR="00656AC1" w:rsidRPr="00203191" w:rsidRDefault="00656AC1" w:rsidP="00364E4D">
      <w:pPr>
        <w:pStyle w:val="Nagwek4"/>
        <w:rPr>
          <w:rFonts w:ascii="Calibri" w:hAnsi="Calibri" w:cs="Calibri"/>
        </w:rPr>
      </w:pPr>
      <w:bookmarkStart w:id="989" w:name="_Toc406913867"/>
      <w:bookmarkStart w:id="990" w:name="_Toc406914112"/>
      <w:bookmarkStart w:id="991" w:name="_Toc406914766"/>
      <w:bookmarkStart w:id="992" w:name="_Toc406915344"/>
      <w:bookmarkStart w:id="993" w:name="_Toc406984037"/>
      <w:bookmarkStart w:id="994" w:name="_Toc406984184"/>
      <w:bookmarkStart w:id="995" w:name="_Toc406984375"/>
      <w:bookmarkStart w:id="996" w:name="_Toc407069583"/>
      <w:bookmarkStart w:id="997" w:name="_Toc407081548"/>
      <w:bookmarkStart w:id="998" w:name="_Toc407083347"/>
      <w:bookmarkStart w:id="999" w:name="_Toc407084181"/>
      <w:bookmarkStart w:id="1000" w:name="_Toc407085300"/>
      <w:bookmarkStart w:id="1001" w:name="_Toc407085443"/>
      <w:bookmarkStart w:id="1002" w:name="_Toc407085586"/>
      <w:bookmarkStart w:id="1003" w:name="_Toc407086034"/>
      <w:r w:rsidRPr="00203191">
        <w:rPr>
          <w:rFonts w:ascii="Calibri" w:hAnsi="Calibri" w:cs="Calibri"/>
        </w:rPr>
        <w:t>9.2. Cena jednostki obmiarowej</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rsidR="00656AC1" w:rsidRPr="00203191" w:rsidRDefault="00656AC1" w:rsidP="00364E4D">
      <w:pPr>
        <w:rPr>
          <w:rFonts w:ascii="Calibri" w:hAnsi="Calibri" w:cs="Calibri"/>
        </w:rPr>
      </w:pPr>
      <w:r w:rsidRPr="00203191">
        <w:rPr>
          <w:rFonts w:ascii="Calibri" w:hAnsi="Calibri" w:cs="Calibri"/>
        </w:rPr>
        <w:t>Cena wykonania 1 m</w:t>
      </w:r>
      <w:r w:rsidR="00A2657F">
        <w:rPr>
          <w:rFonts w:ascii="Calibri" w:hAnsi="Calibri" w:cs="Calibri"/>
          <w:vertAlign w:val="superscript"/>
        </w:rPr>
        <w:t>2</w:t>
      </w:r>
      <w:r w:rsidRPr="00203191">
        <w:rPr>
          <w:rFonts w:ascii="Calibri" w:hAnsi="Calibri" w:cs="Calibri"/>
        </w:rPr>
        <w:t xml:space="preserve"> koryta obejmuje:</w:t>
      </w:r>
    </w:p>
    <w:p w:rsidR="00656AC1" w:rsidRPr="00203191" w:rsidRDefault="00656AC1" w:rsidP="00954A11">
      <w:pPr>
        <w:numPr>
          <w:ilvl w:val="0"/>
          <w:numId w:val="1"/>
        </w:numPr>
        <w:rPr>
          <w:rFonts w:ascii="Calibri" w:hAnsi="Calibri" w:cs="Calibri"/>
        </w:rPr>
      </w:pPr>
      <w:r w:rsidRPr="00203191">
        <w:rPr>
          <w:rFonts w:ascii="Calibri" w:hAnsi="Calibri" w:cs="Calibri"/>
        </w:rPr>
        <w:t>prace pomiarowe i roboty przygotowawcze,</w:t>
      </w:r>
    </w:p>
    <w:p w:rsidR="00656AC1" w:rsidRPr="00203191" w:rsidRDefault="00656AC1" w:rsidP="00954A11">
      <w:pPr>
        <w:numPr>
          <w:ilvl w:val="0"/>
          <w:numId w:val="1"/>
        </w:numPr>
        <w:rPr>
          <w:rFonts w:ascii="Calibri" w:hAnsi="Calibri" w:cs="Calibri"/>
        </w:rPr>
      </w:pPr>
      <w:r w:rsidRPr="00203191">
        <w:rPr>
          <w:rFonts w:ascii="Calibri" w:hAnsi="Calibri" w:cs="Calibri"/>
        </w:rPr>
        <w:t>odspojenie gruntu z przerzutem na pobocze i rozplantowaniem,</w:t>
      </w:r>
    </w:p>
    <w:p w:rsidR="00656AC1" w:rsidRPr="00203191" w:rsidRDefault="00656AC1" w:rsidP="00954A11">
      <w:pPr>
        <w:numPr>
          <w:ilvl w:val="0"/>
          <w:numId w:val="1"/>
        </w:numPr>
        <w:rPr>
          <w:rFonts w:ascii="Calibri" w:hAnsi="Calibri" w:cs="Calibri"/>
        </w:rPr>
      </w:pPr>
      <w:r w:rsidRPr="00203191">
        <w:rPr>
          <w:rFonts w:ascii="Calibri" w:hAnsi="Calibri" w:cs="Calibri"/>
        </w:rPr>
        <w:t>załadunek nadmiaru odspojonego gruntu na środki transportowe i odwiezienie na odkład lub nasyp,</w:t>
      </w:r>
    </w:p>
    <w:p w:rsidR="00656AC1" w:rsidRPr="00203191" w:rsidRDefault="00656AC1" w:rsidP="00954A11">
      <w:pPr>
        <w:numPr>
          <w:ilvl w:val="0"/>
          <w:numId w:val="1"/>
        </w:numPr>
        <w:rPr>
          <w:rFonts w:ascii="Calibri" w:hAnsi="Calibri" w:cs="Calibri"/>
        </w:rPr>
      </w:pPr>
      <w:r w:rsidRPr="00203191">
        <w:rPr>
          <w:rFonts w:ascii="Calibri" w:hAnsi="Calibri" w:cs="Calibri"/>
        </w:rPr>
        <w:t>profilowanie dna koryta lub podłoża,</w:t>
      </w:r>
    </w:p>
    <w:p w:rsidR="00656AC1" w:rsidRPr="00203191" w:rsidRDefault="00656AC1" w:rsidP="00954A11">
      <w:pPr>
        <w:numPr>
          <w:ilvl w:val="0"/>
          <w:numId w:val="1"/>
        </w:numPr>
        <w:rPr>
          <w:rFonts w:ascii="Calibri" w:hAnsi="Calibri" w:cs="Calibri"/>
        </w:rPr>
      </w:pPr>
      <w:r w:rsidRPr="00203191">
        <w:rPr>
          <w:rFonts w:ascii="Calibri" w:hAnsi="Calibri" w:cs="Calibri"/>
        </w:rPr>
        <w:t>zagęszczenie,</w:t>
      </w:r>
    </w:p>
    <w:p w:rsidR="00656AC1" w:rsidRPr="00203191" w:rsidRDefault="00656AC1" w:rsidP="00954A11">
      <w:pPr>
        <w:numPr>
          <w:ilvl w:val="0"/>
          <w:numId w:val="1"/>
        </w:numPr>
        <w:rPr>
          <w:rFonts w:ascii="Calibri" w:hAnsi="Calibri" w:cs="Calibri"/>
        </w:rPr>
      </w:pPr>
      <w:r w:rsidRPr="00203191">
        <w:rPr>
          <w:rFonts w:ascii="Calibri" w:hAnsi="Calibri" w:cs="Calibri"/>
        </w:rPr>
        <w:t>utrzymanie koryta lub podłoża,</w:t>
      </w:r>
    </w:p>
    <w:p w:rsidR="00656AC1" w:rsidRPr="00203191" w:rsidRDefault="00656AC1" w:rsidP="00954A11">
      <w:pPr>
        <w:numPr>
          <w:ilvl w:val="0"/>
          <w:numId w:val="1"/>
        </w:numPr>
        <w:rPr>
          <w:rFonts w:ascii="Calibri" w:hAnsi="Calibri" w:cs="Calibri"/>
        </w:rPr>
      </w:pPr>
      <w:r w:rsidRPr="00203191">
        <w:rPr>
          <w:rFonts w:ascii="Calibri" w:hAnsi="Calibri" w:cs="Calibri"/>
        </w:rPr>
        <w:t>przeprowadzenie pomiarów i badań laboratoryjnych, wymaganych w specyfikacji technicznej.</w:t>
      </w:r>
      <w:r w:rsidRPr="00203191">
        <w:rPr>
          <w:rFonts w:ascii="Calibri" w:hAnsi="Calibri" w:cs="Calibri"/>
        </w:rPr>
        <w:tab/>
      </w:r>
    </w:p>
    <w:p w:rsidR="00656AC1" w:rsidRPr="00203191" w:rsidRDefault="00656AC1" w:rsidP="00364E4D">
      <w:pPr>
        <w:pStyle w:val="Nagwek3"/>
        <w:rPr>
          <w:rFonts w:ascii="Calibri" w:hAnsi="Calibri" w:cs="Calibri"/>
        </w:rPr>
      </w:pPr>
      <w:bookmarkStart w:id="1004" w:name="_Toc406913868"/>
      <w:bookmarkStart w:id="1005" w:name="_Toc406914113"/>
      <w:bookmarkStart w:id="1006" w:name="_Toc406914767"/>
      <w:bookmarkStart w:id="1007" w:name="_Toc406915345"/>
      <w:bookmarkStart w:id="1008" w:name="_Toc406984038"/>
      <w:bookmarkStart w:id="1009" w:name="_Toc406984185"/>
      <w:bookmarkStart w:id="1010" w:name="_Toc406984376"/>
      <w:bookmarkStart w:id="1011" w:name="_Toc407069584"/>
      <w:bookmarkStart w:id="1012" w:name="_Toc407081549"/>
      <w:bookmarkStart w:id="1013" w:name="_Toc407083348"/>
      <w:bookmarkStart w:id="1014" w:name="_Toc407084182"/>
      <w:bookmarkStart w:id="1015" w:name="_Toc407085301"/>
      <w:bookmarkStart w:id="1016" w:name="_Toc407085444"/>
      <w:bookmarkStart w:id="1017" w:name="_Toc407085587"/>
      <w:bookmarkStart w:id="1018" w:name="_Toc407086035"/>
      <w:r w:rsidRPr="00203191">
        <w:rPr>
          <w:rFonts w:ascii="Calibri" w:hAnsi="Calibri" w:cs="Calibri"/>
        </w:rPr>
        <w:t>10. PRZEPISY ZWIĄZANE</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p>
    <w:p w:rsidR="00656AC1" w:rsidRPr="00203191" w:rsidRDefault="00656AC1" w:rsidP="00364E4D">
      <w:pPr>
        <w:pStyle w:val="Nagwek4"/>
        <w:rPr>
          <w:rFonts w:ascii="Calibri" w:hAnsi="Calibri" w:cs="Calibri"/>
        </w:rPr>
      </w:pPr>
      <w:bookmarkStart w:id="1019" w:name="_Toc406913869"/>
      <w:bookmarkStart w:id="1020" w:name="_Toc406914114"/>
      <w:bookmarkStart w:id="1021" w:name="_Toc406914768"/>
      <w:bookmarkStart w:id="1022" w:name="_Toc406915346"/>
      <w:bookmarkStart w:id="1023" w:name="_Toc406984039"/>
      <w:bookmarkStart w:id="1024" w:name="_Toc406984186"/>
      <w:bookmarkStart w:id="1025" w:name="_Toc406984377"/>
      <w:bookmarkStart w:id="1026" w:name="_Toc407069585"/>
      <w:bookmarkStart w:id="1027" w:name="_Toc407081550"/>
      <w:bookmarkStart w:id="1028" w:name="_Toc407083349"/>
      <w:bookmarkStart w:id="1029" w:name="_Toc407084183"/>
      <w:bookmarkStart w:id="1030" w:name="_Toc407085302"/>
      <w:bookmarkStart w:id="1031" w:name="_Toc407085445"/>
      <w:bookmarkStart w:id="1032" w:name="_Toc407085588"/>
      <w:bookmarkStart w:id="1033" w:name="_Toc407086036"/>
      <w:r w:rsidRPr="00203191">
        <w:rPr>
          <w:rFonts w:ascii="Calibri" w:hAnsi="Calibri" w:cs="Calibri"/>
        </w:rPr>
        <w:t>10.1 Normy</w:t>
      </w:r>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p>
    <w:tbl>
      <w:tblPr>
        <w:tblW w:w="0" w:type="auto"/>
        <w:tblInd w:w="2" w:type="dxa"/>
        <w:tblLayout w:type="fixed"/>
        <w:tblCellMar>
          <w:left w:w="70" w:type="dxa"/>
          <w:right w:w="70" w:type="dxa"/>
        </w:tblCellMar>
        <w:tblLook w:val="0000"/>
      </w:tblPr>
      <w:tblGrid>
        <w:gridCol w:w="496"/>
        <w:gridCol w:w="1701"/>
        <w:gridCol w:w="7512"/>
      </w:tblGrid>
      <w:tr w:rsidR="00656AC1" w:rsidRPr="00203191">
        <w:tc>
          <w:tcPr>
            <w:tcW w:w="496" w:type="dxa"/>
          </w:tcPr>
          <w:p w:rsidR="00656AC1" w:rsidRPr="00203191" w:rsidRDefault="00656AC1" w:rsidP="00364E4D">
            <w:pPr>
              <w:rPr>
                <w:rFonts w:ascii="Calibri" w:hAnsi="Calibri" w:cs="Calibri"/>
              </w:rPr>
            </w:pPr>
            <w:r w:rsidRPr="00203191">
              <w:rPr>
                <w:rFonts w:ascii="Calibri" w:hAnsi="Calibri" w:cs="Calibri"/>
              </w:rPr>
              <w:t>1.</w:t>
            </w:r>
          </w:p>
        </w:tc>
        <w:tc>
          <w:tcPr>
            <w:tcW w:w="1701" w:type="dxa"/>
          </w:tcPr>
          <w:p w:rsidR="00656AC1" w:rsidRPr="00203191" w:rsidRDefault="00656AC1" w:rsidP="00364E4D">
            <w:pPr>
              <w:rPr>
                <w:rFonts w:ascii="Calibri" w:hAnsi="Calibri" w:cs="Calibri"/>
              </w:rPr>
            </w:pPr>
            <w:r w:rsidRPr="00203191">
              <w:rPr>
                <w:rFonts w:ascii="Calibri" w:hAnsi="Calibri" w:cs="Calibri"/>
              </w:rPr>
              <w:t>PN-B-04481:1998</w:t>
            </w:r>
          </w:p>
        </w:tc>
        <w:tc>
          <w:tcPr>
            <w:tcW w:w="7512" w:type="dxa"/>
          </w:tcPr>
          <w:p w:rsidR="00656AC1" w:rsidRPr="00203191" w:rsidRDefault="00656AC1" w:rsidP="00364E4D">
            <w:pPr>
              <w:rPr>
                <w:rFonts w:ascii="Calibri" w:hAnsi="Calibri" w:cs="Calibri"/>
              </w:rPr>
            </w:pPr>
            <w:r w:rsidRPr="00203191">
              <w:rPr>
                <w:rFonts w:ascii="Calibri" w:hAnsi="Calibri" w:cs="Calibri"/>
              </w:rPr>
              <w:t>Grunty budowlane. Badania próbek gruntu</w:t>
            </w:r>
          </w:p>
        </w:tc>
      </w:tr>
      <w:tr w:rsidR="00656AC1" w:rsidRPr="00203191">
        <w:tc>
          <w:tcPr>
            <w:tcW w:w="496" w:type="dxa"/>
          </w:tcPr>
          <w:p w:rsidR="00656AC1" w:rsidRPr="00203191" w:rsidRDefault="00656AC1" w:rsidP="00364E4D">
            <w:pPr>
              <w:rPr>
                <w:rFonts w:ascii="Calibri" w:hAnsi="Calibri" w:cs="Calibri"/>
              </w:rPr>
            </w:pPr>
            <w:r w:rsidRPr="00203191">
              <w:rPr>
                <w:rFonts w:ascii="Calibri" w:hAnsi="Calibri" w:cs="Calibri"/>
              </w:rPr>
              <w:t>2.</w:t>
            </w:r>
          </w:p>
        </w:tc>
        <w:tc>
          <w:tcPr>
            <w:tcW w:w="1701" w:type="dxa"/>
          </w:tcPr>
          <w:p w:rsidR="00656AC1" w:rsidRPr="00203191" w:rsidRDefault="00656AC1" w:rsidP="00364E4D">
            <w:pPr>
              <w:rPr>
                <w:rFonts w:ascii="Calibri" w:hAnsi="Calibri" w:cs="Calibri"/>
              </w:rPr>
            </w:pPr>
            <w:r w:rsidRPr="00203191">
              <w:rPr>
                <w:rFonts w:ascii="Calibri" w:hAnsi="Calibri" w:cs="Calibri"/>
              </w:rPr>
              <w:t>PN-/B-06714-17</w:t>
            </w:r>
          </w:p>
        </w:tc>
        <w:tc>
          <w:tcPr>
            <w:tcW w:w="7512" w:type="dxa"/>
          </w:tcPr>
          <w:p w:rsidR="00656AC1" w:rsidRPr="00203191" w:rsidRDefault="00656AC1" w:rsidP="00364E4D">
            <w:pPr>
              <w:rPr>
                <w:rFonts w:ascii="Calibri" w:hAnsi="Calibri" w:cs="Calibri"/>
              </w:rPr>
            </w:pPr>
            <w:r w:rsidRPr="00203191">
              <w:rPr>
                <w:rFonts w:ascii="Calibri" w:hAnsi="Calibri" w:cs="Calibri"/>
              </w:rPr>
              <w:t>Kruszywa mineralne. Badania. Oznaczanie wilgotności</w:t>
            </w:r>
          </w:p>
        </w:tc>
      </w:tr>
      <w:tr w:rsidR="00656AC1" w:rsidRPr="00203191">
        <w:tc>
          <w:tcPr>
            <w:tcW w:w="496" w:type="dxa"/>
          </w:tcPr>
          <w:p w:rsidR="00656AC1" w:rsidRPr="00203191" w:rsidRDefault="00656AC1" w:rsidP="00364E4D">
            <w:pPr>
              <w:rPr>
                <w:rFonts w:ascii="Calibri" w:hAnsi="Calibri" w:cs="Calibri"/>
              </w:rPr>
            </w:pPr>
            <w:r w:rsidRPr="00203191">
              <w:rPr>
                <w:rFonts w:ascii="Calibri" w:hAnsi="Calibri" w:cs="Calibri"/>
              </w:rPr>
              <w:t>3.</w:t>
            </w:r>
          </w:p>
        </w:tc>
        <w:tc>
          <w:tcPr>
            <w:tcW w:w="1701" w:type="dxa"/>
          </w:tcPr>
          <w:p w:rsidR="00656AC1" w:rsidRPr="00203191" w:rsidRDefault="00656AC1" w:rsidP="00364E4D">
            <w:pPr>
              <w:rPr>
                <w:rFonts w:ascii="Calibri" w:hAnsi="Calibri" w:cs="Calibri"/>
              </w:rPr>
            </w:pPr>
            <w:r w:rsidRPr="00203191">
              <w:rPr>
                <w:rFonts w:ascii="Calibri" w:hAnsi="Calibri" w:cs="Calibri"/>
              </w:rPr>
              <w:t>PN-S-02205:1998</w:t>
            </w:r>
          </w:p>
        </w:tc>
        <w:tc>
          <w:tcPr>
            <w:tcW w:w="7512" w:type="dxa"/>
          </w:tcPr>
          <w:p w:rsidR="00656AC1" w:rsidRPr="00203191" w:rsidRDefault="00656AC1" w:rsidP="00364E4D">
            <w:pPr>
              <w:rPr>
                <w:rFonts w:ascii="Calibri" w:hAnsi="Calibri" w:cs="Calibri"/>
              </w:rPr>
            </w:pPr>
            <w:r w:rsidRPr="00203191">
              <w:rPr>
                <w:rFonts w:ascii="Calibri" w:hAnsi="Calibri" w:cs="Calibri"/>
              </w:rPr>
              <w:t>Drogi samochodowe. Roboty ziemne Wymagania i badania</w:t>
            </w:r>
          </w:p>
        </w:tc>
      </w:tr>
      <w:tr w:rsidR="00656AC1" w:rsidRPr="00203191">
        <w:tc>
          <w:tcPr>
            <w:tcW w:w="496" w:type="dxa"/>
          </w:tcPr>
          <w:p w:rsidR="00656AC1" w:rsidRPr="00203191" w:rsidRDefault="00656AC1" w:rsidP="00364E4D">
            <w:pPr>
              <w:rPr>
                <w:rFonts w:ascii="Calibri" w:hAnsi="Calibri" w:cs="Calibri"/>
              </w:rPr>
            </w:pPr>
            <w:r w:rsidRPr="00203191">
              <w:rPr>
                <w:rFonts w:ascii="Calibri" w:hAnsi="Calibri" w:cs="Calibri"/>
              </w:rPr>
              <w:t>4</w:t>
            </w:r>
          </w:p>
        </w:tc>
        <w:tc>
          <w:tcPr>
            <w:tcW w:w="1701" w:type="dxa"/>
          </w:tcPr>
          <w:p w:rsidR="00656AC1" w:rsidRPr="00203191" w:rsidRDefault="00656AC1" w:rsidP="00364E4D">
            <w:pPr>
              <w:rPr>
                <w:rFonts w:ascii="Calibri" w:hAnsi="Calibri" w:cs="Calibri"/>
              </w:rPr>
            </w:pPr>
            <w:r w:rsidRPr="00203191">
              <w:rPr>
                <w:rFonts w:ascii="Calibri" w:hAnsi="Calibri" w:cs="Calibri"/>
              </w:rPr>
              <w:t>BN-77/8931-12</w:t>
            </w:r>
          </w:p>
        </w:tc>
        <w:tc>
          <w:tcPr>
            <w:tcW w:w="7512" w:type="dxa"/>
          </w:tcPr>
          <w:p w:rsidR="00656AC1" w:rsidRPr="00203191" w:rsidRDefault="00656AC1" w:rsidP="00364E4D">
            <w:pPr>
              <w:rPr>
                <w:rFonts w:ascii="Calibri" w:hAnsi="Calibri" w:cs="Calibri"/>
              </w:rPr>
            </w:pPr>
            <w:r w:rsidRPr="00203191">
              <w:rPr>
                <w:rFonts w:ascii="Calibri" w:hAnsi="Calibri" w:cs="Calibri"/>
              </w:rPr>
              <w:t>Oznaczanie wskaźnika zagęszczenia gruntu</w:t>
            </w:r>
          </w:p>
        </w:tc>
      </w:tr>
    </w:tbl>
    <w:p w:rsidR="00656AC1" w:rsidRPr="00203191" w:rsidRDefault="00656AC1" w:rsidP="00364E4D">
      <w:pPr>
        <w:rPr>
          <w:rFonts w:ascii="Calibri" w:hAnsi="Calibri" w:cs="Calibri"/>
        </w:rPr>
      </w:pPr>
    </w:p>
    <w:p w:rsidR="00656AC1" w:rsidRPr="00203191" w:rsidRDefault="00656AC1" w:rsidP="00954A11">
      <w:pPr>
        <w:numPr>
          <w:ilvl w:val="1"/>
          <w:numId w:val="16"/>
        </w:numPr>
        <w:rPr>
          <w:rFonts w:ascii="Calibri" w:hAnsi="Calibri" w:cs="Calibri"/>
          <w:b/>
          <w:bCs/>
        </w:rPr>
      </w:pPr>
      <w:r w:rsidRPr="00203191">
        <w:rPr>
          <w:rFonts w:ascii="Calibri" w:hAnsi="Calibri" w:cs="Calibri"/>
          <w:b/>
          <w:bCs/>
        </w:rPr>
        <w:t>Inne dokumenty</w:t>
      </w:r>
    </w:p>
    <w:p w:rsidR="00656AC1" w:rsidRPr="00203191" w:rsidRDefault="00656AC1" w:rsidP="00364E4D">
      <w:pPr>
        <w:ind w:left="1"/>
        <w:rPr>
          <w:rFonts w:ascii="Calibri" w:hAnsi="Calibri" w:cs="Calibri"/>
        </w:rPr>
      </w:pPr>
      <w:r w:rsidRPr="00203191">
        <w:rPr>
          <w:rFonts w:ascii="Calibri" w:hAnsi="Calibri" w:cs="Calibri"/>
        </w:rPr>
        <w:t>5. Instrukcja Badań Podłoża Gruntowego Budowli Mostowych i Drogowych Część 2 Załącznik Warszawa 1998</w:t>
      </w:r>
    </w:p>
    <w:p w:rsidR="00656AC1" w:rsidRPr="00764F74" w:rsidRDefault="005B48CA" w:rsidP="00764F74">
      <w:pPr>
        <w:pStyle w:val="Nagwek2"/>
      </w:pPr>
      <w:r w:rsidRPr="00764F74">
        <w:lastRenderedPageBreak/>
        <w:t>SPECYFIKACJE TECHNICZNE</w:t>
      </w:r>
      <w:r w:rsidR="00E22F37" w:rsidRPr="00764F74">
        <w:t xml:space="preserve"> WYKONANIA I ODBIORU ROBÓT BUDOWLANYCH</w:t>
      </w:r>
    </w:p>
    <w:p w:rsidR="00656AC1" w:rsidRPr="00764F74" w:rsidRDefault="00656AC1" w:rsidP="00764F74">
      <w:pPr>
        <w:pStyle w:val="Nagwek1"/>
      </w:pPr>
      <w:bookmarkStart w:id="1034" w:name="_Toc321300027"/>
      <w:bookmarkStart w:id="1035" w:name="_Toc352837487"/>
      <w:bookmarkStart w:id="1036" w:name="_Toc427178272"/>
      <w:bookmarkStart w:id="1037" w:name="_Toc459929671"/>
      <w:r w:rsidRPr="00764F74">
        <w:t>D-04.04.02 PODBUDOWA Z KRUSZYWA ŁAMANEGO STABILIZOWANEGO MECHANICZNIE</w:t>
      </w:r>
      <w:bookmarkEnd w:id="1034"/>
      <w:bookmarkEnd w:id="1035"/>
      <w:bookmarkEnd w:id="1036"/>
      <w:bookmarkEnd w:id="1037"/>
    </w:p>
    <w:p w:rsidR="00656AC1" w:rsidRPr="00203191" w:rsidRDefault="00656AC1" w:rsidP="00364E4D">
      <w:pPr>
        <w:pStyle w:val="Nagwek3"/>
        <w:rPr>
          <w:rFonts w:ascii="Calibri" w:hAnsi="Calibri" w:cs="Calibri"/>
        </w:rPr>
      </w:pPr>
      <w:r w:rsidRPr="00203191">
        <w:rPr>
          <w:rFonts w:ascii="Calibri" w:hAnsi="Calibri" w:cs="Calibri"/>
        </w:rPr>
        <w:t>1. WSTĘP</w:t>
      </w:r>
    </w:p>
    <w:p w:rsidR="00656AC1" w:rsidRPr="00203191" w:rsidRDefault="00656AC1" w:rsidP="00364E4D">
      <w:pPr>
        <w:pStyle w:val="Nagwek4"/>
        <w:rPr>
          <w:rFonts w:ascii="Calibri" w:hAnsi="Calibri" w:cs="Calibri"/>
        </w:rPr>
      </w:pPr>
      <w:r w:rsidRPr="00203191">
        <w:rPr>
          <w:rFonts w:ascii="Calibri" w:hAnsi="Calibri" w:cs="Calibri"/>
        </w:rPr>
        <w:t xml:space="preserve">1.1. Przedmiot </w:t>
      </w:r>
      <w:r w:rsidR="005B48CA">
        <w:rPr>
          <w:rFonts w:ascii="Calibri" w:hAnsi="Calibri" w:cs="Calibri"/>
        </w:rPr>
        <w:t>STWiORB</w:t>
      </w:r>
    </w:p>
    <w:p w:rsidR="00656AC1" w:rsidRPr="00203191" w:rsidRDefault="00656AC1" w:rsidP="00364E4D">
      <w:pPr>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są wymagania ogólne dotyczące wykonania i odbioru robót związanych z wykonywaniem podbudowy z kruszywa łamanego stabilizowanego mechanicznie.</w:t>
      </w:r>
    </w:p>
    <w:p w:rsidR="00656AC1" w:rsidRPr="00203191" w:rsidRDefault="00656AC1" w:rsidP="00364E4D">
      <w:pPr>
        <w:pStyle w:val="Nagwek4"/>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8B786E">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p>
    <w:p w:rsidR="00656AC1" w:rsidRPr="00203191" w:rsidRDefault="00656AC1" w:rsidP="00364E4D">
      <w:pPr>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 wykonywaniem podbudowy z kruszywa łamanego stabilizowanego mechanicznie wg PN-EN 13242:2004 oraz WT-4 2010 Mieszanki niezwiązane do dróg krajowych Wymagania Techniczne.</w:t>
      </w:r>
    </w:p>
    <w:p w:rsidR="00656AC1" w:rsidRPr="00203191" w:rsidRDefault="00656AC1" w:rsidP="00364E4D">
      <w:pPr>
        <w:rPr>
          <w:rFonts w:ascii="Calibri" w:hAnsi="Calibri" w:cs="Calibri"/>
        </w:rPr>
      </w:pPr>
      <w:r w:rsidRPr="00203191">
        <w:rPr>
          <w:rFonts w:ascii="Calibri" w:hAnsi="Calibri" w:cs="Calibri"/>
        </w:rPr>
        <w:tab/>
      </w:r>
    </w:p>
    <w:p w:rsidR="00656AC1" w:rsidRPr="00203191" w:rsidRDefault="00656AC1" w:rsidP="00364E4D">
      <w:pPr>
        <w:pStyle w:val="Nagwek4"/>
        <w:rPr>
          <w:rFonts w:ascii="Calibri" w:hAnsi="Calibri" w:cs="Calibri"/>
        </w:rPr>
      </w:pPr>
      <w:r w:rsidRPr="00203191">
        <w:rPr>
          <w:rFonts w:ascii="Calibri" w:hAnsi="Calibri" w:cs="Calibri"/>
        </w:rPr>
        <w:t>1.4. Określenia podstawowe</w:t>
      </w:r>
    </w:p>
    <w:p w:rsidR="00656AC1" w:rsidRPr="00203191" w:rsidRDefault="00656AC1" w:rsidP="00364E4D">
      <w:pPr>
        <w:rPr>
          <w:rFonts w:ascii="Calibri" w:hAnsi="Calibri" w:cs="Calibri"/>
        </w:rPr>
      </w:pPr>
      <w:r w:rsidRPr="00203191">
        <w:rPr>
          <w:rFonts w:ascii="Calibri" w:hAnsi="Calibri" w:cs="Calibri"/>
          <w:b/>
          <w:bCs/>
          <w:i/>
          <w:iCs/>
        </w:rPr>
        <w:t>1.4.1.</w:t>
      </w:r>
      <w:r w:rsidRPr="00203191">
        <w:rPr>
          <w:rFonts w:ascii="Calibri" w:hAnsi="Calibri" w:cs="Calibri"/>
          <w:b/>
          <w:bCs/>
        </w:rPr>
        <w:t xml:space="preserve"> </w:t>
      </w:r>
      <w:r w:rsidRPr="00203191">
        <w:rPr>
          <w:rFonts w:ascii="Calibri" w:hAnsi="Calibri" w:cs="Calibri"/>
        </w:rPr>
        <w:t>Podbudowa z kruszywa łamanego stabilizowanego mechanicznie - jedna lub więcej warstw zagęszczonej mieszanki, która stanowi warstwę nośną nawierzchni drogowej.</w:t>
      </w:r>
    </w:p>
    <w:p w:rsidR="00656AC1" w:rsidRPr="00203191" w:rsidRDefault="00656AC1" w:rsidP="00364E4D">
      <w:pPr>
        <w:rPr>
          <w:rFonts w:ascii="Calibri" w:hAnsi="Calibri" w:cs="Calibri"/>
        </w:rPr>
      </w:pPr>
      <w:r w:rsidRPr="00203191">
        <w:rPr>
          <w:rFonts w:ascii="Calibri" w:hAnsi="Calibri" w:cs="Calibri"/>
          <w:b/>
          <w:bCs/>
          <w:i/>
          <w:iCs/>
        </w:rPr>
        <w:t>1.4.2.</w:t>
      </w:r>
      <w:r w:rsidRPr="00203191">
        <w:rPr>
          <w:rFonts w:ascii="Calibri" w:hAnsi="Calibri" w:cs="Calibri"/>
          <w:b/>
          <w:bCs/>
        </w:rPr>
        <w:t xml:space="preserve"> </w:t>
      </w:r>
      <w:r w:rsidRPr="00203191">
        <w:rPr>
          <w:rFonts w:ascii="Calibri" w:hAnsi="Calibri" w:cs="Calibri"/>
        </w:rPr>
        <w:t>Pozostałe</w:t>
      </w:r>
      <w:r w:rsidRPr="00203191">
        <w:rPr>
          <w:rFonts w:ascii="Calibri" w:hAnsi="Calibri" w:cs="Calibri"/>
          <w:b/>
          <w:bCs/>
        </w:rPr>
        <w:t xml:space="preserve"> </w:t>
      </w:r>
      <w:r w:rsidRPr="00203191">
        <w:rPr>
          <w:rFonts w:ascii="Calibri" w:hAnsi="Calibri" w:cs="Calibri"/>
        </w:rPr>
        <w:t xml:space="preserve">określenia podstawowe są zgodne z obowiązującymi, odpowiednimi polskimi normami oraz z definicjami podanymi w </w:t>
      </w:r>
      <w:r w:rsidR="005B48CA">
        <w:rPr>
          <w:rFonts w:ascii="Calibri" w:hAnsi="Calibri" w:cs="Calibri"/>
        </w:rPr>
        <w:t>STWiORB</w:t>
      </w:r>
      <w:r w:rsidRPr="00203191">
        <w:rPr>
          <w:rFonts w:ascii="Calibri" w:hAnsi="Calibri" w:cs="Calibri"/>
        </w:rPr>
        <w:t xml:space="preserve"> D-M-00.00.00 „Wymagania ogólne” pkt 1.4. </w:t>
      </w:r>
    </w:p>
    <w:p w:rsidR="00656AC1" w:rsidRPr="00203191" w:rsidRDefault="00656AC1" w:rsidP="00364E4D">
      <w:pPr>
        <w:pStyle w:val="Nagwek4"/>
        <w:rPr>
          <w:rFonts w:ascii="Calibri" w:hAnsi="Calibri" w:cs="Calibri"/>
        </w:rPr>
      </w:pPr>
      <w:r w:rsidRPr="00203191">
        <w:rPr>
          <w:rFonts w:ascii="Calibri" w:hAnsi="Calibri" w:cs="Calibri"/>
        </w:rPr>
        <w:t>1.5. Ogólne wymagania dotyczące robót</w:t>
      </w:r>
    </w:p>
    <w:p w:rsidR="00656AC1" w:rsidRPr="00203191" w:rsidRDefault="00656AC1" w:rsidP="00364E4D">
      <w:pPr>
        <w:pStyle w:val="tekstost"/>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364E4D">
      <w:pPr>
        <w:pStyle w:val="Nagwek3"/>
        <w:rPr>
          <w:rFonts w:ascii="Calibri" w:hAnsi="Calibri" w:cs="Calibri"/>
        </w:rPr>
      </w:pPr>
      <w:r w:rsidRPr="00203191">
        <w:rPr>
          <w:rFonts w:ascii="Calibri" w:hAnsi="Calibri" w:cs="Calibri"/>
        </w:rPr>
        <w:t xml:space="preserve">2. </w:t>
      </w:r>
      <w:r w:rsidR="00A95FEE">
        <w:rPr>
          <w:rFonts w:ascii="Calibri" w:hAnsi="Calibri" w:cs="Calibri"/>
        </w:rPr>
        <w:t>WYROBY BUDOWLANE</w:t>
      </w:r>
    </w:p>
    <w:p w:rsidR="00656AC1" w:rsidRPr="00203191" w:rsidRDefault="00656AC1" w:rsidP="00364E4D">
      <w:pPr>
        <w:pStyle w:val="Nagwek4"/>
        <w:rPr>
          <w:rFonts w:ascii="Calibri" w:hAnsi="Calibri" w:cs="Calibri"/>
        </w:rPr>
      </w:pPr>
      <w:r w:rsidRPr="00203191">
        <w:rPr>
          <w:rFonts w:ascii="Calibri" w:hAnsi="Calibri" w:cs="Calibri"/>
        </w:rPr>
        <w:t>2.1. Ogólne wymagania dotyczące materiałów</w:t>
      </w:r>
    </w:p>
    <w:p w:rsidR="00656AC1" w:rsidRPr="00203191" w:rsidRDefault="00656AC1" w:rsidP="00364E4D">
      <w:pPr>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 Wymagania ogólne” pkt 2.</w:t>
      </w:r>
    </w:p>
    <w:p w:rsidR="00656AC1" w:rsidRPr="00203191" w:rsidRDefault="00656AC1" w:rsidP="00364E4D">
      <w:pPr>
        <w:pStyle w:val="Nagwek4"/>
        <w:rPr>
          <w:rFonts w:ascii="Calibri" w:hAnsi="Calibri" w:cs="Calibri"/>
        </w:rPr>
      </w:pPr>
      <w:r w:rsidRPr="00203191">
        <w:rPr>
          <w:rFonts w:ascii="Calibri" w:hAnsi="Calibri" w:cs="Calibri"/>
        </w:rPr>
        <w:t>2.2. Rodzaje materiałów</w:t>
      </w:r>
    </w:p>
    <w:p w:rsidR="00656AC1" w:rsidRPr="00203191" w:rsidRDefault="00656AC1" w:rsidP="00364E4D">
      <w:pPr>
        <w:pStyle w:val="tekstost"/>
        <w:rPr>
          <w:rFonts w:ascii="Calibri" w:hAnsi="Calibri" w:cs="Calibri"/>
        </w:rPr>
      </w:pPr>
      <w:r w:rsidRPr="00203191">
        <w:rPr>
          <w:rFonts w:ascii="Calibri" w:hAnsi="Calibri" w:cs="Calibri"/>
        </w:rPr>
        <w:t>Materiałem do wykonania podbudowy z kruszyw łamanych stabilizowanych mechanicznie powinno być kruszywo łamane, uzyskane w wyniku przekruszenia surowca skalnego</w:t>
      </w:r>
    </w:p>
    <w:p w:rsidR="00656AC1" w:rsidRPr="00203191" w:rsidRDefault="00656AC1" w:rsidP="00364E4D">
      <w:pPr>
        <w:pStyle w:val="tekstost"/>
        <w:rPr>
          <w:rFonts w:ascii="Calibri" w:hAnsi="Calibri" w:cs="Calibri"/>
        </w:rPr>
      </w:pPr>
      <w:r w:rsidRPr="00203191">
        <w:rPr>
          <w:rFonts w:ascii="Calibri" w:hAnsi="Calibri" w:cs="Calibri"/>
        </w:rPr>
        <w:t>Kruszywo powinno być jednorodne bez zanieczyszczeń obcych i bez domieszek gliny.</w:t>
      </w:r>
    </w:p>
    <w:p w:rsidR="00656AC1" w:rsidRPr="00203191" w:rsidRDefault="00656AC1" w:rsidP="00364E4D">
      <w:pPr>
        <w:pStyle w:val="Nagwek4"/>
        <w:rPr>
          <w:rFonts w:ascii="Calibri" w:hAnsi="Calibri" w:cs="Calibri"/>
        </w:rPr>
      </w:pPr>
      <w:r w:rsidRPr="00203191">
        <w:rPr>
          <w:rFonts w:ascii="Calibri" w:hAnsi="Calibri" w:cs="Calibri"/>
        </w:rPr>
        <w:t xml:space="preserve">2.3. Wymagania dla </w:t>
      </w:r>
      <w:r w:rsidR="00764F74">
        <w:rPr>
          <w:rFonts w:ascii="Calibri" w:hAnsi="Calibri" w:cs="Calibri"/>
        </w:rPr>
        <w:t>kruszyw</w:t>
      </w:r>
    </w:p>
    <w:p w:rsidR="00764F74" w:rsidRDefault="00656AC1" w:rsidP="00364E4D">
      <w:pPr>
        <w:pStyle w:val="tekstost"/>
        <w:rPr>
          <w:rFonts w:ascii="Calibri" w:hAnsi="Calibri" w:cs="Calibri"/>
        </w:rPr>
      </w:pPr>
      <w:r w:rsidRPr="00203191">
        <w:rPr>
          <w:rFonts w:ascii="Calibri" w:hAnsi="Calibri" w:cs="Calibri"/>
        </w:rPr>
        <w:t>Kruszywa do podbudów winny odpowiadać wymaganiom WT-4 2010 Mieszanki niezwiązane do dróg krajowych Wymagania Techniczne rozdział 6 oraz rozdziału</w:t>
      </w:r>
      <w:r w:rsidR="002412CC">
        <w:rPr>
          <w:rFonts w:ascii="Calibri" w:hAnsi="Calibri" w:cs="Calibri"/>
        </w:rPr>
        <w:t xml:space="preserve"> 5</w:t>
      </w:r>
      <w:r w:rsidRPr="00203191">
        <w:rPr>
          <w:rFonts w:ascii="Calibri" w:hAnsi="Calibri" w:cs="Calibri"/>
        </w:rPr>
        <w:t xml:space="preserve"> </w:t>
      </w:r>
    </w:p>
    <w:p w:rsidR="002412CC" w:rsidRDefault="002412CC" w:rsidP="00364E4D">
      <w:pPr>
        <w:pStyle w:val="tekstost"/>
        <w:rPr>
          <w:rFonts w:ascii="Calibri" w:hAnsi="Calibri" w:cs="Calibri"/>
        </w:rPr>
      </w:pPr>
    </w:p>
    <w:p w:rsidR="002412CC" w:rsidRDefault="002412CC" w:rsidP="00364E4D">
      <w:pPr>
        <w:pStyle w:val="tekstost"/>
        <w:rPr>
          <w:rFonts w:ascii="Calibri" w:hAnsi="Calibri" w:cs="Calibri"/>
        </w:rPr>
      </w:pPr>
    </w:p>
    <w:p w:rsidR="00764F74" w:rsidRDefault="00764F74" w:rsidP="00364E4D">
      <w:pPr>
        <w:pStyle w:val="tekstost"/>
        <w:rPr>
          <w:rFonts w:ascii="Calibri" w:hAnsi="Calibri" w:cs="Calibri"/>
        </w:rPr>
      </w:pPr>
    </w:p>
    <w:p w:rsidR="00764F74" w:rsidRDefault="00764F74" w:rsidP="00364E4D">
      <w:pPr>
        <w:pStyle w:val="tekstost"/>
        <w:rPr>
          <w:rFonts w:ascii="Calibri" w:hAnsi="Calibri" w:cs="Calibri"/>
        </w:rPr>
      </w:pPr>
    </w:p>
    <w:p w:rsidR="00764F74" w:rsidRDefault="00764F74" w:rsidP="00364E4D">
      <w:pPr>
        <w:pStyle w:val="tekstost"/>
        <w:rPr>
          <w:rFonts w:ascii="Calibri" w:hAnsi="Calibri" w:cs="Calibri"/>
        </w:rPr>
      </w:pPr>
    </w:p>
    <w:p w:rsidR="00764F74" w:rsidRPr="00764F74" w:rsidRDefault="00764F74" w:rsidP="00764F74">
      <w:pPr>
        <w:overflowPunct/>
        <w:jc w:val="left"/>
        <w:textAlignment w:val="auto"/>
        <w:rPr>
          <w:rFonts w:asciiTheme="minorHAnsi" w:hAnsiTheme="minorHAnsi"/>
          <w:bCs/>
        </w:rPr>
      </w:pPr>
      <w:r w:rsidRPr="00764F74">
        <w:rPr>
          <w:rFonts w:asciiTheme="minorHAnsi" w:hAnsiTheme="minorHAnsi"/>
          <w:bCs/>
        </w:rPr>
        <w:t>Tablica 1 Wymagane wła</w:t>
      </w:r>
      <w:r w:rsidRPr="00764F74">
        <w:rPr>
          <w:rFonts w:asciiTheme="minorHAnsi" w:eastAsia="TimesNewRoman,Bold" w:hAnsiTheme="minorHAnsi"/>
          <w:bCs/>
        </w:rPr>
        <w:t>ś</w:t>
      </w:r>
      <w:r w:rsidRPr="00764F74">
        <w:rPr>
          <w:rFonts w:asciiTheme="minorHAnsi" w:hAnsiTheme="minorHAnsi"/>
          <w:bCs/>
        </w:rPr>
        <w:t>ciwo</w:t>
      </w:r>
      <w:r w:rsidRPr="00764F74">
        <w:rPr>
          <w:rFonts w:asciiTheme="minorHAnsi" w:eastAsia="TimesNewRoman,Bold" w:hAnsiTheme="minorHAnsi"/>
          <w:bCs/>
        </w:rPr>
        <w:t>ś</w:t>
      </w:r>
      <w:r w:rsidRPr="00764F74">
        <w:rPr>
          <w:rFonts w:asciiTheme="minorHAnsi" w:hAnsiTheme="minorHAnsi"/>
          <w:bCs/>
        </w:rPr>
        <w:t>ci kruszywa do mieszanek niezwi</w:t>
      </w:r>
      <w:r w:rsidRPr="00764F74">
        <w:rPr>
          <w:rFonts w:asciiTheme="minorHAnsi" w:eastAsia="TimesNewRoman,Bold" w:hAnsiTheme="minorHAnsi"/>
          <w:bCs/>
        </w:rPr>
        <w:t>ą</w:t>
      </w:r>
      <w:r w:rsidRPr="00764F74">
        <w:rPr>
          <w:rFonts w:asciiTheme="minorHAnsi" w:hAnsiTheme="minorHAnsi"/>
          <w:bCs/>
        </w:rPr>
        <w:t xml:space="preserve">zanych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2"/>
        <w:gridCol w:w="3067"/>
        <w:gridCol w:w="1909"/>
        <w:gridCol w:w="1917"/>
        <w:gridCol w:w="1877"/>
      </w:tblGrid>
      <w:tr w:rsidR="00764F74" w:rsidRPr="00764F74" w:rsidTr="00AF470B">
        <w:tc>
          <w:tcPr>
            <w:tcW w:w="784"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Punkt</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 normie</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PN-EN</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13242</w:t>
            </w:r>
          </w:p>
        </w:tc>
        <w:tc>
          <w:tcPr>
            <w:tcW w:w="3221"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Wła</w:t>
            </w:r>
            <w:r w:rsidRPr="00764F74">
              <w:rPr>
                <w:rFonts w:asciiTheme="minorHAnsi" w:eastAsia="TimesNewRoman" w:hAnsiTheme="minorHAnsi"/>
              </w:rPr>
              <w:t>ś</w:t>
            </w:r>
            <w:r w:rsidRPr="00764F74">
              <w:rPr>
                <w:rFonts w:asciiTheme="minorHAnsi" w:hAnsiTheme="minorHAnsi"/>
              </w:rPr>
              <w:t>ciwo</w:t>
            </w:r>
            <w:r w:rsidRPr="00764F74">
              <w:rPr>
                <w:rFonts w:asciiTheme="minorHAnsi" w:eastAsia="TimesNewRoman" w:hAnsiTheme="minorHAnsi"/>
              </w:rPr>
              <w:t>ś</w:t>
            </w:r>
            <w:r w:rsidRPr="00764F74">
              <w:rPr>
                <w:rFonts w:asciiTheme="minorHAnsi" w:hAnsiTheme="minorHAnsi"/>
              </w:rPr>
              <w:t>ci</w:t>
            </w:r>
          </w:p>
        </w:tc>
        <w:tc>
          <w:tcPr>
            <w:tcW w:w="1950" w:type="dxa"/>
            <w:shd w:val="clear" w:color="auto" w:fill="auto"/>
          </w:tcPr>
          <w:p w:rsidR="00C16E0E" w:rsidRDefault="00C16E0E" w:rsidP="00AF470B">
            <w:pPr>
              <w:overflowPunct/>
              <w:jc w:val="center"/>
              <w:textAlignment w:val="auto"/>
              <w:rPr>
                <w:rFonts w:asciiTheme="minorHAnsi" w:hAnsiTheme="minorHAnsi"/>
              </w:rPr>
            </w:pPr>
            <w:r>
              <w:rPr>
                <w:rFonts w:asciiTheme="minorHAnsi" w:hAnsiTheme="minorHAnsi"/>
              </w:rPr>
              <w:t>Podbudowa pomocnicza jezdni i stanowisk parkingowych</w:t>
            </w:r>
          </w:p>
          <w:p w:rsidR="00764F74" w:rsidRPr="00764F74" w:rsidRDefault="00C16E0E" w:rsidP="00AF470B">
            <w:pPr>
              <w:overflowPunct/>
              <w:jc w:val="center"/>
              <w:textAlignment w:val="auto"/>
              <w:rPr>
                <w:rFonts w:asciiTheme="minorHAnsi" w:hAnsiTheme="minorHAnsi"/>
              </w:rPr>
            </w:pPr>
            <w:r>
              <w:rPr>
                <w:rFonts w:asciiTheme="minorHAnsi" w:hAnsiTheme="minorHAnsi"/>
              </w:rPr>
              <w:t xml:space="preserve"> KR1</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Podbudowa zasadnicza chodnika</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Odniesienie do tablicy w PN EN 13242</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4.3.1</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Uziarnienie wg PN-EN 933-1  kategoria nie niższa niż</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GC80/20,</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GF80,</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GA75</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GC80/20,</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GF80,</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GA75</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Tab.2</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4.3.2</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Warto</w:t>
            </w:r>
            <w:r w:rsidRPr="00764F74">
              <w:rPr>
                <w:rFonts w:asciiTheme="minorHAnsi" w:eastAsia="TimesNewRoman" w:hAnsiTheme="minorHAnsi"/>
              </w:rPr>
              <w:t>ś</w:t>
            </w:r>
            <w:r w:rsidRPr="00764F74">
              <w:rPr>
                <w:rFonts w:asciiTheme="minorHAnsi" w:hAnsiTheme="minorHAnsi"/>
              </w:rPr>
              <w:t>ci graniczne i tolerancje uziarnienia kruszywa grubego na</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sitach po</w:t>
            </w:r>
            <w:r w:rsidRPr="00764F74">
              <w:rPr>
                <w:rFonts w:asciiTheme="minorHAnsi" w:eastAsia="TimesNewRoman" w:hAnsiTheme="minorHAnsi"/>
              </w:rPr>
              <w:t>ś</w:t>
            </w:r>
            <w:r w:rsidRPr="00764F74">
              <w:rPr>
                <w:rFonts w:asciiTheme="minorHAnsi" w:hAnsiTheme="minorHAnsi"/>
              </w:rPr>
              <w:t>rednich wg PN EN</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933-1, odchylenia nie wi</w:t>
            </w:r>
            <w:r w:rsidRPr="00764F74">
              <w:rPr>
                <w:rFonts w:asciiTheme="minorHAnsi" w:eastAsia="TimesNewRoman" w:hAnsiTheme="minorHAnsi"/>
              </w:rPr>
              <w:t>ę</w:t>
            </w:r>
            <w:r w:rsidRPr="00764F74">
              <w:rPr>
                <w:rFonts w:asciiTheme="minorHAnsi" w:hAnsiTheme="minorHAnsi"/>
              </w:rPr>
              <w:t>ksze niż</w:t>
            </w:r>
            <w:r w:rsidRPr="00764F74">
              <w:rPr>
                <w:rFonts w:asciiTheme="minorHAnsi" w:eastAsia="TimesNewRoman" w:hAnsiTheme="minorHAnsi"/>
              </w:rPr>
              <w:t xml:space="preserve"> </w:t>
            </w:r>
            <w:r w:rsidRPr="00764F74">
              <w:rPr>
                <w:rFonts w:asciiTheme="minorHAnsi" w:hAnsiTheme="minorHAnsi"/>
              </w:rPr>
              <w:t>wg kategorii</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GTC20/15</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GTC20/15</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3</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4.3.3</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Tolerancja uziarnienia kruszywa drobnego i kruszywa o ci</w:t>
            </w:r>
            <w:r w:rsidRPr="00764F74">
              <w:rPr>
                <w:rFonts w:asciiTheme="minorHAnsi" w:eastAsia="TimesNewRoman" w:hAnsiTheme="minorHAnsi"/>
              </w:rPr>
              <w:t>ą</w:t>
            </w:r>
            <w:r w:rsidRPr="00764F74">
              <w:rPr>
                <w:rFonts w:asciiTheme="minorHAnsi" w:hAnsiTheme="minorHAnsi"/>
              </w:rPr>
              <w:t>głym</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uziarnieniu wg PN-EN 933-1 odchylenia nie wi</w:t>
            </w:r>
            <w:r w:rsidRPr="00764F74">
              <w:rPr>
                <w:rFonts w:asciiTheme="minorHAnsi" w:eastAsia="TimesNewRoman" w:hAnsiTheme="minorHAnsi"/>
              </w:rPr>
              <w:t>ę</w:t>
            </w:r>
            <w:r w:rsidRPr="00764F74">
              <w:rPr>
                <w:rFonts w:asciiTheme="minorHAnsi" w:hAnsiTheme="minorHAnsi"/>
              </w:rPr>
              <w:t>ksze niż</w:t>
            </w:r>
            <w:r w:rsidRPr="00764F74">
              <w:rPr>
                <w:rFonts w:asciiTheme="minorHAnsi" w:eastAsia="TimesNewRoman" w:hAnsiTheme="minorHAnsi"/>
              </w:rPr>
              <w:t xml:space="preserve"> </w:t>
            </w:r>
            <w:r w:rsidRPr="00764F74">
              <w:rPr>
                <w:rFonts w:asciiTheme="minorHAnsi" w:hAnsiTheme="minorHAnsi"/>
              </w:rPr>
              <w:t>wg kategorii</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GTF10,</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GTA20</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GTF10,</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GTA20</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4</w:t>
            </w:r>
          </w:p>
        </w:tc>
      </w:tr>
      <w:tr w:rsidR="00764F74" w:rsidRPr="00764F74" w:rsidTr="00AF470B">
        <w:tc>
          <w:tcPr>
            <w:tcW w:w="784" w:type="dxa"/>
            <w:vMerge w:val="restart"/>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4.4</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Kształt kruszywa grubego – wg PN-EN 933-4</w:t>
            </w:r>
            <w:r w:rsidRPr="00764F74">
              <w:rPr>
                <w:rFonts w:asciiTheme="minorHAnsi" w:hAnsiTheme="minorHAnsi"/>
                <w:vertAlign w:val="superscript"/>
              </w:rPr>
              <w:t>a)</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a) wska</w:t>
            </w:r>
            <w:r w:rsidRPr="00764F74">
              <w:rPr>
                <w:rFonts w:asciiTheme="minorHAnsi" w:eastAsia="TimesNewRoman" w:hAnsiTheme="minorHAnsi"/>
              </w:rPr>
              <w:t>ź</w:t>
            </w:r>
            <w:r w:rsidRPr="00764F74">
              <w:rPr>
                <w:rFonts w:asciiTheme="minorHAnsi" w:hAnsiTheme="minorHAnsi"/>
              </w:rPr>
              <w:t>nik płasko</w:t>
            </w:r>
            <w:r w:rsidRPr="00764F74">
              <w:rPr>
                <w:rFonts w:asciiTheme="minorHAnsi" w:eastAsia="TimesNewRoman" w:hAnsiTheme="minorHAnsi"/>
              </w:rPr>
              <w:t>ś</w:t>
            </w:r>
            <w:r w:rsidRPr="00764F74">
              <w:rPr>
                <w:rFonts w:asciiTheme="minorHAnsi" w:hAnsiTheme="minorHAnsi"/>
              </w:rPr>
              <w:t>ci kategoria nie wyższa niż</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FI50</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FI50</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5</w:t>
            </w:r>
          </w:p>
        </w:tc>
      </w:tr>
      <w:tr w:rsidR="00764F74" w:rsidRPr="00764F74" w:rsidTr="00AF470B">
        <w:tc>
          <w:tcPr>
            <w:tcW w:w="784" w:type="dxa"/>
            <w:vMerge/>
            <w:shd w:val="clear" w:color="auto" w:fill="auto"/>
          </w:tcPr>
          <w:p w:rsidR="00764F74" w:rsidRPr="00764F74" w:rsidRDefault="00764F74" w:rsidP="00AF470B">
            <w:pPr>
              <w:overflowPunct/>
              <w:jc w:val="left"/>
              <w:textAlignment w:val="auto"/>
              <w:rPr>
                <w:rFonts w:asciiTheme="minorHAnsi" w:hAnsiTheme="minorHAnsi"/>
              </w:rPr>
            </w:pP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lub</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b)wska</w:t>
            </w:r>
            <w:r w:rsidRPr="00764F74">
              <w:rPr>
                <w:rFonts w:asciiTheme="minorHAnsi" w:eastAsia="TimesNewRoman" w:hAnsiTheme="minorHAnsi"/>
              </w:rPr>
              <w:t>ź</w:t>
            </w:r>
            <w:r w:rsidRPr="00764F74">
              <w:rPr>
                <w:rFonts w:asciiTheme="minorHAnsi" w:hAnsiTheme="minorHAnsi"/>
              </w:rPr>
              <w:t>nik kształtu kategoria nie wyższa niż</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SI55</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SI55</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6</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4.5</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Kategorie procentowych zawarto</w:t>
            </w:r>
            <w:r w:rsidRPr="00764F74">
              <w:rPr>
                <w:rFonts w:asciiTheme="minorHAnsi" w:eastAsia="TimesNewRoman" w:hAnsiTheme="minorHAnsi"/>
              </w:rPr>
              <w:t>ś</w:t>
            </w:r>
            <w:r w:rsidRPr="00764F74">
              <w:rPr>
                <w:rFonts w:asciiTheme="minorHAnsi" w:hAnsiTheme="minorHAnsi"/>
              </w:rPr>
              <w:t>ci ziaren o powierzchni przekruszonej</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lub łamanych oraz ziaren całkowicie zaokr</w:t>
            </w:r>
            <w:r w:rsidRPr="00764F74">
              <w:rPr>
                <w:rFonts w:asciiTheme="minorHAnsi" w:eastAsia="TimesNewRoman" w:hAnsiTheme="minorHAnsi"/>
              </w:rPr>
              <w:t>ą</w:t>
            </w:r>
            <w:r w:rsidRPr="00764F74">
              <w:rPr>
                <w:rFonts w:asciiTheme="minorHAnsi" w:hAnsiTheme="minorHAnsi"/>
              </w:rPr>
              <w:t>glonych w kruszywie grubym wg PN-EN 933-5</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C90/3</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C90/3</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7</w:t>
            </w:r>
          </w:p>
        </w:tc>
      </w:tr>
      <w:tr w:rsidR="00764F74" w:rsidRPr="00764F74" w:rsidTr="00AF470B">
        <w:tc>
          <w:tcPr>
            <w:tcW w:w="784" w:type="dxa"/>
            <w:vMerge w:val="restart"/>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4.6</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Zawarto</w:t>
            </w:r>
            <w:r w:rsidRPr="00764F74">
              <w:rPr>
                <w:rFonts w:asciiTheme="minorHAnsi" w:eastAsia="TimesNewRoman" w:hAnsiTheme="minorHAnsi"/>
              </w:rPr>
              <w:t xml:space="preserve">ść </w:t>
            </w:r>
            <w:r w:rsidRPr="00764F74">
              <w:rPr>
                <w:rFonts w:asciiTheme="minorHAnsi" w:hAnsiTheme="minorHAnsi"/>
              </w:rPr>
              <w:t>pyłu wg PN-EN 933-1</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a) w kruszywie grubym*</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fDeklarowana</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fDeklarowana</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8</w:t>
            </w:r>
          </w:p>
        </w:tc>
      </w:tr>
      <w:tr w:rsidR="00764F74" w:rsidRPr="00764F74" w:rsidTr="00AF470B">
        <w:tc>
          <w:tcPr>
            <w:tcW w:w="784" w:type="dxa"/>
            <w:vMerge/>
            <w:shd w:val="clear" w:color="auto" w:fill="auto"/>
          </w:tcPr>
          <w:p w:rsidR="00764F74" w:rsidRPr="00764F74" w:rsidRDefault="00764F74" w:rsidP="00AF470B">
            <w:pPr>
              <w:overflowPunct/>
              <w:jc w:val="left"/>
              <w:textAlignment w:val="auto"/>
              <w:rPr>
                <w:rFonts w:asciiTheme="minorHAnsi" w:hAnsiTheme="minorHAnsi"/>
              </w:rPr>
            </w:pP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b) w kruszywie drobnym</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fDeklarowana</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fDeklarowana</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8</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4.7</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Jako</w:t>
            </w:r>
            <w:r w:rsidRPr="00764F74">
              <w:rPr>
                <w:rFonts w:asciiTheme="minorHAnsi" w:eastAsia="TimesNewRoman" w:hAnsiTheme="minorHAnsi"/>
              </w:rPr>
              <w:t xml:space="preserve">ść </w:t>
            </w:r>
            <w:r w:rsidRPr="00764F74">
              <w:rPr>
                <w:rFonts w:asciiTheme="minorHAnsi" w:hAnsiTheme="minorHAnsi"/>
              </w:rPr>
              <w:t>pyłu</w:t>
            </w:r>
          </w:p>
        </w:tc>
        <w:tc>
          <w:tcPr>
            <w:tcW w:w="5850" w:type="dxa"/>
            <w:gridSpan w:val="3"/>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Wła</w:t>
            </w:r>
            <w:r w:rsidRPr="00764F74">
              <w:rPr>
                <w:rFonts w:asciiTheme="minorHAnsi" w:eastAsia="TimesNewRoman" w:hAnsiTheme="minorHAnsi"/>
              </w:rPr>
              <w:t>ś</w:t>
            </w:r>
            <w:r w:rsidRPr="00764F74">
              <w:rPr>
                <w:rFonts w:asciiTheme="minorHAnsi" w:hAnsiTheme="minorHAnsi"/>
              </w:rPr>
              <w:t>ciwo</w:t>
            </w:r>
            <w:r w:rsidRPr="00764F74">
              <w:rPr>
                <w:rFonts w:asciiTheme="minorHAnsi" w:eastAsia="TimesNewRoman" w:hAnsiTheme="minorHAnsi"/>
              </w:rPr>
              <w:t xml:space="preserve">ść </w:t>
            </w:r>
            <w:r w:rsidRPr="00764F74">
              <w:rPr>
                <w:rFonts w:asciiTheme="minorHAnsi" w:hAnsiTheme="minorHAnsi"/>
              </w:rPr>
              <w:t>niebadana na pojedynczych frakcjach, a tylko w mieszankach wg wymaga</w:t>
            </w:r>
            <w:r w:rsidRPr="00764F74">
              <w:rPr>
                <w:rFonts w:asciiTheme="minorHAnsi" w:eastAsia="TimesNewRoman" w:hAnsiTheme="minorHAnsi"/>
              </w:rPr>
              <w:t xml:space="preserve">ń </w:t>
            </w:r>
            <w:r w:rsidRPr="00764F74">
              <w:rPr>
                <w:rFonts w:asciiTheme="minorHAnsi" w:hAnsiTheme="minorHAnsi"/>
              </w:rPr>
              <w:t>p. 2.2-2.4 WT-2010</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5.2</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Odporno</w:t>
            </w:r>
            <w:r w:rsidRPr="00764F74">
              <w:rPr>
                <w:rFonts w:asciiTheme="minorHAnsi" w:eastAsia="TimesNewRoman" w:hAnsiTheme="minorHAnsi"/>
              </w:rPr>
              <w:t xml:space="preserve">ść </w:t>
            </w:r>
            <w:r w:rsidRPr="00764F74">
              <w:rPr>
                <w:rFonts w:asciiTheme="minorHAnsi" w:hAnsiTheme="minorHAnsi"/>
              </w:rPr>
              <w:t>na rozdrabnianie kruszywa grubego wg PN-EN 1097-</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 kategoria nie wyższa niż</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LA35</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LA35</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9</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5.3</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Odporno</w:t>
            </w:r>
            <w:r w:rsidRPr="00764F74">
              <w:rPr>
                <w:rFonts w:asciiTheme="minorHAnsi" w:eastAsia="TimesNewRoman" w:hAnsiTheme="minorHAnsi"/>
              </w:rPr>
              <w:t xml:space="preserve">ść </w:t>
            </w:r>
            <w:r w:rsidRPr="00764F74">
              <w:rPr>
                <w:rFonts w:asciiTheme="minorHAnsi" w:hAnsiTheme="minorHAnsi"/>
              </w:rPr>
              <w:t xml:space="preserve">na </w:t>
            </w:r>
            <w:r w:rsidRPr="00764F74">
              <w:rPr>
                <w:rFonts w:asciiTheme="minorHAnsi" w:eastAsia="TimesNewRoman" w:hAnsiTheme="minorHAnsi"/>
              </w:rPr>
              <w:t>ś</w:t>
            </w:r>
            <w:r w:rsidRPr="00764F74">
              <w:rPr>
                <w:rFonts w:asciiTheme="minorHAnsi" w:hAnsiTheme="minorHAnsi"/>
              </w:rPr>
              <w:t>cieranie kruszywa grubego wg PN EN 1097-1</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MDE</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Deklarowana</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MDE</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Deklarowana</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11</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5.4</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G</w:t>
            </w:r>
            <w:r w:rsidRPr="00764F74">
              <w:rPr>
                <w:rFonts w:asciiTheme="minorHAnsi" w:eastAsia="TimesNewRoman" w:hAnsiTheme="minorHAnsi"/>
              </w:rPr>
              <w:t>ę</w:t>
            </w:r>
            <w:r w:rsidRPr="00764F74">
              <w:rPr>
                <w:rFonts w:asciiTheme="minorHAnsi" w:hAnsiTheme="minorHAnsi"/>
              </w:rPr>
              <w:t>sto</w:t>
            </w:r>
            <w:r w:rsidRPr="00764F74">
              <w:rPr>
                <w:rFonts w:asciiTheme="minorHAnsi" w:eastAsia="TimesNewRoman" w:hAnsiTheme="minorHAnsi"/>
              </w:rPr>
              <w:t xml:space="preserve">ść </w:t>
            </w:r>
            <w:r w:rsidRPr="00764F74">
              <w:rPr>
                <w:rFonts w:asciiTheme="minorHAnsi" w:hAnsiTheme="minorHAnsi"/>
              </w:rPr>
              <w:t>wg PN-EN 1097-6 rozdział 7,8 albo 9</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Deklarowana</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Deklarowana</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5.5</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Nasi</w:t>
            </w:r>
            <w:r w:rsidRPr="00764F74">
              <w:rPr>
                <w:rFonts w:asciiTheme="minorHAnsi" w:eastAsia="TimesNewRoman" w:hAnsiTheme="minorHAnsi"/>
              </w:rPr>
              <w:t>ą</w:t>
            </w:r>
            <w:r w:rsidRPr="00764F74">
              <w:rPr>
                <w:rFonts w:asciiTheme="minorHAnsi" w:hAnsiTheme="minorHAnsi"/>
              </w:rPr>
              <w:t>kliwo</w:t>
            </w:r>
            <w:r w:rsidRPr="00764F74">
              <w:rPr>
                <w:rFonts w:asciiTheme="minorHAnsi" w:eastAsia="TimesNewRoman" w:hAnsiTheme="minorHAnsi"/>
              </w:rPr>
              <w:t>ść</w:t>
            </w:r>
            <w:r w:rsidRPr="00764F74">
              <w:rPr>
                <w:rFonts w:asciiTheme="minorHAnsi" w:eastAsia="TimesNewRoman" w:hAnsiTheme="minorHAnsi"/>
                <w:vertAlign w:val="superscript"/>
              </w:rPr>
              <w:t>8</w:t>
            </w:r>
            <w:r w:rsidRPr="00764F74">
              <w:rPr>
                <w:rFonts w:asciiTheme="minorHAnsi" w:hAnsiTheme="minorHAnsi"/>
              </w:rPr>
              <w:t xml:space="preserve"> wg PN-EN 1097-6 rozdział 7,8 albo 9</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WA242****</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WA242****</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6.2</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Siarczany rozpuszczalne w kwasie wg PN-EN 1744-1</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ASNR</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ASNR</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12</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6.3</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Całkowita zawarto</w:t>
            </w:r>
            <w:r w:rsidRPr="00764F74">
              <w:rPr>
                <w:rFonts w:asciiTheme="minorHAnsi" w:eastAsia="TimesNewRoman" w:hAnsiTheme="minorHAnsi"/>
              </w:rPr>
              <w:t xml:space="preserve">ść </w:t>
            </w:r>
            <w:r w:rsidRPr="00764F74">
              <w:rPr>
                <w:rFonts w:asciiTheme="minorHAnsi" w:hAnsiTheme="minorHAnsi"/>
              </w:rPr>
              <w:t>siarki wg PN-EN 1744-1</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SNR</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SNR</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 13</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6.4.2.1</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Stało</w:t>
            </w:r>
            <w:r w:rsidRPr="00764F74">
              <w:rPr>
                <w:rFonts w:asciiTheme="minorHAnsi" w:eastAsia="TimesNewRoman" w:hAnsiTheme="minorHAnsi"/>
              </w:rPr>
              <w:t xml:space="preserve">ść </w:t>
            </w:r>
            <w:r w:rsidRPr="00764F74">
              <w:rPr>
                <w:rFonts w:asciiTheme="minorHAnsi" w:hAnsiTheme="minorHAnsi"/>
              </w:rPr>
              <w:t>obj</w:t>
            </w:r>
            <w:r w:rsidRPr="00764F74">
              <w:rPr>
                <w:rFonts w:asciiTheme="minorHAnsi" w:eastAsia="TimesNewRoman" w:hAnsiTheme="minorHAnsi"/>
              </w:rPr>
              <w:t>ę</w:t>
            </w:r>
            <w:r w:rsidRPr="00764F74">
              <w:rPr>
                <w:rFonts w:asciiTheme="minorHAnsi" w:hAnsiTheme="minorHAnsi"/>
              </w:rPr>
              <w:t>to</w:t>
            </w:r>
            <w:r w:rsidRPr="00764F74">
              <w:rPr>
                <w:rFonts w:asciiTheme="minorHAnsi" w:eastAsia="TimesNewRoman" w:hAnsiTheme="minorHAnsi"/>
              </w:rPr>
              <w:t>ś</w:t>
            </w:r>
            <w:r w:rsidRPr="00764F74">
              <w:rPr>
                <w:rFonts w:asciiTheme="minorHAnsi" w:hAnsiTheme="minorHAnsi"/>
              </w:rPr>
              <w:t>ci żużla stalowniczego wg PN-EN 1744-1 p. 19.3, kategoria nie wyższa niż</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V5</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V5</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lastRenderedPageBreak/>
              <w:t>6.4.2.2</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Rozpad krzemianowy w żużlu wielkopiecowym kawałkowym wg PN-EN 1744-1, p. 19.1</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Brak rozpadu</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Brak rozpadu</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6.4.2.3</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Rozpad żelazawy w żużlu wielkopiecowym kawałkowym wg PN-EN 1744-1, p.19.2</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Brak rozpadu</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Brak rozpadu</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6.4.3</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Składniki rozpuszczalne w wodzie wg PN-EN 1744-3</w:t>
            </w:r>
          </w:p>
        </w:tc>
        <w:tc>
          <w:tcPr>
            <w:tcW w:w="5850" w:type="dxa"/>
            <w:gridSpan w:val="3"/>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 xml:space="preserve">Brak substancji szkodliwych w stosunku do </w:t>
            </w:r>
            <w:r w:rsidRPr="00764F74">
              <w:rPr>
                <w:rFonts w:asciiTheme="minorHAnsi" w:eastAsia="TimesNewRoman" w:hAnsiTheme="minorHAnsi"/>
              </w:rPr>
              <w:t>ś</w:t>
            </w:r>
            <w:r w:rsidRPr="00764F74">
              <w:rPr>
                <w:rFonts w:asciiTheme="minorHAnsi" w:hAnsiTheme="minorHAnsi"/>
              </w:rPr>
              <w:t>rodowiska wg odr</w:t>
            </w:r>
            <w:r w:rsidRPr="00764F74">
              <w:rPr>
                <w:rFonts w:asciiTheme="minorHAnsi" w:eastAsia="TimesNewRoman" w:hAnsiTheme="minorHAnsi"/>
              </w:rPr>
              <w:t>ę</w:t>
            </w:r>
            <w:r w:rsidRPr="00764F74">
              <w:rPr>
                <w:rFonts w:asciiTheme="minorHAnsi" w:hAnsiTheme="minorHAnsi"/>
              </w:rPr>
              <w:t>bnych</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przepisów</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6.4.4</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Zanieczyszczenia</w:t>
            </w:r>
          </w:p>
        </w:tc>
        <w:tc>
          <w:tcPr>
            <w:tcW w:w="5850" w:type="dxa"/>
            <w:gridSpan w:val="3"/>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Brak ciał obcych takich jak: drewno, szkło i plastik, mog</w:t>
            </w:r>
            <w:r w:rsidRPr="00764F74">
              <w:rPr>
                <w:rFonts w:asciiTheme="minorHAnsi" w:eastAsia="TimesNewRoman" w:hAnsiTheme="minorHAnsi"/>
              </w:rPr>
              <w:t>ą</w:t>
            </w:r>
            <w:r w:rsidRPr="00764F74">
              <w:rPr>
                <w:rFonts w:asciiTheme="minorHAnsi" w:hAnsiTheme="minorHAnsi"/>
              </w:rPr>
              <w:t>cych pogorszy</w:t>
            </w:r>
            <w:r w:rsidRPr="00764F74">
              <w:rPr>
                <w:rFonts w:asciiTheme="minorHAnsi" w:eastAsia="TimesNewRoman" w:hAnsiTheme="minorHAnsi"/>
              </w:rPr>
              <w:t xml:space="preserve">ć </w:t>
            </w:r>
            <w:r w:rsidRPr="00764F74">
              <w:rPr>
                <w:rFonts w:asciiTheme="minorHAnsi" w:hAnsiTheme="minorHAnsi"/>
              </w:rPr>
              <w:t>produkt ko</w:t>
            </w:r>
            <w:r w:rsidRPr="00764F74">
              <w:rPr>
                <w:rFonts w:asciiTheme="minorHAnsi" w:eastAsia="TimesNewRoman" w:hAnsiTheme="minorHAnsi"/>
              </w:rPr>
              <w:t>ń</w:t>
            </w:r>
            <w:r w:rsidRPr="00764F74">
              <w:rPr>
                <w:rFonts w:asciiTheme="minorHAnsi" w:hAnsiTheme="minorHAnsi"/>
              </w:rPr>
              <w:t>cowy</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7.2</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Zgorzel słoneczna bazaltu wg PN-EN 1367-3. Wg PN-EN 1097-2</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SBLA</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SBLA</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7.3.3</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Mrozoodporno</w:t>
            </w:r>
            <w:r w:rsidRPr="00764F74">
              <w:rPr>
                <w:rFonts w:asciiTheme="minorHAnsi" w:eastAsia="TimesNewRoman" w:hAnsiTheme="minorHAnsi"/>
              </w:rPr>
              <w:t xml:space="preserve">ść </w:t>
            </w:r>
            <w:r w:rsidRPr="00764F74">
              <w:rPr>
                <w:rFonts w:asciiTheme="minorHAnsi" w:hAnsiTheme="minorHAnsi"/>
              </w:rPr>
              <w:t>na frakcji kruszywa 8/16 wg PN-EN 1367-1, kategoria nie wyższa niż</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F4-dla skał magmowych i</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przeobrażonych</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F4-dla skał magmowych i</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przeobrażonycch</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FNR – kruszywa z</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recyklingu ze skał</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magmowych i przeobrażonych</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r w:rsidRPr="00764F74">
              <w:rPr>
                <w:rFonts w:asciiTheme="minorHAnsi" w:hAnsiTheme="minorHAnsi"/>
              </w:rPr>
              <w:t>Tabl.18</w:t>
            </w:r>
          </w:p>
        </w:tc>
      </w:tr>
      <w:tr w:rsidR="00764F74" w:rsidRPr="00764F74" w:rsidTr="00AF470B">
        <w:tc>
          <w:tcPr>
            <w:tcW w:w="784"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Zał. C</w:t>
            </w:r>
          </w:p>
        </w:tc>
        <w:tc>
          <w:tcPr>
            <w:tcW w:w="322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Skład materiałowy</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Deklarowany</w:t>
            </w:r>
          </w:p>
        </w:tc>
        <w:tc>
          <w:tcPr>
            <w:tcW w:w="195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Deklarowany</w:t>
            </w:r>
          </w:p>
        </w:tc>
        <w:tc>
          <w:tcPr>
            <w:tcW w:w="1950" w:type="dxa"/>
            <w:shd w:val="clear" w:color="auto" w:fill="auto"/>
          </w:tcPr>
          <w:p w:rsidR="00764F74" w:rsidRPr="00764F74" w:rsidRDefault="00764F74" w:rsidP="00AF470B">
            <w:pPr>
              <w:overflowPunct/>
              <w:jc w:val="right"/>
              <w:textAlignment w:val="auto"/>
              <w:rPr>
                <w:rFonts w:asciiTheme="minorHAnsi" w:hAnsiTheme="minorHAnsi"/>
              </w:rPr>
            </w:pPr>
          </w:p>
        </w:tc>
      </w:tr>
    </w:tbl>
    <w:p w:rsidR="00764F74" w:rsidRPr="00764F74" w:rsidRDefault="00764F74" w:rsidP="00764F74">
      <w:pPr>
        <w:overflowPunct/>
        <w:jc w:val="left"/>
        <w:textAlignment w:val="auto"/>
        <w:rPr>
          <w:rFonts w:asciiTheme="minorHAnsi" w:hAnsiTheme="minorHAnsi"/>
        </w:rPr>
      </w:pP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*Ł</w:t>
      </w:r>
      <w:r w:rsidRPr="00764F74">
        <w:rPr>
          <w:rFonts w:asciiTheme="minorHAnsi" w:eastAsia="TimesNewRoman" w:hAnsiTheme="minorHAnsi"/>
        </w:rPr>
        <w:t>ą</w:t>
      </w:r>
      <w:r w:rsidRPr="00764F74">
        <w:rPr>
          <w:rFonts w:asciiTheme="minorHAnsi" w:hAnsiTheme="minorHAnsi"/>
        </w:rPr>
        <w:t>czna zawarto</w:t>
      </w:r>
      <w:r w:rsidRPr="00764F74">
        <w:rPr>
          <w:rFonts w:asciiTheme="minorHAnsi" w:eastAsia="TimesNewRoman" w:hAnsiTheme="minorHAnsi"/>
        </w:rPr>
        <w:t xml:space="preserve">ść </w:t>
      </w:r>
      <w:r w:rsidRPr="00764F74">
        <w:rPr>
          <w:rFonts w:asciiTheme="minorHAnsi" w:hAnsiTheme="minorHAnsi"/>
        </w:rPr>
        <w:t>pyłów w mieszance powinna mie</w:t>
      </w:r>
      <w:r w:rsidRPr="00764F74">
        <w:rPr>
          <w:rFonts w:asciiTheme="minorHAnsi" w:eastAsia="TimesNewRoman" w:hAnsiTheme="minorHAnsi"/>
        </w:rPr>
        <w:t>ś</w:t>
      </w:r>
      <w:r w:rsidRPr="00764F74">
        <w:rPr>
          <w:rFonts w:asciiTheme="minorHAnsi" w:hAnsiTheme="minorHAnsi"/>
        </w:rPr>
        <w:t>ci</w:t>
      </w:r>
      <w:r w:rsidRPr="00764F74">
        <w:rPr>
          <w:rFonts w:asciiTheme="minorHAnsi" w:eastAsia="TimesNewRoman" w:hAnsiTheme="minorHAnsi"/>
        </w:rPr>
        <w:t xml:space="preserve">ć </w:t>
      </w:r>
      <w:r w:rsidRPr="00764F74">
        <w:rPr>
          <w:rFonts w:asciiTheme="minorHAnsi" w:hAnsiTheme="minorHAnsi"/>
        </w:rPr>
        <w:t>si</w:t>
      </w:r>
      <w:r w:rsidRPr="00764F74">
        <w:rPr>
          <w:rFonts w:asciiTheme="minorHAnsi" w:eastAsia="TimesNewRoman" w:hAnsiTheme="minorHAnsi"/>
        </w:rPr>
        <w:t xml:space="preserve">ę </w:t>
      </w:r>
      <w:r w:rsidRPr="00764F74">
        <w:rPr>
          <w:rFonts w:asciiTheme="minorHAnsi" w:hAnsiTheme="minorHAnsi"/>
        </w:rPr>
        <w:t>w wybranych krzywych granicznych</w:t>
      </w: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 Jeżeli kruszywo nie spełnia warunku maksymalnej nasi</w:t>
      </w:r>
      <w:r w:rsidRPr="00764F74">
        <w:rPr>
          <w:rFonts w:asciiTheme="minorHAnsi" w:eastAsia="TimesNewRoman" w:hAnsiTheme="minorHAnsi"/>
        </w:rPr>
        <w:t>ą</w:t>
      </w:r>
      <w:r w:rsidRPr="00764F74">
        <w:rPr>
          <w:rFonts w:asciiTheme="minorHAnsi" w:hAnsiTheme="minorHAnsi"/>
        </w:rPr>
        <w:t>kliwo</w:t>
      </w:r>
      <w:r w:rsidRPr="00764F74">
        <w:rPr>
          <w:rFonts w:asciiTheme="minorHAnsi" w:eastAsia="TimesNewRoman" w:hAnsiTheme="minorHAnsi"/>
        </w:rPr>
        <w:t>ś</w:t>
      </w:r>
      <w:r w:rsidRPr="00764F74">
        <w:rPr>
          <w:rFonts w:asciiTheme="minorHAnsi" w:hAnsiTheme="minorHAnsi"/>
        </w:rPr>
        <w:t>ci WA24 należy wykona</w:t>
      </w:r>
      <w:r w:rsidRPr="00764F74">
        <w:rPr>
          <w:rFonts w:asciiTheme="minorHAnsi" w:eastAsia="TimesNewRoman" w:hAnsiTheme="minorHAnsi"/>
        </w:rPr>
        <w:t xml:space="preserve">ć </w:t>
      </w:r>
      <w:r w:rsidRPr="00764F74">
        <w:rPr>
          <w:rFonts w:asciiTheme="minorHAnsi" w:hAnsiTheme="minorHAnsi"/>
        </w:rPr>
        <w:t>badanie mrozoodporno</w:t>
      </w:r>
      <w:r w:rsidRPr="00764F74">
        <w:rPr>
          <w:rFonts w:asciiTheme="minorHAnsi" w:eastAsia="TimesNewRoman" w:hAnsiTheme="minorHAnsi"/>
        </w:rPr>
        <w:t>ś</w:t>
      </w:r>
      <w:r w:rsidRPr="00764F74">
        <w:rPr>
          <w:rFonts w:asciiTheme="minorHAnsi" w:hAnsiTheme="minorHAnsi"/>
        </w:rPr>
        <w:t>ci</w:t>
      </w:r>
    </w:p>
    <w:p w:rsidR="00764F74" w:rsidRPr="00764F74" w:rsidRDefault="00764F74" w:rsidP="00764F74">
      <w:pPr>
        <w:overflowPunct/>
        <w:jc w:val="left"/>
        <w:textAlignment w:val="auto"/>
        <w:rPr>
          <w:rFonts w:asciiTheme="minorHAnsi" w:hAnsiTheme="minorHAnsi"/>
        </w:rPr>
      </w:pP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Tablica 2 Wymagane wła</w:t>
      </w:r>
      <w:r w:rsidRPr="00764F74">
        <w:rPr>
          <w:rFonts w:asciiTheme="minorHAnsi" w:eastAsia="TimesNewRoman" w:hAnsiTheme="minorHAnsi"/>
        </w:rPr>
        <w:t>ś</w:t>
      </w:r>
      <w:r w:rsidRPr="00764F74">
        <w:rPr>
          <w:rFonts w:asciiTheme="minorHAnsi" w:hAnsiTheme="minorHAnsi"/>
        </w:rPr>
        <w:t>ciwo</w:t>
      </w:r>
      <w:r w:rsidRPr="00764F74">
        <w:rPr>
          <w:rFonts w:asciiTheme="minorHAnsi" w:eastAsia="TimesNewRoman" w:hAnsiTheme="minorHAnsi"/>
        </w:rPr>
        <w:t>ś</w:t>
      </w:r>
      <w:r w:rsidRPr="00764F74">
        <w:rPr>
          <w:rFonts w:asciiTheme="minorHAnsi" w:hAnsiTheme="minorHAnsi"/>
        </w:rPr>
        <w:t>ci mieszanki niezwi</w:t>
      </w:r>
      <w:r w:rsidRPr="00764F74">
        <w:rPr>
          <w:rFonts w:asciiTheme="minorHAnsi" w:eastAsia="TimesNewRoman" w:hAnsiTheme="minorHAnsi"/>
        </w:rPr>
        <w:t>ą</w:t>
      </w:r>
      <w:r w:rsidRPr="00764F74">
        <w:rPr>
          <w:rFonts w:asciiTheme="minorHAnsi" w:hAnsiTheme="minorHAnsi"/>
        </w:rPr>
        <w:t>zanej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16"/>
        <w:gridCol w:w="3152"/>
        <w:gridCol w:w="1772"/>
        <w:gridCol w:w="1927"/>
        <w:gridCol w:w="1905"/>
      </w:tblGrid>
      <w:tr w:rsidR="00764F74" w:rsidRPr="00764F74" w:rsidTr="00AF470B">
        <w:tc>
          <w:tcPr>
            <w:tcW w:w="817"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Punkt</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 normie</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PN-EN</w:t>
            </w:r>
          </w:p>
          <w:p w:rsidR="00764F74" w:rsidRPr="00764F74" w:rsidRDefault="00764F74" w:rsidP="00AF470B">
            <w:pPr>
              <w:pStyle w:val="Nagwek3"/>
              <w:spacing w:before="0" w:after="0"/>
              <w:rPr>
                <w:rFonts w:asciiTheme="minorHAnsi" w:hAnsiTheme="minorHAnsi"/>
                <w:b w:val="0"/>
              </w:rPr>
            </w:pPr>
            <w:r w:rsidRPr="00764F74">
              <w:rPr>
                <w:rFonts w:asciiTheme="minorHAnsi" w:hAnsiTheme="minorHAnsi"/>
                <w:b w:val="0"/>
              </w:rPr>
              <w:t>13285</w:t>
            </w:r>
          </w:p>
        </w:tc>
        <w:tc>
          <w:tcPr>
            <w:tcW w:w="326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Wła</w:t>
            </w:r>
            <w:r w:rsidRPr="00764F74">
              <w:rPr>
                <w:rFonts w:asciiTheme="minorHAnsi" w:eastAsia="TimesNewRoman" w:hAnsiTheme="minorHAnsi"/>
              </w:rPr>
              <w:t>ś</w:t>
            </w:r>
            <w:r w:rsidRPr="00764F74">
              <w:rPr>
                <w:rFonts w:asciiTheme="minorHAnsi" w:hAnsiTheme="minorHAnsi"/>
              </w:rPr>
              <w:t>ciwo</w:t>
            </w:r>
            <w:r w:rsidRPr="00764F74">
              <w:rPr>
                <w:rFonts w:asciiTheme="minorHAnsi" w:eastAsia="TimesNewRoman" w:hAnsiTheme="minorHAnsi"/>
              </w:rPr>
              <w:t>ś</w:t>
            </w:r>
            <w:r w:rsidRPr="00764F74">
              <w:rPr>
                <w:rFonts w:asciiTheme="minorHAnsi" w:hAnsiTheme="minorHAnsi"/>
              </w:rPr>
              <w:t>ci</w:t>
            </w:r>
          </w:p>
        </w:tc>
        <w:tc>
          <w:tcPr>
            <w:tcW w:w="1790" w:type="dxa"/>
            <w:shd w:val="clear" w:color="auto" w:fill="auto"/>
          </w:tcPr>
          <w:p w:rsidR="00C16E0E" w:rsidRDefault="00C16E0E" w:rsidP="00AF470B">
            <w:pPr>
              <w:overflowPunct/>
              <w:jc w:val="center"/>
              <w:textAlignment w:val="auto"/>
              <w:rPr>
                <w:rFonts w:asciiTheme="minorHAnsi" w:hAnsiTheme="minorHAnsi"/>
              </w:rPr>
            </w:pPr>
            <w:r>
              <w:rPr>
                <w:rFonts w:asciiTheme="minorHAnsi" w:hAnsiTheme="minorHAnsi"/>
              </w:rPr>
              <w:t xml:space="preserve">Podbudowa pomocnicza jezdni i stanowisk parkingowych </w:t>
            </w:r>
          </w:p>
          <w:p w:rsidR="00764F74" w:rsidRPr="00764F74" w:rsidRDefault="00C16E0E" w:rsidP="00C16E0E">
            <w:pPr>
              <w:overflowPunct/>
              <w:jc w:val="center"/>
              <w:textAlignment w:val="auto"/>
              <w:rPr>
                <w:rFonts w:asciiTheme="minorHAnsi" w:hAnsiTheme="minorHAnsi"/>
              </w:rPr>
            </w:pPr>
            <w:r>
              <w:rPr>
                <w:rFonts w:asciiTheme="minorHAnsi" w:hAnsiTheme="minorHAnsi"/>
              </w:rPr>
              <w:t xml:space="preserve"> KR1</w:t>
            </w:r>
          </w:p>
        </w:tc>
        <w:tc>
          <w:tcPr>
            <w:tcW w:w="1956"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Podbudowa zasadnicza chodnika</w:t>
            </w:r>
          </w:p>
        </w:tc>
        <w:tc>
          <w:tcPr>
            <w:tcW w:w="1956"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Odniesienie do tablicy w PN EN 13285</w:t>
            </w:r>
          </w:p>
        </w:tc>
      </w:tr>
      <w:tr w:rsidR="00764F74" w:rsidRPr="00764F74" w:rsidTr="00AF470B">
        <w:tc>
          <w:tcPr>
            <w:tcW w:w="817" w:type="dxa"/>
            <w:shd w:val="clear" w:color="auto" w:fill="auto"/>
          </w:tcPr>
          <w:p w:rsidR="00764F74" w:rsidRPr="00764F74" w:rsidRDefault="00764F74" w:rsidP="00AF470B">
            <w:pPr>
              <w:pStyle w:val="Nagwek3"/>
              <w:spacing w:before="0" w:after="0"/>
              <w:rPr>
                <w:rFonts w:asciiTheme="minorHAnsi" w:hAnsiTheme="minorHAnsi"/>
                <w:b w:val="0"/>
              </w:rPr>
            </w:pPr>
            <w:r w:rsidRPr="00764F74">
              <w:rPr>
                <w:rFonts w:asciiTheme="minorHAnsi" w:hAnsiTheme="minorHAnsi"/>
                <w:b w:val="0"/>
              </w:rPr>
              <w:t>4.3.1</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Uziarnienie mieszanki niezwiązanej</w:t>
            </w:r>
          </w:p>
        </w:tc>
        <w:tc>
          <w:tcPr>
            <w:tcW w:w="1790" w:type="dxa"/>
            <w:shd w:val="clear" w:color="auto" w:fill="auto"/>
          </w:tcPr>
          <w:p w:rsidR="00764F74" w:rsidRPr="00764F74" w:rsidRDefault="00764F74" w:rsidP="00AF470B">
            <w:pPr>
              <w:pStyle w:val="Nagwek3"/>
              <w:spacing w:before="0" w:after="0"/>
              <w:jc w:val="center"/>
              <w:rPr>
                <w:rFonts w:asciiTheme="minorHAnsi" w:hAnsiTheme="minorHAnsi"/>
                <w:b w:val="0"/>
              </w:rPr>
            </w:pPr>
            <w:r w:rsidRPr="00764F74">
              <w:rPr>
                <w:rFonts w:asciiTheme="minorHAnsi" w:hAnsiTheme="minorHAnsi"/>
                <w:b w:val="0"/>
              </w:rPr>
              <w:t>0/31,5</w:t>
            </w:r>
          </w:p>
        </w:tc>
        <w:tc>
          <w:tcPr>
            <w:tcW w:w="1956" w:type="dxa"/>
            <w:shd w:val="clear" w:color="auto" w:fill="auto"/>
          </w:tcPr>
          <w:p w:rsidR="00764F74" w:rsidRPr="00764F74" w:rsidRDefault="00764F74" w:rsidP="00AF470B">
            <w:pPr>
              <w:pStyle w:val="Nagwek3"/>
              <w:spacing w:before="0" w:after="0"/>
              <w:jc w:val="center"/>
              <w:rPr>
                <w:rFonts w:asciiTheme="minorHAnsi" w:hAnsiTheme="minorHAnsi"/>
                <w:b w:val="0"/>
              </w:rPr>
            </w:pPr>
            <w:r w:rsidRPr="00764F74">
              <w:rPr>
                <w:rFonts w:asciiTheme="minorHAnsi" w:hAnsiTheme="minorHAnsi"/>
                <w:b w:val="0"/>
              </w:rPr>
              <w:t>0/31,5</w:t>
            </w:r>
          </w:p>
        </w:tc>
        <w:tc>
          <w:tcPr>
            <w:tcW w:w="1956" w:type="dxa"/>
            <w:shd w:val="clear" w:color="auto" w:fill="auto"/>
          </w:tcPr>
          <w:p w:rsidR="00764F74" w:rsidRPr="00764F74" w:rsidRDefault="00764F74" w:rsidP="00AF470B">
            <w:pPr>
              <w:pStyle w:val="Nagwek3"/>
              <w:spacing w:before="0" w:after="0"/>
              <w:jc w:val="center"/>
              <w:rPr>
                <w:rFonts w:asciiTheme="minorHAnsi" w:hAnsiTheme="minorHAnsi"/>
                <w:b w:val="0"/>
              </w:rPr>
            </w:pPr>
            <w:r w:rsidRPr="00764F74">
              <w:rPr>
                <w:rFonts w:asciiTheme="minorHAnsi" w:hAnsiTheme="minorHAnsi"/>
                <w:b w:val="0"/>
              </w:rPr>
              <w:t>tab 4</w:t>
            </w:r>
          </w:p>
        </w:tc>
      </w:tr>
      <w:tr w:rsidR="00764F74" w:rsidRPr="00764F74" w:rsidTr="00AF470B">
        <w:tc>
          <w:tcPr>
            <w:tcW w:w="817" w:type="dxa"/>
            <w:shd w:val="clear" w:color="auto" w:fill="auto"/>
          </w:tcPr>
          <w:p w:rsidR="00764F74" w:rsidRPr="00764F74" w:rsidRDefault="00764F74" w:rsidP="00AF470B">
            <w:pPr>
              <w:pStyle w:val="Nagwek3"/>
              <w:spacing w:before="0" w:after="0"/>
              <w:rPr>
                <w:rFonts w:asciiTheme="minorHAnsi" w:hAnsiTheme="minorHAnsi"/>
                <w:b w:val="0"/>
              </w:rPr>
            </w:pPr>
            <w:r w:rsidRPr="00764F74">
              <w:rPr>
                <w:rFonts w:asciiTheme="minorHAnsi" w:hAnsiTheme="minorHAnsi"/>
                <w:b w:val="0"/>
              </w:rPr>
              <w:t>4.3.2</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Maksymalna zawarto</w:t>
            </w:r>
            <w:r w:rsidRPr="00764F74">
              <w:rPr>
                <w:rFonts w:asciiTheme="minorHAnsi" w:eastAsia="TimesNewRoman" w:hAnsiTheme="minorHAnsi"/>
              </w:rPr>
              <w:t xml:space="preserve">ść </w:t>
            </w:r>
            <w:r w:rsidRPr="00764F74">
              <w:rPr>
                <w:rFonts w:asciiTheme="minorHAnsi" w:hAnsiTheme="minorHAnsi"/>
              </w:rPr>
              <w:t>pyłu, Kategoria nie wyższa niż</w:t>
            </w:r>
          </w:p>
        </w:tc>
        <w:tc>
          <w:tcPr>
            <w:tcW w:w="1790" w:type="dxa"/>
            <w:shd w:val="clear" w:color="auto" w:fill="auto"/>
          </w:tcPr>
          <w:p w:rsidR="00764F74" w:rsidRPr="00764F74" w:rsidRDefault="00764F74" w:rsidP="00AF470B">
            <w:pPr>
              <w:pStyle w:val="Nagwek3"/>
              <w:spacing w:before="0" w:after="0"/>
              <w:jc w:val="center"/>
              <w:rPr>
                <w:rFonts w:asciiTheme="minorHAnsi" w:hAnsiTheme="minorHAnsi"/>
                <w:b w:val="0"/>
              </w:rPr>
            </w:pPr>
            <w:r w:rsidRPr="00764F74">
              <w:rPr>
                <w:rFonts w:asciiTheme="minorHAnsi" w:hAnsiTheme="minorHAnsi"/>
                <w:b w:val="0"/>
              </w:rPr>
              <w:t>UF9</w:t>
            </w:r>
          </w:p>
        </w:tc>
        <w:tc>
          <w:tcPr>
            <w:tcW w:w="1956" w:type="dxa"/>
            <w:shd w:val="clear" w:color="auto" w:fill="auto"/>
          </w:tcPr>
          <w:p w:rsidR="00764F74" w:rsidRPr="00764F74" w:rsidRDefault="00764F74" w:rsidP="00AF470B">
            <w:pPr>
              <w:pStyle w:val="Nagwek3"/>
              <w:spacing w:before="0" w:after="0"/>
              <w:jc w:val="center"/>
              <w:rPr>
                <w:rFonts w:asciiTheme="minorHAnsi" w:hAnsiTheme="minorHAnsi"/>
                <w:b w:val="0"/>
              </w:rPr>
            </w:pPr>
            <w:r w:rsidRPr="00764F74">
              <w:rPr>
                <w:rFonts w:asciiTheme="minorHAnsi" w:hAnsiTheme="minorHAnsi"/>
                <w:b w:val="0"/>
              </w:rPr>
              <w:t>UF9</w:t>
            </w:r>
          </w:p>
        </w:tc>
        <w:tc>
          <w:tcPr>
            <w:tcW w:w="1956" w:type="dxa"/>
            <w:shd w:val="clear" w:color="auto" w:fill="auto"/>
          </w:tcPr>
          <w:p w:rsidR="00764F74" w:rsidRPr="00764F74" w:rsidRDefault="00764F74" w:rsidP="00AF470B">
            <w:pPr>
              <w:pStyle w:val="Nagwek3"/>
              <w:spacing w:before="0" w:after="0"/>
              <w:jc w:val="center"/>
              <w:rPr>
                <w:rFonts w:asciiTheme="minorHAnsi" w:hAnsiTheme="minorHAnsi"/>
                <w:b w:val="0"/>
              </w:rPr>
            </w:pPr>
            <w:r w:rsidRPr="00764F74">
              <w:rPr>
                <w:rFonts w:asciiTheme="minorHAnsi" w:hAnsiTheme="minorHAnsi"/>
                <w:b w:val="0"/>
              </w:rPr>
              <w:t>Tab 2</w:t>
            </w: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4.3.2</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Minimalna zawarto</w:t>
            </w:r>
            <w:r w:rsidRPr="00764F74">
              <w:rPr>
                <w:rFonts w:asciiTheme="minorHAnsi" w:eastAsia="TimesNewRoman" w:hAnsiTheme="minorHAnsi"/>
              </w:rPr>
              <w:t xml:space="preserve">ść </w:t>
            </w:r>
            <w:r w:rsidRPr="00764F74">
              <w:rPr>
                <w:rFonts w:asciiTheme="minorHAnsi" w:hAnsiTheme="minorHAnsi"/>
              </w:rPr>
              <w:t>pyłu</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LFNR</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LFNR</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TAB 3</w:t>
            </w: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4.3.3</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Zawarto</w:t>
            </w:r>
            <w:r w:rsidRPr="00764F74">
              <w:rPr>
                <w:rFonts w:asciiTheme="minorHAnsi" w:eastAsia="TimesNewRoman" w:hAnsiTheme="minorHAnsi"/>
              </w:rPr>
              <w:t xml:space="preserve">ść </w:t>
            </w:r>
            <w:r w:rsidRPr="00764F74">
              <w:rPr>
                <w:rFonts w:asciiTheme="minorHAnsi" w:hAnsiTheme="minorHAnsi"/>
              </w:rPr>
              <w:t>nadziarna, kategoria nie niższa niż</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OC90</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OC90</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TAB 4 i 6</w:t>
            </w: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4.4.1</w:t>
            </w:r>
          </w:p>
        </w:tc>
        <w:tc>
          <w:tcPr>
            <w:tcW w:w="3260"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Uziarnienie</w:t>
            </w:r>
          </w:p>
        </w:tc>
        <w:tc>
          <w:tcPr>
            <w:tcW w:w="179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Krzywe uziarnienia</w:t>
            </w:r>
          </w:p>
          <w:p w:rsidR="00764F74" w:rsidRPr="00764F74" w:rsidRDefault="00764F74" w:rsidP="00AF470B">
            <w:pPr>
              <w:pStyle w:val="Nagwek7"/>
              <w:jc w:val="center"/>
              <w:rPr>
                <w:rFonts w:asciiTheme="minorHAnsi" w:hAnsiTheme="minorHAnsi"/>
              </w:rPr>
            </w:pPr>
            <w:r w:rsidRPr="00764F74">
              <w:rPr>
                <w:rFonts w:asciiTheme="minorHAnsi" w:hAnsiTheme="minorHAnsi"/>
              </w:rPr>
              <w:t>wg rys. 1</w:t>
            </w:r>
          </w:p>
        </w:tc>
        <w:tc>
          <w:tcPr>
            <w:tcW w:w="1956"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Krzywe uziarnienia</w:t>
            </w:r>
          </w:p>
          <w:p w:rsidR="00764F74" w:rsidRPr="00764F74" w:rsidRDefault="00764F74" w:rsidP="00AF470B">
            <w:pPr>
              <w:pStyle w:val="Nagwek7"/>
              <w:jc w:val="center"/>
              <w:rPr>
                <w:rFonts w:asciiTheme="minorHAnsi" w:hAnsiTheme="minorHAnsi"/>
              </w:rPr>
            </w:pPr>
            <w:r w:rsidRPr="00764F74">
              <w:rPr>
                <w:rFonts w:asciiTheme="minorHAnsi" w:hAnsiTheme="minorHAnsi"/>
              </w:rPr>
              <w:t>wg rys. 2</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TAB 5 i 6</w:t>
            </w: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4.4.2</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Tolerancja przesiewu porównanie</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 warto</w:t>
            </w:r>
            <w:r w:rsidRPr="00764F74">
              <w:rPr>
                <w:rFonts w:asciiTheme="minorHAnsi" w:eastAsia="TimesNewRoman" w:hAnsiTheme="minorHAnsi"/>
              </w:rPr>
              <w:t>ś</w:t>
            </w:r>
            <w:r w:rsidRPr="00764F74">
              <w:rPr>
                <w:rFonts w:asciiTheme="minorHAnsi" w:hAnsiTheme="minorHAnsi"/>
              </w:rPr>
              <w:t>ci</w:t>
            </w:r>
            <w:r w:rsidRPr="00764F74">
              <w:rPr>
                <w:rFonts w:asciiTheme="minorHAnsi" w:eastAsia="TimesNewRoman" w:hAnsiTheme="minorHAnsi"/>
              </w:rPr>
              <w:t xml:space="preserve">ą </w:t>
            </w:r>
            <w:r w:rsidRPr="00764F74">
              <w:rPr>
                <w:rFonts w:asciiTheme="minorHAnsi" w:hAnsiTheme="minorHAnsi"/>
              </w:rPr>
              <w:t>S deklarowan</w:t>
            </w:r>
            <w:r w:rsidRPr="00764F74">
              <w:rPr>
                <w:rFonts w:asciiTheme="minorHAnsi" w:eastAsia="TimesNewRoman" w:hAnsiTheme="minorHAnsi"/>
              </w:rPr>
              <w:t xml:space="preserve">ą </w:t>
            </w:r>
            <w:r w:rsidRPr="00764F74">
              <w:rPr>
                <w:rFonts w:asciiTheme="minorHAnsi" w:hAnsiTheme="minorHAnsi"/>
              </w:rPr>
              <w:t>przez dostawc</w:t>
            </w:r>
            <w:r w:rsidRPr="00764F74">
              <w:rPr>
                <w:rFonts w:asciiTheme="minorHAnsi" w:eastAsia="TimesNewRoman" w:hAnsiTheme="minorHAnsi"/>
              </w:rPr>
              <w:t>ę</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Wg tab. 4</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Wg tab. 4</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TAB 7</w:t>
            </w: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4.4.2</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Jednorodno</w:t>
            </w:r>
            <w:r w:rsidRPr="00764F74">
              <w:rPr>
                <w:rFonts w:asciiTheme="minorHAnsi" w:eastAsia="TimesNewRoman" w:hAnsiTheme="minorHAnsi"/>
              </w:rPr>
              <w:t xml:space="preserve">ść </w:t>
            </w:r>
            <w:r w:rsidRPr="00764F74">
              <w:rPr>
                <w:rFonts w:asciiTheme="minorHAnsi" w:hAnsiTheme="minorHAnsi"/>
              </w:rPr>
              <w:t>uziarnienia – różnice w przesiewach</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Wg tab. 5</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Wg tab. 5</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TAB 8</w:t>
            </w:r>
          </w:p>
        </w:tc>
      </w:tr>
      <w:tr w:rsidR="00764F74" w:rsidRPr="00764F74" w:rsidTr="00AF470B">
        <w:tc>
          <w:tcPr>
            <w:tcW w:w="817" w:type="dxa"/>
            <w:vMerge w:val="restart"/>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4.5</w:t>
            </w: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Wra</w:t>
            </w:r>
            <w:r w:rsidRPr="00764F74">
              <w:rPr>
                <w:rFonts w:asciiTheme="minorHAnsi" w:eastAsia="TimesNewRoman" w:hAnsiTheme="minorHAnsi"/>
              </w:rPr>
              <w:t>ż</w:t>
            </w:r>
            <w:r w:rsidRPr="00764F74">
              <w:rPr>
                <w:rFonts w:asciiTheme="minorHAnsi" w:hAnsiTheme="minorHAnsi"/>
              </w:rPr>
              <w:t>liwo</w:t>
            </w:r>
            <w:r w:rsidRPr="00764F74">
              <w:rPr>
                <w:rFonts w:asciiTheme="minorHAnsi" w:eastAsia="TimesNewRoman" w:hAnsiTheme="minorHAnsi"/>
              </w:rPr>
              <w:t xml:space="preserve">ść </w:t>
            </w:r>
            <w:r w:rsidRPr="00764F74">
              <w:rPr>
                <w:rFonts w:asciiTheme="minorHAnsi" w:hAnsiTheme="minorHAnsi"/>
              </w:rPr>
              <w:t>na mróz; wska</w:t>
            </w:r>
            <w:r w:rsidRPr="00764F74">
              <w:rPr>
                <w:rFonts w:asciiTheme="minorHAnsi" w:eastAsia="TimesNewRoman" w:hAnsiTheme="minorHAnsi"/>
              </w:rPr>
              <w:t>ź</w:t>
            </w:r>
            <w:r w:rsidRPr="00764F74">
              <w:rPr>
                <w:rFonts w:asciiTheme="minorHAnsi" w:hAnsiTheme="minorHAnsi"/>
              </w:rPr>
              <w:t>nik piaskowy, nie mniejszy niż:</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SE45</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SE45</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w:t>
            </w:r>
          </w:p>
        </w:tc>
      </w:tr>
      <w:tr w:rsidR="00764F74" w:rsidRPr="00764F74" w:rsidTr="00AF470B">
        <w:tc>
          <w:tcPr>
            <w:tcW w:w="817" w:type="dxa"/>
            <w:vMerge/>
            <w:shd w:val="clear" w:color="auto" w:fill="auto"/>
          </w:tcPr>
          <w:p w:rsidR="00764F74" w:rsidRPr="00764F74" w:rsidRDefault="00764F74" w:rsidP="00AF470B">
            <w:pPr>
              <w:pStyle w:val="Nagwek7"/>
              <w:rPr>
                <w:rFonts w:asciiTheme="minorHAnsi" w:hAnsiTheme="minorHAnsi"/>
              </w:rPr>
            </w:pPr>
          </w:p>
        </w:tc>
        <w:tc>
          <w:tcPr>
            <w:tcW w:w="3260" w:type="dxa"/>
            <w:shd w:val="clear" w:color="auto" w:fill="auto"/>
          </w:tcPr>
          <w:p w:rsidR="00764F74" w:rsidRPr="00764F74" w:rsidRDefault="00764F74" w:rsidP="00AF470B">
            <w:pPr>
              <w:pStyle w:val="Nagwek7"/>
              <w:rPr>
                <w:rFonts w:asciiTheme="minorHAnsi" w:hAnsiTheme="minorHAnsi"/>
              </w:rPr>
            </w:pPr>
            <w:r w:rsidRPr="00764F74">
              <w:rPr>
                <w:rFonts w:asciiTheme="minorHAnsi" w:hAnsiTheme="minorHAnsi"/>
              </w:rPr>
              <w:t>Wska</w:t>
            </w:r>
            <w:r w:rsidRPr="00764F74">
              <w:rPr>
                <w:rFonts w:asciiTheme="minorHAnsi" w:eastAsia="TimesNewRoman" w:hAnsiTheme="minorHAnsi"/>
              </w:rPr>
              <w:t>ź</w:t>
            </w:r>
            <w:r w:rsidRPr="00764F74">
              <w:rPr>
                <w:rFonts w:asciiTheme="minorHAnsi" w:hAnsiTheme="minorHAnsi"/>
              </w:rPr>
              <w:t>nik plastyczno</w:t>
            </w:r>
            <w:r w:rsidRPr="00764F74">
              <w:rPr>
                <w:rFonts w:asciiTheme="minorHAnsi" w:eastAsia="TimesNewRoman" w:hAnsiTheme="minorHAnsi"/>
              </w:rPr>
              <w:t>ś</w:t>
            </w:r>
            <w:r w:rsidRPr="00764F74">
              <w:rPr>
                <w:rFonts w:asciiTheme="minorHAnsi" w:hAnsiTheme="minorHAnsi"/>
              </w:rPr>
              <w:t>ci Ip</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Deklarowany</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Deklarowany</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w:t>
            </w: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Odporno</w:t>
            </w:r>
            <w:r w:rsidRPr="00764F74">
              <w:rPr>
                <w:rFonts w:asciiTheme="minorHAnsi" w:eastAsia="TimesNewRoman" w:hAnsiTheme="minorHAnsi"/>
              </w:rPr>
              <w:t xml:space="preserve">ść </w:t>
            </w:r>
            <w:r w:rsidRPr="00764F74">
              <w:rPr>
                <w:rFonts w:asciiTheme="minorHAnsi" w:hAnsiTheme="minorHAnsi"/>
              </w:rPr>
              <w:t>na rozdrabnianie (dotyczy frakcji 10/14 odsianej z mieszanki) wg PN EN 1097-1, kategoria nie</w:t>
            </w:r>
          </w:p>
          <w:p w:rsidR="00764F74" w:rsidRPr="00764F74" w:rsidRDefault="00764F74" w:rsidP="00AF470B">
            <w:pPr>
              <w:pStyle w:val="Nagwek7"/>
              <w:rPr>
                <w:rFonts w:asciiTheme="minorHAnsi" w:hAnsiTheme="minorHAnsi"/>
              </w:rPr>
            </w:pPr>
            <w:r w:rsidRPr="00764F74">
              <w:rPr>
                <w:rFonts w:asciiTheme="minorHAnsi" w:hAnsiTheme="minorHAnsi"/>
              </w:rPr>
              <w:t>wyższa niż:</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LA35</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LA35</w:t>
            </w:r>
          </w:p>
        </w:tc>
        <w:tc>
          <w:tcPr>
            <w:tcW w:w="1956" w:type="dxa"/>
            <w:shd w:val="clear" w:color="auto" w:fill="auto"/>
          </w:tcPr>
          <w:p w:rsidR="00764F74" w:rsidRPr="00764F74" w:rsidRDefault="00764F74" w:rsidP="00AF470B">
            <w:pPr>
              <w:pStyle w:val="Nagwek7"/>
              <w:jc w:val="center"/>
              <w:rPr>
                <w:rFonts w:asciiTheme="minorHAnsi" w:hAnsiTheme="minorHAnsi"/>
              </w:rPr>
            </w:pP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Odporno</w:t>
            </w:r>
            <w:r w:rsidRPr="00764F74">
              <w:rPr>
                <w:rFonts w:asciiTheme="minorHAnsi" w:eastAsia="TimesNewRoman" w:hAnsiTheme="minorHAnsi"/>
              </w:rPr>
              <w:t xml:space="preserve">ść </w:t>
            </w:r>
            <w:r w:rsidRPr="00764F74">
              <w:rPr>
                <w:rFonts w:asciiTheme="minorHAnsi" w:hAnsiTheme="minorHAnsi"/>
              </w:rPr>
              <w:t xml:space="preserve">na </w:t>
            </w:r>
            <w:r w:rsidRPr="00764F74">
              <w:rPr>
                <w:rFonts w:asciiTheme="minorHAnsi" w:eastAsia="TimesNewRoman" w:hAnsiTheme="minorHAnsi"/>
              </w:rPr>
              <w:t>ś</w:t>
            </w:r>
            <w:r w:rsidRPr="00764F74">
              <w:rPr>
                <w:rFonts w:asciiTheme="minorHAnsi" w:hAnsiTheme="minorHAnsi"/>
              </w:rPr>
              <w:t xml:space="preserve">cieranie (dotyczy </w:t>
            </w:r>
            <w:r w:rsidRPr="00764F74">
              <w:rPr>
                <w:rFonts w:asciiTheme="minorHAnsi" w:hAnsiTheme="minorHAnsi"/>
              </w:rPr>
              <w:lastRenderedPageBreak/>
              <w:t>frakcji 10/14 odsianej z mieszanki) wg PN EN 1097-1, kategoria MDE</w:t>
            </w:r>
          </w:p>
        </w:tc>
        <w:tc>
          <w:tcPr>
            <w:tcW w:w="179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lastRenderedPageBreak/>
              <w:t>MDE</w:t>
            </w:r>
          </w:p>
          <w:p w:rsidR="00764F74" w:rsidRPr="00764F74" w:rsidRDefault="00764F74" w:rsidP="00AF470B">
            <w:pPr>
              <w:pStyle w:val="Nagwek7"/>
              <w:jc w:val="center"/>
              <w:rPr>
                <w:rFonts w:asciiTheme="minorHAnsi" w:hAnsiTheme="minorHAnsi"/>
              </w:rPr>
            </w:pPr>
            <w:r w:rsidRPr="00764F74">
              <w:rPr>
                <w:rFonts w:asciiTheme="minorHAnsi" w:hAnsiTheme="minorHAnsi"/>
              </w:rPr>
              <w:lastRenderedPageBreak/>
              <w:t>Deklarowana</w:t>
            </w:r>
          </w:p>
        </w:tc>
        <w:tc>
          <w:tcPr>
            <w:tcW w:w="1956"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lastRenderedPageBreak/>
              <w:t>MDE</w:t>
            </w:r>
          </w:p>
          <w:p w:rsidR="00764F74" w:rsidRPr="00764F74" w:rsidRDefault="00764F74" w:rsidP="00AF470B">
            <w:pPr>
              <w:pStyle w:val="Nagwek7"/>
              <w:jc w:val="center"/>
              <w:rPr>
                <w:rFonts w:asciiTheme="minorHAnsi" w:hAnsiTheme="minorHAnsi"/>
              </w:rPr>
            </w:pPr>
            <w:r w:rsidRPr="00764F74">
              <w:rPr>
                <w:rFonts w:asciiTheme="minorHAnsi" w:hAnsiTheme="minorHAnsi"/>
              </w:rPr>
              <w:lastRenderedPageBreak/>
              <w:t>Deklarowana</w:t>
            </w:r>
          </w:p>
        </w:tc>
        <w:tc>
          <w:tcPr>
            <w:tcW w:w="1956" w:type="dxa"/>
            <w:shd w:val="clear" w:color="auto" w:fill="auto"/>
          </w:tcPr>
          <w:p w:rsidR="00764F74" w:rsidRPr="00764F74" w:rsidRDefault="00764F74" w:rsidP="00AF470B">
            <w:pPr>
              <w:pStyle w:val="Nagwek7"/>
              <w:jc w:val="center"/>
              <w:rPr>
                <w:rFonts w:asciiTheme="minorHAnsi" w:hAnsiTheme="minorHAnsi"/>
              </w:rPr>
            </w:pP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Mrozoodporno</w:t>
            </w:r>
            <w:r w:rsidRPr="00764F74">
              <w:rPr>
                <w:rFonts w:asciiTheme="minorHAnsi" w:eastAsia="TimesNewRoman" w:hAnsiTheme="minorHAnsi"/>
              </w:rPr>
              <w:t xml:space="preserve">ść </w:t>
            </w:r>
            <w:r w:rsidRPr="00764F74">
              <w:rPr>
                <w:rFonts w:asciiTheme="minorHAnsi" w:hAnsiTheme="minorHAnsi"/>
              </w:rPr>
              <w:t>(dotyczy frakcji kruszywa 8/16 odsianej z mieszanki) wg PN-EN 1367- 1 kategoria nie wyższa niż:</w:t>
            </w:r>
          </w:p>
        </w:tc>
        <w:tc>
          <w:tcPr>
            <w:tcW w:w="179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F4-dla skał magmowych i przeobrażonych</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FNR – kruszywa z recyklingu ze skał</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magmowych i przeobrażonych</w:t>
            </w:r>
          </w:p>
        </w:tc>
        <w:tc>
          <w:tcPr>
            <w:tcW w:w="1956"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F4-dla skał magmowych i przeobrażonych</w:t>
            </w:r>
          </w:p>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FNR – kruszywa z recyklingu ze skał magmowych i przeobrażonych</w:t>
            </w:r>
          </w:p>
        </w:tc>
        <w:tc>
          <w:tcPr>
            <w:tcW w:w="1956" w:type="dxa"/>
            <w:shd w:val="clear" w:color="auto" w:fill="auto"/>
          </w:tcPr>
          <w:p w:rsidR="00764F74" w:rsidRPr="00764F74" w:rsidRDefault="00764F74" w:rsidP="00AF470B">
            <w:pPr>
              <w:pStyle w:val="Nagwek7"/>
              <w:jc w:val="center"/>
              <w:rPr>
                <w:rFonts w:asciiTheme="minorHAnsi" w:hAnsiTheme="minorHAnsi"/>
              </w:rPr>
            </w:pP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Warto</w:t>
            </w:r>
            <w:r w:rsidRPr="00764F74">
              <w:rPr>
                <w:rFonts w:asciiTheme="minorHAnsi" w:eastAsia="TimesNewRoman" w:hAnsiTheme="minorHAnsi"/>
              </w:rPr>
              <w:t xml:space="preserve">ść </w:t>
            </w:r>
            <w:r w:rsidRPr="00764F74">
              <w:rPr>
                <w:rFonts w:asciiTheme="minorHAnsi" w:hAnsiTheme="minorHAnsi"/>
              </w:rPr>
              <w:t>CBR [%] po zag</w:t>
            </w:r>
            <w:r w:rsidRPr="00764F74">
              <w:rPr>
                <w:rFonts w:asciiTheme="minorHAnsi" w:eastAsia="TimesNewRoman" w:hAnsiTheme="minorHAnsi"/>
              </w:rPr>
              <w:t>ę</w:t>
            </w:r>
            <w:r w:rsidRPr="00764F74">
              <w:rPr>
                <w:rFonts w:asciiTheme="minorHAnsi" w:hAnsiTheme="minorHAnsi"/>
              </w:rPr>
              <w:t>szczeniu do wska</w:t>
            </w:r>
            <w:r w:rsidRPr="00764F74">
              <w:rPr>
                <w:rFonts w:asciiTheme="minorHAnsi" w:eastAsia="TimesNewRoman" w:hAnsiTheme="minorHAnsi"/>
              </w:rPr>
              <w:t>ź</w:t>
            </w:r>
            <w:r w:rsidRPr="00764F74">
              <w:rPr>
                <w:rFonts w:asciiTheme="minorHAnsi" w:hAnsiTheme="minorHAnsi"/>
              </w:rPr>
              <w:t>nika zag</w:t>
            </w:r>
            <w:r w:rsidRPr="00764F74">
              <w:rPr>
                <w:rFonts w:asciiTheme="minorHAnsi" w:eastAsia="TimesNewRoman" w:hAnsiTheme="minorHAnsi"/>
              </w:rPr>
              <w:t>ę</w:t>
            </w:r>
            <w:r w:rsidRPr="00764F74">
              <w:rPr>
                <w:rFonts w:asciiTheme="minorHAnsi" w:hAnsiTheme="minorHAnsi"/>
              </w:rPr>
              <w:t>szczenia Is=1, i moczeniu w wodzie 96 h, co najmniej:</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eastAsia="TimesNewRoman" w:hAnsiTheme="minorHAnsi"/>
              </w:rPr>
              <w:t>≥80</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eastAsia="TimesNewRoman" w:hAnsiTheme="minorHAnsi"/>
              </w:rPr>
              <w:t>≥80</w:t>
            </w:r>
          </w:p>
        </w:tc>
        <w:tc>
          <w:tcPr>
            <w:tcW w:w="1956" w:type="dxa"/>
            <w:shd w:val="clear" w:color="auto" w:fill="auto"/>
          </w:tcPr>
          <w:p w:rsidR="00764F74" w:rsidRPr="00764F74" w:rsidRDefault="00764F74" w:rsidP="00AF470B">
            <w:pPr>
              <w:pStyle w:val="Nagwek7"/>
              <w:jc w:val="center"/>
              <w:rPr>
                <w:rFonts w:asciiTheme="minorHAnsi" w:hAnsiTheme="minorHAnsi"/>
              </w:rPr>
            </w:pPr>
          </w:p>
        </w:tc>
      </w:tr>
      <w:tr w:rsidR="00764F74" w:rsidRPr="00764F74" w:rsidTr="00AF470B">
        <w:tc>
          <w:tcPr>
            <w:tcW w:w="817" w:type="dxa"/>
            <w:shd w:val="clear" w:color="auto" w:fill="auto"/>
          </w:tcPr>
          <w:p w:rsidR="00764F74" w:rsidRPr="00764F74" w:rsidRDefault="00764F74" w:rsidP="00AF470B">
            <w:pPr>
              <w:pStyle w:val="Nagwek7"/>
              <w:rPr>
                <w:rFonts w:asciiTheme="minorHAnsi" w:hAnsiTheme="minorHAnsi"/>
              </w:rPr>
            </w:pPr>
          </w:p>
        </w:tc>
        <w:tc>
          <w:tcPr>
            <w:tcW w:w="3260"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Zawarto</w:t>
            </w:r>
            <w:r w:rsidRPr="00764F74">
              <w:rPr>
                <w:rFonts w:asciiTheme="minorHAnsi" w:eastAsia="TimesNewRoman" w:hAnsiTheme="minorHAnsi"/>
              </w:rPr>
              <w:t xml:space="preserve">ść </w:t>
            </w:r>
            <w:r w:rsidRPr="00764F74">
              <w:rPr>
                <w:rFonts w:asciiTheme="minorHAnsi" w:hAnsiTheme="minorHAnsi"/>
              </w:rPr>
              <w:t>wody w mieszance zag</w:t>
            </w:r>
            <w:r w:rsidRPr="00764F74">
              <w:rPr>
                <w:rFonts w:asciiTheme="minorHAnsi" w:eastAsia="TimesNewRoman" w:hAnsiTheme="minorHAnsi"/>
              </w:rPr>
              <w:t>ę</w:t>
            </w:r>
            <w:r w:rsidRPr="00764F74">
              <w:rPr>
                <w:rFonts w:asciiTheme="minorHAnsi" w:hAnsiTheme="minorHAnsi"/>
              </w:rPr>
              <w:t>szczanej, [%(m/m)], wilgotno</w:t>
            </w:r>
            <w:r w:rsidRPr="00764F74">
              <w:rPr>
                <w:rFonts w:asciiTheme="minorHAnsi" w:eastAsia="TimesNewRoman" w:hAnsiTheme="minorHAnsi"/>
              </w:rPr>
              <w:t xml:space="preserve">ść </w:t>
            </w:r>
            <w:r w:rsidRPr="00764F74">
              <w:rPr>
                <w:rFonts w:asciiTheme="minorHAnsi" w:hAnsiTheme="minorHAnsi"/>
              </w:rPr>
              <w:t>optymalna wg metody Proctora</w:t>
            </w:r>
          </w:p>
        </w:tc>
        <w:tc>
          <w:tcPr>
            <w:tcW w:w="1790"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80÷100</w:t>
            </w:r>
          </w:p>
        </w:tc>
        <w:tc>
          <w:tcPr>
            <w:tcW w:w="1956" w:type="dxa"/>
            <w:shd w:val="clear" w:color="auto" w:fill="auto"/>
          </w:tcPr>
          <w:p w:rsidR="00764F74" w:rsidRPr="00764F74" w:rsidRDefault="00764F74" w:rsidP="00AF470B">
            <w:pPr>
              <w:pStyle w:val="Nagwek7"/>
              <w:jc w:val="center"/>
              <w:rPr>
                <w:rFonts w:asciiTheme="minorHAnsi" w:hAnsiTheme="minorHAnsi"/>
              </w:rPr>
            </w:pPr>
            <w:r w:rsidRPr="00764F74">
              <w:rPr>
                <w:rFonts w:asciiTheme="minorHAnsi" w:hAnsiTheme="minorHAnsi"/>
              </w:rPr>
              <w:t>80÷100</w:t>
            </w:r>
          </w:p>
        </w:tc>
        <w:tc>
          <w:tcPr>
            <w:tcW w:w="1956" w:type="dxa"/>
            <w:shd w:val="clear" w:color="auto" w:fill="auto"/>
          </w:tcPr>
          <w:p w:rsidR="00764F74" w:rsidRPr="00764F74" w:rsidRDefault="00764F74" w:rsidP="00AF470B">
            <w:pPr>
              <w:pStyle w:val="Nagwek7"/>
              <w:jc w:val="center"/>
              <w:rPr>
                <w:rFonts w:asciiTheme="minorHAnsi" w:hAnsiTheme="minorHAnsi"/>
              </w:rPr>
            </w:pPr>
          </w:p>
        </w:tc>
      </w:tr>
    </w:tbl>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Badanie wska</w:t>
      </w:r>
      <w:r w:rsidRPr="00764F74">
        <w:rPr>
          <w:rFonts w:asciiTheme="minorHAnsi" w:eastAsia="TimesNewRoman" w:hAnsiTheme="minorHAnsi"/>
        </w:rPr>
        <w:t>ź</w:t>
      </w:r>
      <w:r w:rsidRPr="00764F74">
        <w:rPr>
          <w:rFonts w:asciiTheme="minorHAnsi" w:hAnsiTheme="minorHAnsi"/>
        </w:rPr>
        <w:t>nika piaskowego SE nale</w:t>
      </w:r>
      <w:r w:rsidRPr="00764F74">
        <w:rPr>
          <w:rFonts w:asciiTheme="minorHAnsi" w:eastAsia="TimesNewRoman" w:hAnsiTheme="minorHAnsi"/>
        </w:rPr>
        <w:t>ż</w:t>
      </w:r>
      <w:r w:rsidRPr="00764F74">
        <w:rPr>
          <w:rFonts w:asciiTheme="minorHAnsi" w:hAnsiTheme="minorHAnsi"/>
        </w:rPr>
        <w:t>y wykona</w:t>
      </w:r>
      <w:r w:rsidRPr="00764F74">
        <w:rPr>
          <w:rFonts w:asciiTheme="minorHAnsi" w:eastAsia="TimesNewRoman" w:hAnsiTheme="minorHAnsi"/>
        </w:rPr>
        <w:t xml:space="preserve">ć </w:t>
      </w:r>
      <w:r w:rsidRPr="00764F74">
        <w:rPr>
          <w:rFonts w:asciiTheme="minorHAnsi" w:hAnsiTheme="minorHAnsi"/>
        </w:rPr>
        <w:t>na mieszance po pi</w:t>
      </w:r>
      <w:r w:rsidRPr="00764F74">
        <w:rPr>
          <w:rFonts w:asciiTheme="minorHAnsi" w:eastAsia="TimesNewRoman" w:hAnsiTheme="minorHAnsi"/>
        </w:rPr>
        <w:t>ę</w:t>
      </w:r>
      <w:r w:rsidRPr="00764F74">
        <w:rPr>
          <w:rFonts w:asciiTheme="minorHAnsi" w:hAnsiTheme="minorHAnsi"/>
        </w:rPr>
        <w:t>ciokrotnym zag</w:t>
      </w:r>
      <w:r w:rsidRPr="00764F74">
        <w:rPr>
          <w:rFonts w:asciiTheme="minorHAnsi" w:eastAsia="TimesNewRoman" w:hAnsiTheme="minorHAnsi"/>
        </w:rPr>
        <w:t>ę</w:t>
      </w:r>
      <w:r w:rsidRPr="00764F74">
        <w:rPr>
          <w:rFonts w:asciiTheme="minorHAnsi" w:hAnsiTheme="minorHAnsi"/>
        </w:rPr>
        <w:t>szczeniu metod</w:t>
      </w:r>
      <w:r w:rsidRPr="00764F74">
        <w:rPr>
          <w:rFonts w:asciiTheme="minorHAnsi" w:eastAsia="TimesNewRoman" w:hAnsiTheme="minorHAnsi"/>
        </w:rPr>
        <w:t xml:space="preserve">ą </w:t>
      </w:r>
      <w:r w:rsidRPr="00764F74">
        <w:rPr>
          <w:rFonts w:asciiTheme="minorHAnsi" w:hAnsiTheme="minorHAnsi"/>
        </w:rPr>
        <w:t>Proctora wg PN EN</w:t>
      </w:r>
    </w:p>
    <w:p w:rsidR="00764F74" w:rsidRPr="00764F74" w:rsidRDefault="00764F74" w:rsidP="00764F74">
      <w:pPr>
        <w:pStyle w:val="Nagwek3"/>
        <w:spacing w:before="0" w:after="0"/>
        <w:rPr>
          <w:rFonts w:asciiTheme="minorHAnsi" w:hAnsiTheme="minorHAnsi"/>
          <w:b w:val="0"/>
        </w:rPr>
      </w:pPr>
      <w:r w:rsidRPr="00764F74">
        <w:rPr>
          <w:rFonts w:asciiTheme="minorHAnsi" w:hAnsiTheme="minorHAnsi"/>
          <w:b w:val="0"/>
        </w:rPr>
        <w:t>13286-2</w:t>
      </w:r>
    </w:p>
    <w:p w:rsidR="00764F74" w:rsidRDefault="00764F74" w:rsidP="00764F74">
      <w:pPr>
        <w:rPr>
          <w:rFonts w:asciiTheme="minorHAnsi" w:hAnsiTheme="minorHAnsi"/>
        </w:rPr>
      </w:pPr>
    </w:p>
    <w:p w:rsidR="00764F74" w:rsidRDefault="00764F74" w:rsidP="00764F74">
      <w:pPr>
        <w:rPr>
          <w:rFonts w:asciiTheme="minorHAnsi" w:hAnsiTheme="minorHAnsi"/>
        </w:rPr>
      </w:pPr>
    </w:p>
    <w:p w:rsidR="00764F74" w:rsidRPr="00764F74" w:rsidRDefault="00764F74" w:rsidP="00764F74">
      <w:pPr>
        <w:rPr>
          <w:rFonts w:asciiTheme="minorHAnsi" w:hAnsiTheme="minorHAnsi"/>
        </w:rPr>
      </w:pPr>
    </w:p>
    <w:p w:rsidR="00764F74" w:rsidRPr="00764F74" w:rsidRDefault="00764F74" w:rsidP="00764F74">
      <w:pPr>
        <w:rPr>
          <w:rFonts w:asciiTheme="minorHAnsi" w:hAnsiTheme="minorHAnsi"/>
        </w:rPr>
      </w:pPr>
      <w:r w:rsidRPr="00764F74">
        <w:rPr>
          <w:rFonts w:asciiTheme="minorHAnsi" w:hAnsiTheme="minorHAnsi"/>
          <w:noProof/>
        </w:rPr>
        <w:drawing>
          <wp:inline distT="0" distB="0" distL="0" distR="0">
            <wp:extent cx="6105525" cy="2486025"/>
            <wp:effectExtent l="0" t="0" r="9525"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05525" cy="2486025"/>
                    </a:xfrm>
                    <a:prstGeom prst="rect">
                      <a:avLst/>
                    </a:prstGeom>
                    <a:noFill/>
                    <a:ln>
                      <a:noFill/>
                    </a:ln>
                  </pic:spPr>
                </pic:pic>
              </a:graphicData>
            </a:graphic>
          </wp:inline>
        </w:drawing>
      </w:r>
    </w:p>
    <w:p w:rsidR="00764F74" w:rsidRPr="00764F74" w:rsidRDefault="00764F74" w:rsidP="00764F74">
      <w:pPr>
        <w:rPr>
          <w:rFonts w:asciiTheme="minorHAnsi" w:hAnsiTheme="minorHAnsi"/>
        </w:rPr>
      </w:pPr>
      <w:r w:rsidRPr="00764F74">
        <w:rPr>
          <w:rFonts w:asciiTheme="minorHAnsi" w:hAnsiTheme="minorHAnsi"/>
        </w:rPr>
        <w:t>Rys. 1 Mieszanka kruszyw 0/31,5 do podbudowy pomocniczej pod jezdnię</w:t>
      </w:r>
      <w:r w:rsidR="00C16E0E">
        <w:rPr>
          <w:rFonts w:asciiTheme="minorHAnsi" w:hAnsiTheme="minorHAnsi"/>
        </w:rPr>
        <w:t xml:space="preserve"> i stanowiska parkingowe</w:t>
      </w:r>
    </w:p>
    <w:p w:rsidR="00764F74" w:rsidRPr="00764F74" w:rsidRDefault="00764F74" w:rsidP="00764F74">
      <w:pPr>
        <w:rPr>
          <w:rFonts w:asciiTheme="minorHAnsi" w:hAnsiTheme="minorHAnsi"/>
        </w:rPr>
      </w:pPr>
    </w:p>
    <w:p w:rsidR="00764F74" w:rsidRPr="00764F74" w:rsidRDefault="00764F74" w:rsidP="00764F74">
      <w:pPr>
        <w:rPr>
          <w:rFonts w:asciiTheme="minorHAnsi" w:hAnsiTheme="minorHAnsi"/>
        </w:rPr>
      </w:pPr>
      <w:r w:rsidRPr="00764F74">
        <w:rPr>
          <w:rFonts w:asciiTheme="minorHAnsi" w:hAnsiTheme="minorHAnsi"/>
          <w:noProof/>
        </w:rPr>
        <w:lastRenderedPageBreak/>
        <w:drawing>
          <wp:inline distT="0" distB="0" distL="0" distR="0">
            <wp:extent cx="6105525" cy="2800350"/>
            <wp:effectExtent l="0" t="0" r="952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05525" cy="2800350"/>
                    </a:xfrm>
                    <a:prstGeom prst="rect">
                      <a:avLst/>
                    </a:prstGeom>
                    <a:noFill/>
                    <a:ln>
                      <a:noFill/>
                    </a:ln>
                  </pic:spPr>
                </pic:pic>
              </a:graphicData>
            </a:graphic>
          </wp:inline>
        </w:drawing>
      </w:r>
    </w:p>
    <w:p w:rsidR="00764F74" w:rsidRPr="00764F74" w:rsidRDefault="00764F74" w:rsidP="00764F74">
      <w:pPr>
        <w:rPr>
          <w:rFonts w:asciiTheme="minorHAnsi" w:hAnsiTheme="minorHAnsi"/>
        </w:rPr>
      </w:pPr>
    </w:p>
    <w:p w:rsidR="00764F74" w:rsidRPr="00764F74" w:rsidRDefault="00764F74" w:rsidP="00764F74">
      <w:pPr>
        <w:rPr>
          <w:rFonts w:asciiTheme="minorHAnsi" w:hAnsiTheme="minorHAnsi"/>
        </w:rPr>
      </w:pPr>
      <w:r w:rsidRPr="00764F74">
        <w:rPr>
          <w:rFonts w:asciiTheme="minorHAnsi" w:hAnsiTheme="minorHAnsi"/>
        </w:rPr>
        <w:t xml:space="preserve">Rys. </w:t>
      </w:r>
      <w:r>
        <w:rPr>
          <w:rFonts w:asciiTheme="minorHAnsi" w:hAnsiTheme="minorHAnsi"/>
        </w:rPr>
        <w:t xml:space="preserve">2  </w:t>
      </w:r>
      <w:r w:rsidRPr="00764F74">
        <w:rPr>
          <w:rFonts w:asciiTheme="minorHAnsi" w:hAnsiTheme="minorHAnsi"/>
        </w:rPr>
        <w:t>Mieszanka kruszyw 0/31,5 do podbudowy zasadniczej pod chodnik</w:t>
      </w:r>
    </w:p>
    <w:p w:rsidR="00764F74" w:rsidRPr="00764F74" w:rsidRDefault="00764F74" w:rsidP="00764F74">
      <w:pPr>
        <w:rPr>
          <w:rFonts w:asciiTheme="minorHAnsi" w:hAnsiTheme="minorHAnsi"/>
        </w:rPr>
      </w:pP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Aby zapewni</w:t>
      </w:r>
      <w:r w:rsidRPr="00764F74">
        <w:rPr>
          <w:rFonts w:asciiTheme="minorHAnsi" w:eastAsia="TimesNewRoman" w:hAnsiTheme="minorHAnsi"/>
        </w:rPr>
        <w:t xml:space="preserve">ć </w:t>
      </w:r>
      <w:r w:rsidRPr="00764F74">
        <w:rPr>
          <w:rFonts w:asciiTheme="minorHAnsi" w:hAnsiTheme="minorHAnsi"/>
        </w:rPr>
        <w:t>ci</w:t>
      </w:r>
      <w:r w:rsidRPr="00764F74">
        <w:rPr>
          <w:rFonts w:asciiTheme="minorHAnsi" w:eastAsia="TimesNewRoman" w:hAnsiTheme="minorHAnsi"/>
        </w:rPr>
        <w:t>ą</w:t>
      </w:r>
      <w:r w:rsidRPr="00764F74">
        <w:rPr>
          <w:rFonts w:asciiTheme="minorHAnsi" w:hAnsiTheme="minorHAnsi"/>
        </w:rPr>
        <w:t>gło</w:t>
      </w:r>
      <w:r w:rsidRPr="00764F74">
        <w:rPr>
          <w:rFonts w:asciiTheme="minorHAnsi" w:eastAsia="TimesNewRoman" w:hAnsiTheme="minorHAnsi"/>
        </w:rPr>
        <w:t xml:space="preserve">ść </w:t>
      </w:r>
      <w:r w:rsidRPr="00764F74">
        <w:rPr>
          <w:rFonts w:asciiTheme="minorHAnsi" w:hAnsiTheme="minorHAnsi"/>
        </w:rPr>
        <w:t>uziarnienia, oprócz wymaga</w:t>
      </w:r>
      <w:r w:rsidRPr="00764F74">
        <w:rPr>
          <w:rFonts w:asciiTheme="minorHAnsi" w:eastAsia="TimesNewRoman" w:hAnsiTheme="minorHAnsi"/>
        </w:rPr>
        <w:t xml:space="preserve">ń </w:t>
      </w:r>
      <w:r w:rsidRPr="00764F74">
        <w:rPr>
          <w:rFonts w:asciiTheme="minorHAnsi" w:hAnsiTheme="minorHAnsi"/>
        </w:rPr>
        <w:t>podanych na rys. 1, 2, 90% uziarnie</w:t>
      </w:r>
      <w:r w:rsidRPr="00764F74">
        <w:rPr>
          <w:rFonts w:asciiTheme="minorHAnsi" w:eastAsia="TimesNewRoman" w:hAnsiTheme="minorHAnsi"/>
        </w:rPr>
        <w:t xml:space="preserve">ń </w:t>
      </w:r>
      <w:r w:rsidRPr="00764F74">
        <w:rPr>
          <w:rFonts w:asciiTheme="minorHAnsi" w:hAnsiTheme="minorHAnsi"/>
        </w:rPr>
        <w:t>zbadanych w ramach ZKP w okresie do 6 miesi</w:t>
      </w:r>
      <w:r w:rsidRPr="00764F74">
        <w:rPr>
          <w:rFonts w:asciiTheme="minorHAnsi" w:eastAsia="TimesNewRoman" w:hAnsiTheme="minorHAnsi"/>
        </w:rPr>
        <w:t>ę</w:t>
      </w:r>
      <w:r w:rsidRPr="00764F74">
        <w:rPr>
          <w:rFonts w:asciiTheme="minorHAnsi" w:hAnsiTheme="minorHAnsi"/>
        </w:rPr>
        <w:t>cy powinno spełnia</w:t>
      </w:r>
      <w:r w:rsidRPr="00764F74">
        <w:rPr>
          <w:rFonts w:asciiTheme="minorHAnsi" w:eastAsia="TimesNewRoman" w:hAnsiTheme="minorHAnsi"/>
        </w:rPr>
        <w:t xml:space="preserve">ć </w:t>
      </w:r>
      <w:r w:rsidRPr="00764F74">
        <w:rPr>
          <w:rFonts w:asciiTheme="minorHAnsi" w:hAnsiTheme="minorHAnsi"/>
        </w:rPr>
        <w:t>wymagania podane w tablicach 3 - 6.</w:t>
      </w:r>
    </w:p>
    <w:p w:rsidR="00764F74" w:rsidRPr="00764F74" w:rsidRDefault="00764F74" w:rsidP="00764F74">
      <w:pPr>
        <w:overflowPunct/>
        <w:jc w:val="left"/>
        <w:textAlignment w:val="auto"/>
        <w:rPr>
          <w:rFonts w:asciiTheme="minorHAnsi" w:hAnsiTheme="minorHAnsi"/>
        </w:rPr>
      </w:pPr>
    </w:p>
    <w:p w:rsidR="00764F74" w:rsidRDefault="00764F74" w:rsidP="00764F74">
      <w:pPr>
        <w:overflowPunct/>
        <w:jc w:val="left"/>
        <w:textAlignment w:val="auto"/>
        <w:rPr>
          <w:rFonts w:asciiTheme="minorHAnsi" w:hAnsiTheme="minorHAnsi"/>
        </w:rPr>
      </w:pPr>
      <w:r w:rsidRPr="00764F74">
        <w:rPr>
          <w:rFonts w:asciiTheme="minorHAnsi" w:hAnsiTheme="minorHAnsi"/>
        </w:rPr>
        <w:t>Tablica 3 Porównanie uziarnienia mieszanki niezwi</w:t>
      </w:r>
      <w:r w:rsidRPr="00764F74">
        <w:rPr>
          <w:rFonts w:asciiTheme="minorHAnsi" w:eastAsia="TimesNewRoman" w:hAnsiTheme="minorHAnsi"/>
        </w:rPr>
        <w:t>ą</w:t>
      </w:r>
      <w:r w:rsidRPr="00764F74">
        <w:rPr>
          <w:rFonts w:asciiTheme="minorHAnsi" w:hAnsiTheme="minorHAnsi"/>
        </w:rPr>
        <w:t>zanej z uziarnieniem SDV deklarowanym przez producenta</w:t>
      </w:r>
    </w:p>
    <w:p w:rsidR="00764F74" w:rsidRPr="00764F74" w:rsidRDefault="00764F74" w:rsidP="00764F74">
      <w:pPr>
        <w:overflowPunct/>
        <w:jc w:val="left"/>
        <w:textAlignment w:val="auto"/>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03"/>
        <w:gridCol w:w="690"/>
        <w:gridCol w:w="709"/>
        <w:gridCol w:w="708"/>
        <w:gridCol w:w="709"/>
        <w:gridCol w:w="709"/>
        <w:gridCol w:w="709"/>
        <w:gridCol w:w="708"/>
        <w:gridCol w:w="709"/>
        <w:gridCol w:w="709"/>
        <w:gridCol w:w="709"/>
      </w:tblGrid>
      <w:tr w:rsidR="00764F74" w:rsidRPr="00764F74" w:rsidTr="00AF470B">
        <w:tc>
          <w:tcPr>
            <w:tcW w:w="1403" w:type="dxa"/>
            <w:vMerge w:val="restart"/>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Mieszanka</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niezwi</w:t>
            </w:r>
            <w:r w:rsidRPr="00764F74">
              <w:rPr>
                <w:rFonts w:asciiTheme="minorHAnsi" w:eastAsia="TimesNewRoman" w:hAnsiTheme="minorHAnsi"/>
              </w:rPr>
              <w:t>ą</w:t>
            </w:r>
            <w:r w:rsidRPr="00764F74">
              <w:rPr>
                <w:rFonts w:asciiTheme="minorHAnsi" w:hAnsiTheme="minorHAnsi"/>
              </w:rPr>
              <w:t>zana</w:t>
            </w:r>
          </w:p>
        </w:tc>
        <w:tc>
          <w:tcPr>
            <w:tcW w:w="7069" w:type="dxa"/>
            <w:gridSpan w:val="10"/>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Porównanie z deklarowanym SDV- tolerancja przesiewu przez sito [%(m/m)]</w:t>
            </w:r>
          </w:p>
        </w:tc>
      </w:tr>
      <w:tr w:rsidR="00764F74" w:rsidRPr="00764F74" w:rsidTr="00AF470B">
        <w:tc>
          <w:tcPr>
            <w:tcW w:w="1403" w:type="dxa"/>
            <w:vMerge/>
            <w:shd w:val="clear" w:color="auto" w:fill="auto"/>
          </w:tcPr>
          <w:p w:rsidR="00764F74" w:rsidRPr="00764F74" w:rsidRDefault="00764F74" w:rsidP="00AF470B">
            <w:pPr>
              <w:overflowPunct/>
              <w:jc w:val="center"/>
              <w:textAlignment w:val="auto"/>
              <w:rPr>
                <w:rFonts w:asciiTheme="minorHAnsi" w:hAnsiTheme="minorHAnsi"/>
              </w:rPr>
            </w:pPr>
          </w:p>
        </w:tc>
        <w:tc>
          <w:tcPr>
            <w:tcW w:w="69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0,5</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4</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5,6</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11,2</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16</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22,4</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31,5</w:t>
            </w:r>
          </w:p>
        </w:tc>
      </w:tr>
      <w:tr w:rsidR="00764F74" w:rsidRPr="00764F74" w:rsidTr="00AF470B">
        <w:tc>
          <w:tcPr>
            <w:tcW w:w="1403"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0/31,5</w:t>
            </w:r>
          </w:p>
        </w:tc>
        <w:tc>
          <w:tcPr>
            <w:tcW w:w="69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±7</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r>
    </w:tbl>
    <w:p w:rsidR="00764F74" w:rsidRPr="00764F74" w:rsidRDefault="00764F74" w:rsidP="00764F74">
      <w:pPr>
        <w:overflowPunct/>
        <w:jc w:val="left"/>
        <w:textAlignment w:val="auto"/>
        <w:rPr>
          <w:rFonts w:asciiTheme="minorHAnsi" w:hAnsiTheme="minorHAnsi"/>
        </w:rPr>
      </w:pPr>
    </w:p>
    <w:p w:rsidR="00764F74" w:rsidRDefault="00764F74" w:rsidP="00764F74">
      <w:pPr>
        <w:overflowPunct/>
        <w:jc w:val="left"/>
        <w:textAlignment w:val="auto"/>
        <w:rPr>
          <w:rFonts w:asciiTheme="minorHAnsi" w:hAnsiTheme="minorHAnsi"/>
        </w:rPr>
      </w:pPr>
      <w:r w:rsidRPr="00764F74">
        <w:rPr>
          <w:rFonts w:asciiTheme="minorHAnsi" w:hAnsiTheme="minorHAnsi"/>
        </w:rPr>
        <w:t>Tablica 4 Różnice przesiewów przy badaniu ci</w:t>
      </w:r>
      <w:r w:rsidRPr="00764F74">
        <w:rPr>
          <w:rFonts w:asciiTheme="minorHAnsi" w:eastAsia="TimesNewRoman" w:hAnsiTheme="minorHAnsi"/>
        </w:rPr>
        <w:t>ą</w:t>
      </w:r>
      <w:r w:rsidRPr="00764F74">
        <w:rPr>
          <w:rFonts w:asciiTheme="minorHAnsi" w:hAnsiTheme="minorHAnsi"/>
        </w:rPr>
        <w:t>gło</w:t>
      </w:r>
      <w:r w:rsidRPr="00764F74">
        <w:rPr>
          <w:rFonts w:asciiTheme="minorHAnsi" w:eastAsia="TimesNewRoman" w:hAnsiTheme="minorHAnsi"/>
        </w:rPr>
        <w:t>ś</w:t>
      </w:r>
      <w:r w:rsidRPr="00764F74">
        <w:rPr>
          <w:rFonts w:asciiTheme="minorHAnsi" w:hAnsiTheme="minorHAnsi"/>
        </w:rPr>
        <w:t>ci uziarnienia mieszanki  niezwiązanej</w:t>
      </w:r>
    </w:p>
    <w:p w:rsidR="00764F74" w:rsidRPr="00764F74" w:rsidRDefault="00764F74" w:rsidP="00764F74">
      <w:pPr>
        <w:overflowPunct/>
        <w:jc w:val="left"/>
        <w:textAlignment w:val="auto"/>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52"/>
        <w:gridCol w:w="517"/>
        <w:gridCol w:w="548"/>
        <w:gridCol w:w="517"/>
        <w:gridCol w:w="548"/>
        <w:gridCol w:w="517"/>
        <w:gridCol w:w="548"/>
        <w:gridCol w:w="517"/>
        <w:gridCol w:w="548"/>
        <w:gridCol w:w="517"/>
        <w:gridCol w:w="548"/>
        <w:gridCol w:w="517"/>
        <w:gridCol w:w="548"/>
        <w:gridCol w:w="517"/>
        <w:gridCol w:w="548"/>
        <w:gridCol w:w="517"/>
        <w:gridCol w:w="548"/>
      </w:tblGrid>
      <w:tr w:rsidR="00764F74" w:rsidRPr="00764F74" w:rsidTr="00AF470B">
        <w:tc>
          <w:tcPr>
            <w:tcW w:w="1101" w:type="dxa"/>
            <w:vMerge w:val="restart"/>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Mieszanka</w:t>
            </w:r>
          </w:p>
        </w:tc>
        <w:tc>
          <w:tcPr>
            <w:tcW w:w="7710" w:type="dxa"/>
            <w:gridSpan w:val="16"/>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Minimalna i maksymalna zawarto</w:t>
            </w:r>
            <w:r w:rsidRPr="00764F74">
              <w:rPr>
                <w:rFonts w:asciiTheme="minorHAnsi" w:eastAsia="TimesNewRoman" w:hAnsiTheme="minorHAnsi"/>
              </w:rPr>
              <w:t xml:space="preserve">ść </w:t>
            </w:r>
            <w:r w:rsidRPr="00764F74">
              <w:rPr>
                <w:rFonts w:asciiTheme="minorHAnsi" w:hAnsiTheme="minorHAnsi"/>
              </w:rPr>
              <w:t>frakcji w mieszance – ró</w:t>
            </w:r>
            <w:r w:rsidRPr="00764F74">
              <w:rPr>
                <w:rFonts w:asciiTheme="minorHAnsi" w:eastAsia="TimesNewRoman" w:hAnsiTheme="minorHAnsi"/>
              </w:rPr>
              <w:t>ż</w:t>
            </w:r>
            <w:r w:rsidRPr="00764F74">
              <w:rPr>
                <w:rFonts w:asciiTheme="minorHAnsi" w:hAnsiTheme="minorHAnsi"/>
              </w:rPr>
              <w:t>nice przesiewów [%(m/m)]</w:t>
            </w:r>
          </w:p>
        </w:tc>
      </w:tr>
      <w:tr w:rsidR="00764F74" w:rsidRPr="00764F74" w:rsidTr="00AF470B">
        <w:tc>
          <w:tcPr>
            <w:tcW w:w="1101" w:type="dxa"/>
            <w:vMerge/>
            <w:shd w:val="clear" w:color="auto" w:fill="auto"/>
          </w:tcPr>
          <w:p w:rsidR="00764F74" w:rsidRPr="00764F74" w:rsidRDefault="00764F74" w:rsidP="00AF470B">
            <w:pPr>
              <w:overflowPunct/>
              <w:jc w:val="left"/>
              <w:textAlignment w:val="auto"/>
              <w:rPr>
                <w:rFonts w:asciiTheme="minorHAnsi" w:hAnsiTheme="minorHAnsi"/>
              </w:rPr>
            </w:pPr>
          </w:p>
        </w:tc>
        <w:tc>
          <w:tcPr>
            <w:tcW w:w="957"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 / 2</w:t>
            </w:r>
          </w:p>
        </w:tc>
        <w:tc>
          <w:tcPr>
            <w:tcW w:w="957"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 / 4</w:t>
            </w:r>
          </w:p>
        </w:tc>
        <w:tc>
          <w:tcPr>
            <w:tcW w:w="957"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2/5,6</w:t>
            </w:r>
          </w:p>
        </w:tc>
        <w:tc>
          <w:tcPr>
            <w:tcW w:w="957"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4 / 8</w:t>
            </w:r>
          </w:p>
        </w:tc>
        <w:tc>
          <w:tcPr>
            <w:tcW w:w="957"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5,6/11,2</w:t>
            </w:r>
          </w:p>
        </w:tc>
        <w:tc>
          <w:tcPr>
            <w:tcW w:w="957"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8/16</w:t>
            </w:r>
          </w:p>
        </w:tc>
        <w:tc>
          <w:tcPr>
            <w:tcW w:w="984"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11,2/22,4</w:t>
            </w:r>
          </w:p>
        </w:tc>
        <w:tc>
          <w:tcPr>
            <w:tcW w:w="984"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16/31,5</w:t>
            </w:r>
          </w:p>
        </w:tc>
      </w:tr>
      <w:tr w:rsidR="00764F74" w:rsidRPr="00764F74" w:rsidTr="00AF470B">
        <w:tc>
          <w:tcPr>
            <w:tcW w:w="1101" w:type="dxa"/>
            <w:vMerge/>
            <w:shd w:val="clear" w:color="auto" w:fill="auto"/>
          </w:tcPr>
          <w:p w:rsidR="00764F74" w:rsidRPr="00764F74" w:rsidRDefault="00764F74" w:rsidP="00AF470B">
            <w:pPr>
              <w:overflowPunct/>
              <w:jc w:val="left"/>
              <w:textAlignment w:val="auto"/>
              <w:rPr>
                <w:rFonts w:asciiTheme="minorHAnsi" w:hAnsiTheme="minorHAnsi"/>
              </w:rPr>
            </w:pP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r>
      <w:tr w:rsidR="00764F74" w:rsidRPr="00764F74" w:rsidTr="00AF470B">
        <w:tc>
          <w:tcPr>
            <w:tcW w:w="110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0/31,5</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15</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7</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20</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10</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25</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65"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10</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25</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49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r>
    </w:tbl>
    <w:p w:rsidR="00764F74" w:rsidRPr="00764F74" w:rsidRDefault="00764F74" w:rsidP="00764F74">
      <w:pPr>
        <w:overflowPunct/>
        <w:jc w:val="left"/>
        <w:textAlignment w:val="auto"/>
        <w:rPr>
          <w:rFonts w:asciiTheme="minorHAnsi" w:hAnsiTheme="minorHAnsi"/>
        </w:rPr>
      </w:pP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Tablica 5 Wymagania wobec jednorodno</w:t>
      </w:r>
      <w:r w:rsidRPr="00764F74">
        <w:rPr>
          <w:rFonts w:asciiTheme="minorHAnsi" w:eastAsia="TimesNewRoman" w:hAnsiTheme="minorHAnsi"/>
        </w:rPr>
        <w:t>ś</w:t>
      </w:r>
      <w:r w:rsidRPr="00764F74">
        <w:rPr>
          <w:rFonts w:asciiTheme="minorHAnsi" w:hAnsiTheme="minorHAnsi"/>
        </w:rPr>
        <w:t>ci na sitach kontrolnych – porównanie z deklarowan</w:t>
      </w:r>
      <w:r w:rsidRPr="00764F74">
        <w:rPr>
          <w:rFonts w:asciiTheme="minorHAnsi" w:eastAsia="TimesNewRoman" w:hAnsiTheme="minorHAnsi"/>
        </w:rPr>
        <w:t xml:space="preserve">ą </w:t>
      </w:r>
      <w:r w:rsidRPr="00764F74">
        <w:rPr>
          <w:rFonts w:asciiTheme="minorHAnsi" w:hAnsiTheme="minorHAnsi"/>
        </w:rPr>
        <w:t>przez producenta warto</w:t>
      </w:r>
      <w:r w:rsidRPr="00764F74">
        <w:rPr>
          <w:rFonts w:asciiTheme="minorHAnsi" w:eastAsia="TimesNewRoman" w:hAnsiTheme="minorHAnsi"/>
        </w:rPr>
        <w:t>ś</w:t>
      </w:r>
      <w:r w:rsidRPr="00764F74">
        <w:rPr>
          <w:rFonts w:asciiTheme="minorHAnsi" w:hAnsiTheme="minorHAnsi"/>
        </w:rPr>
        <w:t>ci</w:t>
      </w:r>
      <w:r w:rsidRPr="00764F74">
        <w:rPr>
          <w:rFonts w:asciiTheme="minorHAnsi" w:eastAsia="TimesNewRoman" w:hAnsiTheme="minorHAnsi"/>
        </w:rPr>
        <w:t xml:space="preserve">ą </w:t>
      </w:r>
      <w:r w:rsidRPr="00764F74">
        <w:rPr>
          <w:rFonts w:asciiTheme="minorHAnsi" w:hAnsiTheme="minorHAnsi"/>
        </w:rPr>
        <w:t>(S)</w:t>
      </w:r>
    </w:p>
    <w:p w:rsidR="00764F74" w:rsidRPr="00764F74" w:rsidRDefault="00764F74" w:rsidP="00764F74">
      <w:pPr>
        <w:overflowPunct/>
        <w:jc w:val="left"/>
        <w:textAlignment w:val="auto"/>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03"/>
        <w:gridCol w:w="690"/>
        <w:gridCol w:w="709"/>
        <w:gridCol w:w="708"/>
        <w:gridCol w:w="709"/>
        <w:gridCol w:w="709"/>
        <w:gridCol w:w="709"/>
        <w:gridCol w:w="708"/>
        <w:gridCol w:w="709"/>
        <w:gridCol w:w="709"/>
        <w:gridCol w:w="709"/>
      </w:tblGrid>
      <w:tr w:rsidR="00764F74" w:rsidRPr="00764F74" w:rsidTr="00AF470B">
        <w:tc>
          <w:tcPr>
            <w:tcW w:w="1403" w:type="dxa"/>
            <w:vMerge w:val="restart"/>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Mieszanka</w:t>
            </w:r>
          </w:p>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niezwi</w:t>
            </w:r>
            <w:r w:rsidRPr="00764F74">
              <w:rPr>
                <w:rFonts w:asciiTheme="minorHAnsi" w:eastAsia="TimesNewRoman" w:hAnsiTheme="minorHAnsi"/>
              </w:rPr>
              <w:t>ą</w:t>
            </w:r>
            <w:r w:rsidRPr="00764F74">
              <w:rPr>
                <w:rFonts w:asciiTheme="minorHAnsi" w:hAnsiTheme="minorHAnsi"/>
              </w:rPr>
              <w:t>zana</w:t>
            </w:r>
          </w:p>
        </w:tc>
        <w:tc>
          <w:tcPr>
            <w:tcW w:w="7069" w:type="dxa"/>
            <w:gridSpan w:val="10"/>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Porównanie z deklarowanym SDV- tolerancja przesiewu przez sito [%(m/m)]</w:t>
            </w:r>
          </w:p>
        </w:tc>
      </w:tr>
      <w:tr w:rsidR="00764F74" w:rsidRPr="00764F74" w:rsidTr="00AF470B">
        <w:tc>
          <w:tcPr>
            <w:tcW w:w="1403" w:type="dxa"/>
            <w:vMerge/>
            <w:shd w:val="clear" w:color="auto" w:fill="auto"/>
          </w:tcPr>
          <w:p w:rsidR="00764F74" w:rsidRPr="00764F74" w:rsidRDefault="00764F74" w:rsidP="00AF470B">
            <w:pPr>
              <w:overflowPunct/>
              <w:jc w:val="center"/>
              <w:textAlignment w:val="auto"/>
              <w:rPr>
                <w:rFonts w:asciiTheme="minorHAnsi" w:hAnsiTheme="minorHAnsi"/>
              </w:rPr>
            </w:pPr>
          </w:p>
        </w:tc>
        <w:tc>
          <w:tcPr>
            <w:tcW w:w="69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0,5</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4</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5,6</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11,2</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16</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22,4</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31,5</w:t>
            </w:r>
          </w:p>
        </w:tc>
      </w:tr>
      <w:tr w:rsidR="00764F74" w:rsidRPr="00764F74" w:rsidTr="00AF470B">
        <w:tc>
          <w:tcPr>
            <w:tcW w:w="1403"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0/31,5</w:t>
            </w:r>
          </w:p>
        </w:tc>
        <w:tc>
          <w:tcPr>
            <w:tcW w:w="690"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±7</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8"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c>
          <w:tcPr>
            <w:tcW w:w="709" w:type="dxa"/>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w:t>
            </w:r>
          </w:p>
        </w:tc>
      </w:tr>
    </w:tbl>
    <w:p w:rsidR="00764F74" w:rsidRPr="00764F74" w:rsidRDefault="00764F74" w:rsidP="00764F74">
      <w:pPr>
        <w:overflowPunct/>
        <w:jc w:val="left"/>
        <w:textAlignment w:val="auto"/>
        <w:rPr>
          <w:rFonts w:asciiTheme="minorHAnsi" w:hAnsiTheme="minorHAnsi"/>
        </w:rPr>
      </w:pP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Tablica 6 Wymagania wobec ci</w:t>
      </w:r>
      <w:r w:rsidRPr="00764F74">
        <w:rPr>
          <w:rFonts w:asciiTheme="minorHAnsi" w:eastAsia="TimesNewRoman" w:hAnsiTheme="minorHAnsi"/>
        </w:rPr>
        <w:t>ą</w:t>
      </w:r>
      <w:r w:rsidRPr="00764F74">
        <w:rPr>
          <w:rFonts w:asciiTheme="minorHAnsi" w:hAnsiTheme="minorHAnsi"/>
        </w:rPr>
        <w:t>gło</w:t>
      </w:r>
      <w:r w:rsidRPr="00764F74">
        <w:rPr>
          <w:rFonts w:asciiTheme="minorHAnsi" w:eastAsia="TimesNewRoman" w:hAnsiTheme="minorHAnsi"/>
        </w:rPr>
        <w:t>ś</w:t>
      </w:r>
      <w:r w:rsidRPr="00764F74">
        <w:rPr>
          <w:rFonts w:asciiTheme="minorHAnsi" w:hAnsiTheme="minorHAnsi"/>
        </w:rPr>
        <w:t>ci uziarnienia na sitach kontrolnych – różnice w przesiewach podczas bada</w:t>
      </w:r>
      <w:r w:rsidRPr="00764F74">
        <w:rPr>
          <w:rFonts w:asciiTheme="minorHAnsi" w:eastAsia="TimesNewRoman" w:hAnsiTheme="minorHAnsi"/>
        </w:rPr>
        <w:t xml:space="preserve">ń </w:t>
      </w:r>
      <w:r w:rsidRPr="00764F74">
        <w:rPr>
          <w:rFonts w:asciiTheme="minorHAnsi" w:hAnsiTheme="minorHAnsi"/>
        </w:rPr>
        <w:t>kontrolnych produkowanych mieszanek</w:t>
      </w:r>
    </w:p>
    <w:p w:rsidR="00764F74" w:rsidRPr="00764F74" w:rsidRDefault="00764F74" w:rsidP="00764F74">
      <w:pPr>
        <w:overflowPunct/>
        <w:jc w:val="left"/>
        <w:textAlignment w:val="auto"/>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01"/>
        <w:gridCol w:w="411"/>
        <w:gridCol w:w="532"/>
        <w:gridCol w:w="503"/>
        <w:gridCol w:w="532"/>
        <w:gridCol w:w="503"/>
        <w:gridCol w:w="532"/>
        <w:gridCol w:w="503"/>
        <w:gridCol w:w="532"/>
        <w:gridCol w:w="503"/>
        <w:gridCol w:w="532"/>
        <w:gridCol w:w="503"/>
        <w:gridCol w:w="532"/>
        <w:gridCol w:w="503"/>
        <w:gridCol w:w="532"/>
        <w:gridCol w:w="503"/>
        <w:gridCol w:w="532"/>
      </w:tblGrid>
      <w:tr w:rsidR="00764F74" w:rsidRPr="00764F74" w:rsidTr="00764F74">
        <w:tc>
          <w:tcPr>
            <w:tcW w:w="1101" w:type="dxa"/>
            <w:vMerge w:val="restart"/>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Mieszanka</w:t>
            </w:r>
          </w:p>
        </w:tc>
        <w:tc>
          <w:tcPr>
            <w:tcW w:w="8188" w:type="dxa"/>
            <w:gridSpan w:val="16"/>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Minimalna i maksymalna zawarto</w:t>
            </w:r>
            <w:r w:rsidRPr="00764F74">
              <w:rPr>
                <w:rFonts w:asciiTheme="minorHAnsi" w:eastAsia="TimesNewRoman" w:hAnsiTheme="minorHAnsi"/>
              </w:rPr>
              <w:t xml:space="preserve">ść </w:t>
            </w:r>
            <w:r w:rsidRPr="00764F74">
              <w:rPr>
                <w:rFonts w:asciiTheme="minorHAnsi" w:hAnsiTheme="minorHAnsi"/>
              </w:rPr>
              <w:t>frakcji w mieszance – ró</w:t>
            </w:r>
            <w:r w:rsidRPr="00764F74">
              <w:rPr>
                <w:rFonts w:asciiTheme="minorHAnsi" w:eastAsia="TimesNewRoman" w:hAnsiTheme="minorHAnsi"/>
              </w:rPr>
              <w:t>ż</w:t>
            </w:r>
            <w:r w:rsidRPr="00764F74">
              <w:rPr>
                <w:rFonts w:asciiTheme="minorHAnsi" w:hAnsiTheme="minorHAnsi"/>
              </w:rPr>
              <w:t>nice przesiewów [%(m/m)]</w:t>
            </w:r>
          </w:p>
        </w:tc>
      </w:tr>
      <w:tr w:rsidR="00764F74" w:rsidRPr="00764F74" w:rsidTr="00764F74">
        <w:tc>
          <w:tcPr>
            <w:tcW w:w="1101" w:type="dxa"/>
            <w:vMerge/>
            <w:shd w:val="clear" w:color="auto" w:fill="auto"/>
          </w:tcPr>
          <w:p w:rsidR="00764F74" w:rsidRPr="00764F74" w:rsidRDefault="00764F74" w:rsidP="00AF470B">
            <w:pPr>
              <w:overflowPunct/>
              <w:jc w:val="left"/>
              <w:textAlignment w:val="auto"/>
              <w:rPr>
                <w:rFonts w:asciiTheme="minorHAnsi" w:hAnsiTheme="minorHAnsi"/>
              </w:rPr>
            </w:pPr>
          </w:p>
        </w:tc>
        <w:tc>
          <w:tcPr>
            <w:tcW w:w="943"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 / 2</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 / 4</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2/5,6</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4 / 8</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5,6/11,2</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8/16</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11,2/22,4</w:t>
            </w:r>
          </w:p>
        </w:tc>
        <w:tc>
          <w:tcPr>
            <w:tcW w:w="1035" w:type="dxa"/>
            <w:gridSpan w:val="2"/>
            <w:shd w:val="clear" w:color="auto" w:fill="auto"/>
          </w:tcPr>
          <w:p w:rsidR="00764F74" w:rsidRPr="00764F74" w:rsidRDefault="00764F74" w:rsidP="00AF470B">
            <w:pPr>
              <w:overflowPunct/>
              <w:jc w:val="center"/>
              <w:textAlignment w:val="auto"/>
              <w:rPr>
                <w:rFonts w:asciiTheme="minorHAnsi" w:hAnsiTheme="minorHAnsi"/>
              </w:rPr>
            </w:pPr>
            <w:r w:rsidRPr="00764F74">
              <w:rPr>
                <w:rFonts w:asciiTheme="minorHAnsi" w:hAnsiTheme="minorHAnsi"/>
              </w:rPr>
              <w:t>16/31,5</w:t>
            </w:r>
          </w:p>
        </w:tc>
      </w:tr>
      <w:tr w:rsidR="00764F74" w:rsidRPr="00764F74" w:rsidTr="00764F74">
        <w:tc>
          <w:tcPr>
            <w:tcW w:w="1101" w:type="dxa"/>
            <w:vMerge/>
            <w:shd w:val="clear" w:color="auto" w:fill="auto"/>
          </w:tcPr>
          <w:p w:rsidR="00764F74" w:rsidRPr="00764F74" w:rsidRDefault="00764F74" w:rsidP="00AF470B">
            <w:pPr>
              <w:overflowPunct/>
              <w:jc w:val="left"/>
              <w:textAlignment w:val="auto"/>
              <w:rPr>
                <w:rFonts w:asciiTheme="minorHAnsi" w:hAnsiTheme="minorHAnsi"/>
              </w:rPr>
            </w:pPr>
          </w:p>
        </w:tc>
        <w:tc>
          <w:tcPr>
            <w:tcW w:w="41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min</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max</w:t>
            </w:r>
          </w:p>
        </w:tc>
      </w:tr>
      <w:tr w:rsidR="00764F74" w:rsidRPr="00764F74" w:rsidTr="00764F74">
        <w:tc>
          <w:tcPr>
            <w:tcW w:w="110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0/31,5</w:t>
            </w:r>
          </w:p>
        </w:tc>
        <w:tc>
          <w:tcPr>
            <w:tcW w:w="411"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4</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15</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7</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20</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10</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25</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10</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25</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03"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c>
          <w:tcPr>
            <w:tcW w:w="532" w:type="dxa"/>
            <w:shd w:val="clear" w:color="auto" w:fill="auto"/>
          </w:tcPr>
          <w:p w:rsidR="00764F74" w:rsidRPr="00764F74" w:rsidRDefault="00764F74" w:rsidP="00AF470B">
            <w:pPr>
              <w:overflowPunct/>
              <w:jc w:val="left"/>
              <w:textAlignment w:val="auto"/>
              <w:rPr>
                <w:rFonts w:asciiTheme="minorHAnsi" w:hAnsiTheme="minorHAnsi"/>
              </w:rPr>
            </w:pPr>
            <w:r w:rsidRPr="00764F74">
              <w:rPr>
                <w:rFonts w:asciiTheme="minorHAnsi" w:hAnsiTheme="minorHAnsi"/>
              </w:rPr>
              <w:t>-</w:t>
            </w:r>
          </w:p>
        </w:tc>
      </w:tr>
    </w:tbl>
    <w:p w:rsidR="00764F74" w:rsidRDefault="00764F74" w:rsidP="00364E4D">
      <w:pPr>
        <w:pStyle w:val="tekstost"/>
        <w:rPr>
          <w:rFonts w:ascii="Calibri" w:hAnsi="Calibri" w:cs="Calibri"/>
        </w:rPr>
      </w:pPr>
    </w:p>
    <w:p w:rsidR="00764F74" w:rsidRPr="00764F74" w:rsidRDefault="00764F74" w:rsidP="00764F74">
      <w:pPr>
        <w:pStyle w:val="Nagwek4"/>
        <w:rPr>
          <w:rFonts w:asciiTheme="minorHAnsi" w:hAnsiTheme="minorHAnsi"/>
        </w:rPr>
      </w:pPr>
      <w:r w:rsidRPr="00764F74">
        <w:rPr>
          <w:rFonts w:asciiTheme="minorHAnsi" w:hAnsiTheme="minorHAnsi"/>
        </w:rPr>
        <w:lastRenderedPageBreak/>
        <w:t>2.4 Woda</w:t>
      </w:r>
    </w:p>
    <w:p w:rsidR="00764F74" w:rsidRPr="00764F74" w:rsidRDefault="00764F74" w:rsidP="00764F74">
      <w:pPr>
        <w:rPr>
          <w:rFonts w:asciiTheme="minorHAnsi" w:hAnsiTheme="minorHAnsi"/>
        </w:rPr>
      </w:pPr>
      <w:r w:rsidRPr="00764F74">
        <w:rPr>
          <w:rFonts w:asciiTheme="minorHAnsi" w:hAnsiTheme="minorHAnsi"/>
        </w:rPr>
        <w:t>Należy stosowa</w:t>
      </w:r>
      <w:r w:rsidRPr="00764F74">
        <w:rPr>
          <w:rFonts w:asciiTheme="minorHAnsi" w:eastAsia="TimesNewRoman" w:hAnsiTheme="minorHAnsi"/>
        </w:rPr>
        <w:t xml:space="preserve">ć </w:t>
      </w:r>
      <w:r w:rsidRPr="00764F74">
        <w:rPr>
          <w:rFonts w:asciiTheme="minorHAnsi" w:hAnsiTheme="minorHAnsi"/>
        </w:rPr>
        <w:t>wod</w:t>
      </w:r>
      <w:r w:rsidRPr="00764F74">
        <w:rPr>
          <w:rFonts w:asciiTheme="minorHAnsi" w:eastAsia="TimesNewRoman" w:hAnsiTheme="minorHAnsi"/>
        </w:rPr>
        <w:t xml:space="preserve">ę </w:t>
      </w:r>
      <w:r w:rsidRPr="00764F74">
        <w:rPr>
          <w:rFonts w:asciiTheme="minorHAnsi" w:hAnsiTheme="minorHAnsi"/>
        </w:rPr>
        <w:t>wg PN-EN1008</w:t>
      </w:r>
    </w:p>
    <w:p w:rsidR="00656AC1" w:rsidRPr="00203191" w:rsidRDefault="00656AC1" w:rsidP="00364E4D">
      <w:pPr>
        <w:pStyle w:val="Nagwek3"/>
        <w:rPr>
          <w:rFonts w:ascii="Calibri" w:hAnsi="Calibri" w:cs="Calibri"/>
        </w:rPr>
      </w:pPr>
      <w:r w:rsidRPr="00203191">
        <w:rPr>
          <w:rFonts w:ascii="Calibri" w:hAnsi="Calibri" w:cs="Calibri"/>
        </w:rPr>
        <w:t>3. SPRZĘT</w:t>
      </w:r>
    </w:p>
    <w:p w:rsidR="00656AC1" w:rsidRPr="00203191" w:rsidRDefault="00656AC1" w:rsidP="00364E4D">
      <w:pPr>
        <w:pStyle w:val="Nagwek4"/>
        <w:rPr>
          <w:rFonts w:ascii="Calibri" w:hAnsi="Calibri" w:cs="Calibri"/>
        </w:rPr>
      </w:pPr>
      <w:r w:rsidRPr="00203191">
        <w:rPr>
          <w:rFonts w:ascii="Calibri" w:hAnsi="Calibri" w:cs="Calibri"/>
        </w:rPr>
        <w:t>3.1. Ogólne wymagania dotyczące sprzętu</w:t>
      </w:r>
    </w:p>
    <w:p w:rsidR="00656AC1" w:rsidRPr="00203191" w:rsidRDefault="00656AC1" w:rsidP="00364E4D">
      <w:pPr>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rPr>
          <w:rFonts w:ascii="Calibri" w:hAnsi="Calibri" w:cs="Calibri"/>
        </w:rPr>
      </w:pPr>
      <w:r w:rsidRPr="00203191">
        <w:rPr>
          <w:rFonts w:ascii="Calibri" w:hAnsi="Calibri" w:cs="Calibri"/>
        </w:rPr>
        <w:t>3.2. Sprzęt do wykonania robót</w:t>
      </w:r>
    </w:p>
    <w:p w:rsidR="00656AC1" w:rsidRPr="00203191" w:rsidRDefault="00656AC1" w:rsidP="00364E4D">
      <w:pPr>
        <w:rPr>
          <w:rFonts w:ascii="Calibri" w:hAnsi="Calibri" w:cs="Calibri"/>
        </w:rPr>
      </w:pPr>
      <w:r w:rsidRPr="00203191">
        <w:rPr>
          <w:rFonts w:ascii="Calibri" w:hAnsi="Calibri" w:cs="Calibri"/>
        </w:rPr>
        <w:t>Wykonawca przystępujący do wykonania podbudowy z kruszyw stabilizowanych mechanicznie  powinien wykazać się możliwością korzystania z następującego sprzętu:</w:t>
      </w:r>
    </w:p>
    <w:p w:rsidR="00656AC1" w:rsidRPr="00203191" w:rsidRDefault="00656AC1" w:rsidP="00954A11">
      <w:pPr>
        <w:numPr>
          <w:ilvl w:val="0"/>
          <w:numId w:val="15"/>
        </w:numPr>
        <w:rPr>
          <w:rFonts w:ascii="Calibri" w:hAnsi="Calibri" w:cs="Calibri"/>
        </w:rPr>
      </w:pPr>
      <w:r w:rsidRPr="00203191">
        <w:rPr>
          <w:rFonts w:ascii="Calibri" w:hAnsi="Calibri" w:cs="Calibri"/>
        </w:rPr>
        <w:t>mieszarek do wytwarzania mieszanki, wyposażonych w urządzenia dozujące wodę. Mieszarki powinny zapewnić wytworzenie jednorodnej mieszanki o wilgotności optymalnej,</w:t>
      </w:r>
    </w:p>
    <w:p w:rsidR="00656AC1" w:rsidRPr="00203191" w:rsidRDefault="00656AC1" w:rsidP="00954A11">
      <w:pPr>
        <w:numPr>
          <w:ilvl w:val="0"/>
          <w:numId w:val="15"/>
        </w:numPr>
        <w:rPr>
          <w:rFonts w:ascii="Calibri" w:hAnsi="Calibri" w:cs="Calibri"/>
        </w:rPr>
      </w:pPr>
      <w:r w:rsidRPr="00203191">
        <w:rPr>
          <w:rFonts w:ascii="Calibri" w:hAnsi="Calibri" w:cs="Calibri"/>
        </w:rPr>
        <w:t>równiarek albo układarek do rozkładania mieszanki,</w:t>
      </w:r>
    </w:p>
    <w:p w:rsidR="00656AC1" w:rsidRPr="00203191" w:rsidRDefault="00656AC1" w:rsidP="00954A11">
      <w:pPr>
        <w:numPr>
          <w:ilvl w:val="0"/>
          <w:numId w:val="15"/>
        </w:numPr>
        <w:rPr>
          <w:rFonts w:ascii="Calibri" w:hAnsi="Calibri" w:cs="Calibri"/>
        </w:rPr>
      </w:pPr>
      <w:r w:rsidRPr="00203191">
        <w:rPr>
          <w:rFonts w:ascii="Calibri" w:hAnsi="Calibri" w:cs="Calibri"/>
        </w:rPr>
        <w:t>walców ogumionych i stalowych wibracyjnych lub statycznych do zagęszczania. W miejscach trudno dostępnych powinny być stosowane zagęszczarki płytowe, ubijaki mechaniczne lub małe walce wibracyjne.</w:t>
      </w:r>
    </w:p>
    <w:p w:rsidR="00656AC1" w:rsidRPr="00203191" w:rsidRDefault="00656AC1" w:rsidP="00364E4D">
      <w:pPr>
        <w:pStyle w:val="Nagwek3"/>
        <w:rPr>
          <w:rFonts w:ascii="Calibri" w:hAnsi="Calibri" w:cs="Calibri"/>
        </w:rPr>
      </w:pPr>
      <w:r w:rsidRPr="00203191">
        <w:rPr>
          <w:rFonts w:ascii="Calibri" w:hAnsi="Calibri" w:cs="Calibri"/>
        </w:rPr>
        <w:t>4. TRANSPORT</w:t>
      </w:r>
    </w:p>
    <w:p w:rsidR="00656AC1" w:rsidRPr="00203191" w:rsidRDefault="00656AC1" w:rsidP="00364E4D">
      <w:pPr>
        <w:pStyle w:val="Nagwek4"/>
        <w:rPr>
          <w:rFonts w:ascii="Calibri" w:hAnsi="Calibri" w:cs="Calibri"/>
        </w:rPr>
      </w:pPr>
      <w:r w:rsidRPr="00203191">
        <w:rPr>
          <w:rFonts w:ascii="Calibri" w:hAnsi="Calibri" w:cs="Calibri"/>
        </w:rPr>
        <w:t>4.1. Ogólne wymagania dotyczące transportu</w:t>
      </w:r>
    </w:p>
    <w:p w:rsidR="00656AC1" w:rsidRPr="00203191" w:rsidRDefault="00656AC1" w:rsidP="00364E4D">
      <w:pPr>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rPr>
          <w:rFonts w:ascii="Calibri" w:hAnsi="Calibri" w:cs="Calibri"/>
        </w:rPr>
      </w:pPr>
      <w:r w:rsidRPr="00203191">
        <w:rPr>
          <w:rFonts w:ascii="Calibri" w:hAnsi="Calibri" w:cs="Calibri"/>
        </w:rPr>
        <w:t>4.2. Transport materiałów</w:t>
      </w:r>
    </w:p>
    <w:p w:rsidR="00656AC1" w:rsidRPr="00203191" w:rsidRDefault="00656AC1" w:rsidP="00364E4D">
      <w:pPr>
        <w:rPr>
          <w:rFonts w:ascii="Calibri" w:hAnsi="Calibri" w:cs="Calibri"/>
        </w:rPr>
      </w:pPr>
      <w:r w:rsidRPr="00203191">
        <w:rPr>
          <w:rFonts w:ascii="Calibri" w:hAnsi="Calibri" w:cs="Calibri"/>
        </w:rPr>
        <w:t>Kruszywa można przewozić dowolnymi środkami transportu w warunkach zabezpieczających je przed zanieczyszczeniem, zmieszaniem z innymi materiałami, nadmiernym wysuszeniem i zawilgoceniem.</w:t>
      </w:r>
    </w:p>
    <w:p w:rsidR="00656AC1" w:rsidRPr="00203191" w:rsidRDefault="00656AC1" w:rsidP="00364E4D">
      <w:pPr>
        <w:rPr>
          <w:rFonts w:ascii="Calibri" w:hAnsi="Calibri" w:cs="Calibri"/>
        </w:rPr>
      </w:pPr>
      <w:r w:rsidRPr="00203191">
        <w:rPr>
          <w:rFonts w:ascii="Calibri" w:hAnsi="Calibri" w:cs="Calibri"/>
        </w:rPr>
        <w:t>Transport cementu powinien odbywać się zgodnie z BN-88/6731-08.</w:t>
      </w:r>
    </w:p>
    <w:p w:rsidR="00656AC1" w:rsidRPr="00203191" w:rsidRDefault="00656AC1" w:rsidP="00364E4D">
      <w:pPr>
        <w:rPr>
          <w:rFonts w:ascii="Calibri" w:hAnsi="Calibri" w:cs="Calibri"/>
        </w:rPr>
      </w:pPr>
      <w:r w:rsidRPr="00203191">
        <w:rPr>
          <w:rFonts w:ascii="Calibri" w:hAnsi="Calibri" w:cs="Calibri"/>
        </w:rPr>
        <w:t>Transport pozostałych materiałów powinien odbywać się zgodnie z wymaganiami norm przedmiotowych.</w:t>
      </w:r>
    </w:p>
    <w:p w:rsidR="00656AC1" w:rsidRPr="00203191" w:rsidRDefault="00656AC1" w:rsidP="00364E4D">
      <w:pPr>
        <w:pStyle w:val="Nagwek3"/>
        <w:rPr>
          <w:rFonts w:ascii="Calibri" w:hAnsi="Calibri" w:cs="Calibri"/>
        </w:rPr>
      </w:pPr>
      <w:r w:rsidRPr="00203191">
        <w:rPr>
          <w:rFonts w:ascii="Calibri" w:hAnsi="Calibri" w:cs="Calibri"/>
        </w:rPr>
        <w:t>5. WYKONANIE ROBÓT</w:t>
      </w:r>
    </w:p>
    <w:p w:rsidR="00656AC1" w:rsidRPr="00203191" w:rsidRDefault="00656AC1" w:rsidP="00364E4D">
      <w:pPr>
        <w:pStyle w:val="Nagwek4"/>
        <w:rPr>
          <w:rFonts w:ascii="Calibri" w:hAnsi="Calibri" w:cs="Calibri"/>
        </w:rPr>
      </w:pPr>
      <w:r w:rsidRPr="00203191">
        <w:rPr>
          <w:rFonts w:ascii="Calibri" w:hAnsi="Calibri" w:cs="Calibri"/>
        </w:rPr>
        <w:t>5.1. Ogólne zasady wykonania robót</w:t>
      </w:r>
    </w:p>
    <w:p w:rsidR="00656AC1" w:rsidRPr="00203191" w:rsidRDefault="00656AC1" w:rsidP="00364E4D">
      <w:pPr>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pStyle w:val="Nagwek4"/>
        <w:rPr>
          <w:rFonts w:ascii="Calibri" w:hAnsi="Calibri" w:cs="Calibri"/>
        </w:rPr>
      </w:pPr>
      <w:r w:rsidRPr="00203191">
        <w:rPr>
          <w:rFonts w:ascii="Calibri" w:hAnsi="Calibri" w:cs="Calibri"/>
        </w:rPr>
        <w:t>5.2. Przygotowanie podłoża</w:t>
      </w:r>
    </w:p>
    <w:p w:rsidR="00656AC1" w:rsidRPr="00203191" w:rsidRDefault="00656AC1" w:rsidP="00364E4D">
      <w:pPr>
        <w:rPr>
          <w:rFonts w:ascii="Calibri" w:hAnsi="Calibri" w:cs="Calibri"/>
        </w:rPr>
      </w:pPr>
      <w:r w:rsidRPr="00203191">
        <w:rPr>
          <w:rFonts w:ascii="Calibri" w:hAnsi="Calibri" w:cs="Calibri"/>
        </w:rPr>
        <w:t xml:space="preserve">Podłoże pod podbudowę powinno spełniać wymagania określone w </w:t>
      </w:r>
      <w:r w:rsidR="005B48CA">
        <w:rPr>
          <w:rFonts w:ascii="Calibri" w:hAnsi="Calibri" w:cs="Calibri"/>
        </w:rPr>
        <w:t>STWiORB</w:t>
      </w:r>
      <w:r w:rsidRPr="00203191">
        <w:rPr>
          <w:rFonts w:ascii="Calibri" w:hAnsi="Calibri" w:cs="Calibri"/>
        </w:rPr>
        <w:t xml:space="preserve"> D-04.05.01 „Ulepszone podłoże stabilizowane cementem”.</w:t>
      </w:r>
    </w:p>
    <w:p w:rsidR="00656AC1" w:rsidRPr="00203191" w:rsidRDefault="00656AC1" w:rsidP="00364E4D">
      <w:pPr>
        <w:rPr>
          <w:rFonts w:ascii="Calibri" w:hAnsi="Calibri" w:cs="Calibri"/>
        </w:rPr>
      </w:pPr>
      <w:r w:rsidRPr="00203191">
        <w:rPr>
          <w:rFonts w:ascii="Calibri" w:hAnsi="Calibri" w:cs="Calibri"/>
        </w:rPr>
        <w:t>Paliki lub szpilki do prawidłowego ukształtowania podbudowy powinny być wcześniej przygotowane.</w:t>
      </w:r>
    </w:p>
    <w:p w:rsidR="00656AC1" w:rsidRPr="00203191" w:rsidRDefault="00656AC1" w:rsidP="00364E4D">
      <w:pPr>
        <w:rPr>
          <w:rFonts w:ascii="Calibri" w:hAnsi="Calibri" w:cs="Calibri"/>
        </w:rPr>
      </w:pPr>
      <w:r w:rsidRPr="00203191">
        <w:rPr>
          <w:rFonts w:ascii="Calibri" w:hAnsi="Calibri" w:cs="Calibri"/>
        </w:rPr>
        <w:t>Paliki lub szpilki powinny być ustawione w osi drogi i w rzędach równoległych do osi drogi, lub w inny sposób zaakceptowany przez Inżyniera.</w:t>
      </w:r>
    </w:p>
    <w:p w:rsidR="00656AC1" w:rsidRPr="00203191" w:rsidRDefault="00656AC1" w:rsidP="00364E4D">
      <w:pPr>
        <w:rPr>
          <w:rFonts w:ascii="Calibri" w:hAnsi="Calibri" w:cs="Calibri"/>
        </w:rPr>
      </w:pPr>
      <w:r w:rsidRPr="00203191">
        <w:rPr>
          <w:rFonts w:ascii="Calibri" w:hAnsi="Calibri" w:cs="Calibri"/>
        </w:rPr>
        <w:t>Rozmieszczenie palików lub szpilek powinno umożliwiać naciągnięcie sznurków lub linek do wytyczenia robót w odstępach nie większych niż co 10 m.</w:t>
      </w:r>
    </w:p>
    <w:p w:rsidR="00656AC1" w:rsidRPr="00203191" w:rsidRDefault="00656AC1" w:rsidP="00364E4D">
      <w:pPr>
        <w:pStyle w:val="Nagwek4"/>
        <w:rPr>
          <w:rFonts w:ascii="Calibri" w:hAnsi="Calibri" w:cs="Calibri"/>
        </w:rPr>
      </w:pPr>
      <w:r w:rsidRPr="00203191">
        <w:rPr>
          <w:rFonts w:ascii="Calibri" w:hAnsi="Calibri" w:cs="Calibri"/>
        </w:rPr>
        <w:t>5.3. Wytwarzanie mieszanki kruszywa</w:t>
      </w:r>
    </w:p>
    <w:p w:rsidR="00656AC1" w:rsidRPr="00203191" w:rsidRDefault="00656AC1" w:rsidP="00364E4D">
      <w:pPr>
        <w:rPr>
          <w:rFonts w:ascii="Calibri" w:hAnsi="Calibri" w:cs="Calibri"/>
        </w:rPr>
      </w:pPr>
      <w:r w:rsidRPr="00203191">
        <w:rPr>
          <w:rFonts w:ascii="Calibri" w:hAnsi="Calibri" w:cs="Calibri"/>
        </w:rPr>
        <w:t>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w:t>
      </w:r>
    </w:p>
    <w:p w:rsidR="00764F74" w:rsidRDefault="00764F74" w:rsidP="00364E4D">
      <w:pPr>
        <w:pStyle w:val="Nagwek4"/>
        <w:rPr>
          <w:rFonts w:ascii="Calibri" w:hAnsi="Calibri" w:cs="Calibri"/>
        </w:rPr>
      </w:pPr>
    </w:p>
    <w:p w:rsidR="00656AC1" w:rsidRPr="00203191" w:rsidRDefault="00656AC1" w:rsidP="00364E4D">
      <w:pPr>
        <w:pStyle w:val="Nagwek4"/>
        <w:rPr>
          <w:rFonts w:ascii="Calibri" w:hAnsi="Calibri" w:cs="Calibri"/>
        </w:rPr>
      </w:pPr>
      <w:r w:rsidRPr="00203191">
        <w:rPr>
          <w:rFonts w:ascii="Calibri" w:hAnsi="Calibri" w:cs="Calibri"/>
        </w:rPr>
        <w:t>5.4. Wbudowywanie i zagęszczanie mieszanki</w:t>
      </w:r>
    </w:p>
    <w:p w:rsidR="00764F74" w:rsidRDefault="00764F74" w:rsidP="00364E4D">
      <w:pPr>
        <w:rPr>
          <w:rFonts w:ascii="Calibri" w:hAnsi="Calibri" w:cs="Calibri"/>
        </w:rPr>
      </w:pP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Potrzebn</w:t>
      </w:r>
      <w:r w:rsidRPr="00764F74">
        <w:rPr>
          <w:rFonts w:asciiTheme="minorHAnsi" w:eastAsia="TimesNewRoman" w:hAnsiTheme="minorHAnsi" w:cs="TimesNewRoman"/>
        </w:rPr>
        <w:t xml:space="preserve">ą </w:t>
      </w:r>
      <w:r w:rsidRPr="00764F74">
        <w:rPr>
          <w:rFonts w:asciiTheme="minorHAnsi" w:hAnsiTheme="minorHAnsi"/>
        </w:rPr>
        <w:t>ilo</w:t>
      </w:r>
      <w:r w:rsidRPr="00764F74">
        <w:rPr>
          <w:rFonts w:asciiTheme="minorHAnsi" w:eastAsia="TimesNewRoman" w:hAnsiTheme="minorHAnsi" w:cs="TimesNewRoman"/>
        </w:rPr>
        <w:t xml:space="preserve">ść </w:t>
      </w:r>
      <w:r w:rsidRPr="00764F74">
        <w:rPr>
          <w:rFonts w:asciiTheme="minorHAnsi" w:hAnsiTheme="minorHAnsi"/>
        </w:rPr>
        <w:t>wody dla mieszanki ustala si</w:t>
      </w:r>
      <w:r w:rsidRPr="00764F74">
        <w:rPr>
          <w:rFonts w:asciiTheme="minorHAnsi" w:eastAsia="TimesNewRoman" w:hAnsiTheme="minorHAnsi" w:cs="TimesNewRoman"/>
        </w:rPr>
        <w:t xml:space="preserve">ę </w:t>
      </w:r>
      <w:r w:rsidRPr="00764F74">
        <w:rPr>
          <w:rFonts w:asciiTheme="minorHAnsi" w:hAnsiTheme="minorHAnsi"/>
        </w:rPr>
        <w:t>laboratoryjnie z uwzgl</w:t>
      </w:r>
      <w:r w:rsidRPr="00764F74">
        <w:rPr>
          <w:rFonts w:asciiTheme="minorHAnsi" w:eastAsia="TimesNewRoman" w:hAnsiTheme="minorHAnsi" w:cs="TimesNewRoman"/>
        </w:rPr>
        <w:t>ę</w:t>
      </w:r>
      <w:r w:rsidRPr="00764F74">
        <w:rPr>
          <w:rFonts w:asciiTheme="minorHAnsi" w:hAnsiTheme="minorHAnsi"/>
        </w:rPr>
        <w:t>dnieniem wilgotno</w:t>
      </w:r>
      <w:r w:rsidRPr="00764F74">
        <w:rPr>
          <w:rFonts w:asciiTheme="minorHAnsi" w:eastAsia="TimesNewRoman" w:hAnsiTheme="minorHAnsi" w:cs="TimesNewRoman"/>
        </w:rPr>
        <w:t>ś</w:t>
      </w:r>
      <w:r w:rsidRPr="00764F74">
        <w:rPr>
          <w:rFonts w:asciiTheme="minorHAnsi" w:hAnsiTheme="minorHAnsi"/>
        </w:rPr>
        <w:t>ci naturalnej kruszywa. Nawil</w:t>
      </w:r>
      <w:r w:rsidRPr="00764F74">
        <w:rPr>
          <w:rFonts w:asciiTheme="minorHAnsi" w:eastAsia="TimesNewRoman" w:hAnsiTheme="minorHAnsi" w:cs="TimesNewRoman"/>
        </w:rPr>
        <w:t>ż</w:t>
      </w:r>
      <w:r w:rsidRPr="00764F74">
        <w:rPr>
          <w:rFonts w:asciiTheme="minorHAnsi" w:hAnsiTheme="minorHAnsi"/>
        </w:rPr>
        <w:t>anie mieszanki powinno nast</w:t>
      </w:r>
      <w:r w:rsidRPr="00764F74">
        <w:rPr>
          <w:rFonts w:asciiTheme="minorHAnsi" w:eastAsia="TimesNewRoman" w:hAnsiTheme="minorHAnsi" w:cs="TimesNewRoman"/>
        </w:rPr>
        <w:t>ę</w:t>
      </w:r>
      <w:r w:rsidRPr="00764F74">
        <w:rPr>
          <w:rFonts w:asciiTheme="minorHAnsi" w:hAnsiTheme="minorHAnsi"/>
        </w:rPr>
        <w:t>powa</w:t>
      </w:r>
      <w:r w:rsidRPr="00764F74">
        <w:rPr>
          <w:rFonts w:asciiTheme="minorHAnsi" w:eastAsia="TimesNewRoman" w:hAnsiTheme="minorHAnsi" w:cs="TimesNewRoman"/>
        </w:rPr>
        <w:t xml:space="preserve">ć </w:t>
      </w:r>
      <w:r w:rsidRPr="00764F74">
        <w:rPr>
          <w:rFonts w:asciiTheme="minorHAnsi" w:hAnsiTheme="minorHAnsi"/>
        </w:rPr>
        <w:t>stopniowo w ilo</w:t>
      </w:r>
      <w:r w:rsidRPr="00764F74">
        <w:rPr>
          <w:rFonts w:asciiTheme="minorHAnsi" w:eastAsia="TimesNewRoman" w:hAnsiTheme="minorHAnsi" w:cs="TimesNewRoman"/>
        </w:rPr>
        <w:t>ś</w:t>
      </w:r>
      <w:r w:rsidRPr="00764F74">
        <w:rPr>
          <w:rFonts w:asciiTheme="minorHAnsi" w:hAnsiTheme="minorHAnsi"/>
        </w:rPr>
        <w:t>ci nie wi</w:t>
      </w:r>
      <w:r w:rsidRPr="00764F74">
        <w:rPr>
          <w:rFonts w:asciiTheme="minorHAnsi" w:eastAsia="TimesNewRoman" w:hAnsiTheme="minorHAnsi" w:cs="TimesNewRoman"/>
        </w:rPr>
        <w:t>ę</w:t>
      </w:r>
      <w:r w:rsidRPr="00764F74">
        <w:rPr>
          <w:rFonts w:asciiTheme="minorHAnsi" w:hAnsiTheme="minorHAnsi"/>
        </w:rPr>
        <w:t>kszej ni</w:t>
      </w:r>
      <w:r w:rsidRPr="00764F74">
        <w:rPr>
          <w:rFonts w:asciiTheme="minorHAnsi" w:eastAsia="TimesNewRoman" w:hAnsiTheme="minorHAnsi" w:cs="TimesNewRoman"/>
        </w:rPr>
        <w:t xml:space="preserve">ż </w:t>
      </w:r>
      <w:r w:rsidRPr="00764F74">
        <w:rPr>
          <w:rFonts w:asciiTheme="minorHAnsi" w:hAnsiTheme="minorHAnsi"/>
        </w:rPr>
        <w:t>10 l/m3 do czasu uzyskania w mieszance wilgotno</w:t>
      </w:r>
      <w:r w:rsidRPr="00764F74">
        <w:rPr>
          <w:rFonts w:asciiTheme="minorHAnsi" w:eastAsia="TimesNewRoman" w:hAnsiTheme="minorHAnsi" w:cs="TimesNewRoman"/>
        </w:rPr>
        <w:t>ś</w:t>
      </w:r>
      <w:r w:rsidRPr="00764F74">
        <w:rPr>
          <w:rFonts w:asciiTheme="minorHAnsi" w:hAnsiTheme="minorHAnsi"/>
        </w:rPr>
        <w:t>ci optymalnej okre</w:t>
      </w:r>
      <w:r w:rsidRPr="00764F74">
        <w:rPr>
          <w:rFonts w:asciiTheme="minorHAnsi" w:eastAsia="TimesNewRoman" w:hAnsiTheme="minorHAnsi" w:cs="TimesNewRoman"/>
        </w:rPr>
        <w:t>ś</w:t>
      </w:r>
      <w:r w:rsidRPr="00764F74">
        <w:rPr>
          <w:rFonts w:asciiTheme="minorHAnsi" w:hAnsiTheme="minorHAnsi"/>
        </w:rPr>
        <w:t>lonej laboratoryjnie. W czasie słonecznej pogody, wiatrów w zale</w:t>
      </w:r>
      <w:r w:rsidRPr="00764F74">
        <w:rPr>
          <w:rFonts w:asciiTheme="minorHAnsi" w:eastAsia="TimesNewRoman" w:hAnsiTheme="minorHAnsi" w:cs="TimesNewRoman"/>
        </w:rPr>
        <w:t>ż</w:t>
      </w:r>
      <w:r w:rsidRPr="00764F74">
        <w:rPr>
          <w:rFonts w:asciiTheme="minorHAnsi" w:hAnsiTheme="minorHAnsi"/>
        </w:rPr>
        <w:t>no</w:t>
      </w:r>
      <w:r w:rsidRPr="00764F74">
        <w:rPr>
          <w:rFonts w:asciiTheme="minorHAnsi" w:eastAsia="TimesNewRoman" w:hAnsiTheme="minorHAnsi" w:cs="TimesNewRoman"/>
        </w:rPr>
        <w:t>ś</w:t>
      </w:r>
      <w:r w:rsidRPr="00764F74">
        <w:rPr>
          <w:rFonts w:asciiTheme="minorHAnsi" w:hAnsiTheme="minorHAnsi"/>
        </w:rPr>
        <w:t>ci od temperatury, ilo</w:t>
      </w:r>
      <w:r w:rsidRPr="00764F74">
        <w:rPr>
          <w:rFonts w:asciiTheme="minorHAnsi" w:eastAsia="TimesNewRoman" w:hAnsiTheme="minorHAnsi" w:cs="TimesNewRoman"/>
        </w:rPr>
        <w:t xml:space="preserve">ść </w:t>
      </w:r>
      <w:r w:rsidRPr="00764F74">
        <w:rPr>
          <w:rFonts w:asciiTheme="minorHAnsi" w:hAnsiTheme="minorHAnsi"/>
        </w:rPr>
        <w:t>wody powinna by</w:t>
      </w:r>
      <w:r w:rsidRPr="00764F74">
        <w:rPr>
          <w:rFonts w:asciiTheme="minorHAnsi" w:eastAsia="TimesNewRoman" w:hAnsiTheme="minorHAnsi" w:cs="TimesNewRoman"/>
        </w:rPr>
        <w:t xml:space="preserve">ć </w:t>
      </w:r>
      <w:r w:rsidRPr="00764F74">
        <w:rPr>
          <w:rFonts w:asciiTheme="minorHAnsi" w:hAnsiTheme="minorHAnsi"/>
        </w:rPr>
        <w:t>odpowiednio wi</w:t>
      </w:r>
      <w:r w:rsidRPr="00764F74">
        <w:rPr>
          <w:rFonts w:asciiTheme="minorHAnsi" w:eastAsia="TimesNewRoman" w:hAnsiTheme="minorHAnsi" w:cs="TimesNewRoman"/>
        </w:rPr>
        <w:t>ę</w:t>
      </w:r>
      <w:r w:rsidRPr="00764F74">
        <w:rPr>
          <w:rFonts w:asciiTheme="minorHAnsi" w:hAnsiTheme="minorHAnsi"/>
        </w:rPr>
        <w:t>ksza. Zwi</w:t>
      </w:r>
      <w:r w:rsidRPr="00764F74">
        <w:rPr>
          <w:rFonts w:asciiTheme="minorHAnsi" w:eastAsia="TimesNewRoman" w:hAnsiTheme="minorHAnsi" w:cs="TimesNewRoman"/>
        </w:rPr>
        <w:t>ę</w:t>
      </w:r>
      <w:r w:rsidRPr="00764F74">
        <w:rPr>
          <w:rFonts w:asciiTheme="minorHAnsi" w:hAnsiTheme="minorHAnsi"/>
        </w:rPr>
        <w:t>kszenie ilo</w:t>
      </w:r>
      <w:r w:rsidRPr="00764F74">
        <w:rPr>
          <w:rFonts w:asciiTheme="minorHAnsi" w:eastAsia="TimesNewRoman" w:hAnsiTheme="minorHAnsi" w:cs="TimesNewRoman"/>
        </w:rPr>
        <w:t>ś</w:t>
      </w:r>
      <w:r w:rsidRPr="00764F74">
        <w:rPr>
          <w:rFonts w:asciiTheme="minorHAnsi" w:hAnsiTheme="minorHAnsi"/>
        </w:rPr>
        <w:t>ci wody mo</w:t>
      </w:r>
      <w:r w:rsidRPr="00764F74">
        <w:rPr>
          <w:rFonts w:asciiTheme="minorHAnsi" w:eastAsia="TimesNewRoman" w:hAnsiTheme="minorHAnsi" w:cs="TimesNewRoman"/>
        </w:rPr>
        <w:t>ż</w:t>
      </w:r>
      <w:r w:rsidRPr="00764F74">
        <w:rPr>
          <w:rFonts w:asciiTheme="minorHAnsi" w:hAnsiTheme="minorHAnsi"/>
        </w:rPr>
        <w:t>e si</w:t>
      </w:r>
      <w:r w:rsidRPr="00764F74">
        <w:rPr>
          <w:rFonts w:asciiTheme="minorHAnsi" w:eastAsia="TimesNewRoman" w:hAnsiTheme="minorHAnsi" w:cs="TimesNewRoman"/>
        </w:rPr>
        <w:t>ę</w:t>
      </w:r>
      <w:r w:rsidRPr="00764F74">
        <w:rPr>
          <w:rFonts w:asciiTheme="minorHAnsi" w:hAnsiTheme="minorHAnsi"/>
        </w:rPr>
        <w:t>ga</w:t>
      </w:r>
      <w:r w:rsidRPr="00764F74">
        <w:rPr>
          <w:rFonts w:asciiTheme="minorHAnsi" w:eastAsia="TimesNewRoman" w:hAnsiTheme="minorHAnsi" w:cs="TimesNewRoman"/>
        </w:rPr>
        <w:t xml:space="preserve">ć </w:t>
      </w:r>
      <w:r w:rsidRPr="00764F74">
        <w:rPr>
          <w:rFonts w:asciiTheme="minorHAnsi" w:hAnsiTheme="minorHAnsi"/>
        </w:rPr>
        <w:t>20% w stosunku do wilgotno</w:t>
      </w:r>
      <w:r w:rsidRPr="00764F74">
        <w:rPr>
          <w:rFonts w:asciiTheme="minorHAnsi" w:eastAsia="TimesNewRoman" w:hAnsiTheme="minorHAnsi" w:cs="TimesNewRoman"/>
        </w:rPr>
        <w:t>ś</w:t>
      </w:r>
      <w:r w:rsidRPr="00764F74">
        <w:rPr>
          <w:rFonts w:asciiTheme="minorHAnsi" w:hAnsiTheme="minorHAnsi"/>
        </w:rPr>
        <w:t>ci optymalnej. W przypadku, gdy wilgotno</w:t>
      </w:r>
      <w:r w:rsidRPr="00764F74">
        <w:rPr>
          <w:rFonts w:asciiTheme="minorHAnsi" w:eastAsia="TimesNewRoman" w:hAnsiTheme="minorHAnsi" w:cs="TimesNewRoman"/>
        </w:rPr>
        <w:t xml:space="preserve">ść </w:t>
      </w:r>
      <w:r w:rsidRPr="00764F74">
        <w:rPr>
          <w:rFonts w:asciiTheme="minorHAnsi" w:hAnsiTheme="minorHAnsi"/>
        </w:rPr>
        <w:t>naturalna kruszywa przekracza wilgotno</w:t>
      </w:r>
      <w:r w:rsidRPr="00764F74">
        <w:rPr>
          <w:rFonts w:asciiTheme="minorHAnsi" w:eastAsia="TimesNewRoman" w:hAnsiTheme="minorHAnsi" w:cs="TimesNewRoman"/>
        </w:rPr>
        <w:t xml:space="preserve">ść </w:t>
      </w:r>
      <w:r w:rsidRPr="00764F74">
        <w:rPr>
          <w:rFonts w:asciiTheme="minorHAnsi" w:hAnsiTheme="minorHAnsi"/>
        </w:rPr>
        <w:t>optymaln</w:t>
      </w:r>
      <w:r w:rsidRPr="00764F74">
        <w:rPr>
          <w:rFonts w:asciiTheme="minorHAnsi" w:eastAsia="TimesNewRoman" w:hAnsiTheme="minorHAnsi" w:cs="TimesNewRoman"/>
        </w:rPr>
        <w:t>ą</w:t>
      </w:r>
      <w:r w:rsidRPr="00764F74">
        <w:rPr>
          <w:rFonts w:asciiTheme="minorHAnsi" w:hAnsiTheme="minorHAnsi"/>
        </w:rPr>
        <w:t>, nale</w:t>
      </w:r>
      <w:r w:rsidRPr="00764F74">
        <w:rPr>
          <w:rFonts w:asciiTheme="minorHAnsi" w:eastAsia="TimesNewRoman" w:hAnsiTheme="minorHAnsi" w:cs="TimesNewRoman"/>
        </w:rPr>
        <w:t>ż</w:t>
      </w:r>
      <w:r w:rsidRPr="00764F74">
        <w:rPr>
          <w:rFonts w:asciiTheme="minorHAnsi" w:hAnsiTheme="minorHAnsi"/>
        </w:rPr>
        <w:t>y je osuszy</w:t>
      </w:r>
      <w:r w:rsidRPr="00764F74">
        <w:rPr>
          <w:rFonts w:asciiTheme="minorHAnsi" w:eastAsia="TimesNewRoman" w:hAnsiTheme="minorHAnsi" w:cs="TimesNewRoman"/>
        </w:rPr>
        <w:t xml:space="preserve">ć </w:t>
      </w:r>
      <w:r w:rsidRPr="00764F74">
        <w:rPr>
          <w:rFonts w:asciiTheme="minorHAnsi" w:hAnsiTheme="minorHAnsi"/>
        </w:rPr>
        <w:t>przez zwi</w:t>
      </w:r>
      <w:r w:rsidRPr="00764F74">
        <w:rPr>
          <w:rFonts w:asciiTheme="minorHAnsi" w:eastAsia="TimesNewRoman" w:hAnsiTheme="minorHAnsi" w:cs="TimesNewRoman"/>
        </w:rPr>
        <w:t>ę</w:t>
      </w:r>
      <w:r w:rsidRPr="00764F74">
        <w:rPr>
          <w:rFonts w:asciiTheme="minorHAnsi" w:hAnsiTheme="minorHAnsi"/>
        </w:rPr>
        <w:t>kszenie ilo</w:t>
      </w:r>
      <w:r w:rsidRPr="00764F74">
        <w:rPr>
          <w:rFonts w:asciiTheme="minorHAnsi" w:eastAsia="TimesNewRoman" w:hAnsiTheme="minorHAnsi" w:cs="TimesNewRoman"/>
        </w:rPr>
        <w:t>ś</w:t>
      </w:r>
      <w:r w:rsidRPr="00764F74">
        <w:rPr>
          <w:rFonts w:asciiTheme="minorHAnsi" w:hAnsiTheme="minorHAnsi"/>
        </w:rPr>
        <w:t>ci miesza</w:t>
      </w:r>
      <w:r w:rsidRPr="00764F74">
        <w:rPr>
          <w:rFonts w:asciiTheme="minorHAnsi" w:eastAsia="TimesNewRoman" w:hAnsiTheme="minorHAnsi" w:cs="TimesNewRoman"/>
        </w:rPr>
        <w:t>ń</w:t>
      </w:r>
      <w:r w:rsidRPr="00764F74">
        <w:rPr>
          <w:rFonts w:asciiTheme="minorHAnsi" w:hAnsiTheme="minorHAnsi"/>
        </w:rPr>
        <w:t>.</w:t>
      </w:r>
    </w:p>
    <w:p w:rsidR="00764F74" w:rsidRPr="00764F74" w:rsidRDefault="00764F74" w:rsidP="00764F74">
      <w:pPr>
        <w:overflowPunct/>
        <w:jc w:val="left"/>
        <w:textAlignment w:val="auto"/>
        <w:rPr>
          <w:rFonts w:asciiTheme="minorHAnsi" w:hAnsiTheme="minorHAnsi"/>
        </w:rPr>
      </w:pPr>
      <w:r w:rsidRPr="00764F74">
        <w:rPr>
          <w:rFonts w:asciiTheme="minorHAnsi" w:hAnsiTheme="minorHAnsi"/>
        </w:rPr>
        <w:t>Transport wytworzonej mieszanki na miejsce wbudowania odbywa</w:t>
      </w:r>
      <w:r w:rsidRPr="00764F74">
        <w:rPr>
          <w:rFonts w:asciiTheme="minorHAnsi" w:eastAsia="TimesNewRoman" w:hAnsiTheme="minorHAnsi" w:cs="TimesNewRoman"/>
        </w:rPr>
        <w:t xml:space="preserve">ć </w:t>
      </w:r>
      <w:r w:rsidRPr="00764F74">
        <w:rPr>
          <w:rFonts w:asciiTheme="minorHAnsi" w:hAnsiTheme="minorHAnsi"/>
        </w:rPr>
        <w:t>si</w:t>
      </w:r>
      <w:r w:rsidRPr="00764F74">
        <w:rPr>
          <w:rFonts w:asciiTheme="minorHAnsi" w:eastAsia="TimesNewRoman" w:hAnsiTheme="minorHAnsi" w:cs="TimesNewRoman"/>
        </w:rPr>
        <w:t xml:space="preserve">ę </w:t>
      </w:r>
      <w:r w:rsidRPr="00764F74">
        <w:rPr>
          <w:rFonts w:asciiTheme="minorHAnsi" w:hAnsiTheme="minorHAnsi"/>
        </w:rPr>
        <w:t>b</w:t>
      </w:r>
      <w:r w:rsidRPr="00764F74">
        <w:rPr>
          <w:rFonts w:asciiTheme="minorHAnsi" w:eastAsia="TimesNewRoman" w:hAnsiTheme="minorHAnsi" w:cs="TimesNewRoman"/>
        </w:rPr>
        <w:t>ę</w:t>
      </w:r>
      <w:r w:rsidRPr="00764F74">
        <w:rPr>
          <w:rFonts w:asciiTheme="minorHAnsi" w:hAnsiTheme="minorHAnsi"/>
        </w:rPr>
        <w:t xml:space="preserve">dzie samowyładowczymi </w:t>
      </w:r>
      <w:r w:rsidRPr="00764F74">
        <w:rPr>
          <w:rFonts w:asciiTheme="minorHAnsi" w:eastAsia="TimesNewRoman" w:hAnsiTheme="minorHAnsi" w:cs="TimesNewRoman"/>
        </w:rPr>
        <w:t>ś</w:t>
      </w:r>
      <w:r w:rsidRPr="00764F74">
        <w:rPr>
          <w:rFonts w:asciiTheme="minorHAnsi" w:hAnsiTheme="minorHAnsi"/>
        </w:rPr>
        <w:t>rodkami transportu jak w pkt. 4, zaraz po jej wyprodukowaniu w sposób zabezpieczaj</w:t>
      </w:r>
      <w:r w:rsidRPr="00764F74">
        <w:rPr>
          <w:rFonts w:asciiTheme="minorHAnsi" w:eastAsia="TimesNewRoman" w:hAnsiTheme="minorHAnsi" w:cs="TimesNewRoman"/>
        </w:rPr>
        <w:t>ą</w:t>
      </w:r>
      <w:r w:rsidRPr="00764F74">
        <w:rPr>
          <w:rFonts w:asciiTheme="minorHAnsi" w:hAnsiTheme="minorHAnsi"/>
        </w:rPr>
        <w:t>cy mieszank</w:t>
      </w:r>
      <w:r w:rsidRPr="00764F74">
        <w:rPr>
          <w:rFonts w:asciiTheme="minorHAnsi" w:eastAsia="TimesNewRoman" w:hAnsiTheme="minorHAnsi" w:cs="TimesNewRoman"/>
        </w:rPr>
        <w:t xml:space="preserve">ę </w:t>
      </w:r>
      <w:r w:rsidRPr="00764F74">
        <w:rPr>
          <w:rFonts w:asciiTheme="minorHAnsi" w:hAnsiTheme="minorHAnsi"/>
        </w:rPr>
        <w:t>przed wysychaniem i segregacj</w:t>
      </w:r>
      <w:r w:rsidRPr="00764F74">
        <w:rPr>
          <w:rFonts w:asciiTheme="minorHAnsi" w:eastAsia="TimesNewRoman" w:hAnsiTheme="minorHAnsi" w:cs="TimesNewRoman"/>
        </w:rPr>
        <w:t>ą</w:t>
      </w:r>
      <w:r w:rsidRPr="00764F74">
        <w:rPr>
          <w:rFonts w:asciiTheme="minorHAnsi" w:hAnsiTheme="minorHAnsi"/>
        </w:rPr>
        <w:t>.</w:t>
      </w:r>
    </w:p>
    <w:p w:rsidR="00656AC1" w:rsidRPr="00203191" w:rsidRDefault="00656AC1" w:rsidP="00364E4D">
      <w:pPr>
        <w:rPr>
          <w:rFonts w:ascii="Calibri" w:hAnsi="Calibri" w:cs="Calibri"/>
        </w:rPr>
      </w:pPr>
      <w:r w:rsidRPr="00203191">
        <w:rPr>
          <w:rFonts w:ascii="Calibri" w:hAnsi="Calibri" w:cs="Calibri"/>
        </w:rPr>
        <w:t>Mieszanka kruszywa powinna być rozkładana w warstwie o jednakowej grubości, takiej, aby jej ostateczna grubość po zagęszczeniu była równa grubości projektowanej. Grubość pojedynczo układanej warstwy nie może przekraczać 20 cm po zagęszczeniu. Warstwa podbudowy powinna być rozłożona w sposób zapewniający osiągnięcie wymaganych spadków i rzędnych wysokościowych. Wilgotność mieszanki kruszywa podczas zagęszczania powinna odpowiadać wilgotności optymalnej, określonej według próby Proctora, zgodnie z PN-B-04481:1988 (metoda II).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rsidR="00656AC1" w:rsidRDefault="00656AC1" w:rsidP="00364E4D">
      <w:pPr>
        <w:rPr>
          <w:rFonts w:ascii="Calibri" w:hAnsi="Calibri" w:cs="Calibri"/>
        </w:rPr>
      </w:pPr>
      <w:r w:rsidRPr="00203191">
        <w:rPr>
          <w:rFonts w:ascii="Calibri" w:hAnsi="Calibri" w:cs="Calibri"/>
        </w:rPr>
        <w:t>Wskaźnik zagęszczenia podbudowy wg BN-77/8931-12 powinien odpowiadać przyjętemu poziomowi wskaźnika nośności podbudowy wg tablicy</w:t>
      </w:r>
      <w:r w:rsidR="006C5E54">
        <w:rPr>
          <w:rFonts w:ascii="Calibri" w:hAnsi="Calibri" w:cs="Calibri"/>
        </w:rPr>
        <w:t xml:space="preserve"> 9</w:t>
      </w:r>
      <w:r w:rsidRPr="00203191">
        <w:rPr>
          <w:rFonts w:ascii="Calibri" w:hAnsi="Calibri" w:cs="Calibri"/>
        </w:rPr>
        <w:t>.</w:t>
      </w:r>
    </w:p>
    <w:p w:rsidR="00764F74" w:rsidRPr="00764F74" w:rsidRDefault="00764F74" w:rsidP="00764F74">
      <w:pPr>
        <w:overflowPunct/>
        <w:textAlignment w:val="auto"/>
        <w:rPr>
          <w:rFonts w:asciiTheme="minorHAnsi" w:hAnsiTheme="minorHAnsi"/>
        </w:rPr>
      </w:pPr>
      <w:r w:rsidRPr="00764F74">
        <w:rPr>
          <w:rFonts w:asciiTheme="minorHAnsi" w:hAnsiTheme="minorHAnsi"/>
        </w:rPr>
        <w:t>Przed przyst</w:t>
      </w:r>
      <w:r w:rsidRPr="00764F74">
        <w:rPr>
          <w:rFonts w:asciiTheme="minorHAnsi" w:eastAsia="TimesNewRoman" w:hAnsiTheme="minorHAnsi" w:cs="TimesNewRoman"/>
        </w:rPr>
        <w:t>ą</w:t>
      </w:r>
      <w:r w:rsidRPr="00764F74">
        <w:rPr>
          <w:rFonts w:asciiTheme="minorHAnsi" w:hAnsiTheme="minorHAnsi"/>
        </w:rPr>
        <w:t>pieniem do robót w terenie Wykonawca jest zobowi</w:t>
      </w:r>
      <w:r w:rsidRPr="00764F74">
        <w:rPr>
          <w:rFonts w:asciiTheme="minorHAnsi" w:eastAsia="TimesNewRoman" w:hAnsiTheme="minorHAnsi" w:cs="TimesNewRoman"/>
        </w:rPr>
        <w:t>ą</w:t>
      </w:r>
      <w:r w:rsidRPr="00764F74">
        <w:rPr>
          <w:rFonts w:asciiTheme="minorHAnsi" w:hAnsiTheme="minorHAnsi"/>
        </w:rPr>
        <w:t>zany do oznakowania prowadzonych robót zgodnie z Projektem organizacji robót na czas budowy. Rozło</w:t>
      </w:r>
      <w:r w:rsidRPr="00764F74">
        <w:rPr>
          <w:rFonts w:asciiTheme="minorHAnsi" w:eastAsia="TimesNewRoman" w:hAnsiTheme="minorHAnsi" w:cs="TimesNewRoman"/>
        </w:rPr>
        <w:t>ż</w:t>
      </w:r>
      <w:r w:rsidRPr="00764F74">
        <w:rPr>
          <w:rFonts w:asciiTheme="minorHAnsi" w:hAnsiTheme="minorHAnsi"/>
        </w:rPr>
        <w:t>enie mieszanki odb</w:t>
      </w:r>
      <w:r w:rsidRPr="00764F74">
        <w:rPr>
          <w:rFonts w:asciiTheme="minorHAnsi" w:eastAsia="TimesNewRoman" w:hAnsiTheme="minorHAnsi" w:cs="TimesNewRoman"/>
        </w:rPr>
        <w:t>ę</w:t>
      </w:r>
      <w:r w:rsidRPr="00764F74">
        <w:rPr>
          <w:rFonts w:asciiTheme="minorHAnsi" w:hAnsiTheme="minorHAnsi"/>
        </w:rPr>
        <w:t>dzie si</w:t>
      </w:r>
      <w:r w:rsidRPr="00764F74">
        <w:rPr>
          <w:rFonts w:asciiTheme="minorHAnsi" w:eastAsia="TimesNewRoman" w:hAnsiTheme="minorHAnsi" w:cs="TimesNewRoman"/>
        </w:rPr>
        <w:t xml:space="preserve">ę </w:t>
      </w:r>
      <w:r w:rsidRPr="00764F74">
        <w:rPr>
          <w:rFonts w:asciiTheme="minorHAnsi" w:hAnsiTheme="minorHAnsi"/>
        </w:rPr>
        <w:t>na wcze</w:t>
      </w:r>
      <w:r w:rsidRPr="00764F74">
        <w:rPr>
          <w:rFonts w:asciiTheme="minorHAnsi" w:eastAsia="TimesNewRoman" w:hAnsiTheme="minorHAnsi" w:cs="TimesNewRoman"/>
        </w:rPr>
        <w:t>ś</w:t>
      </w:r>
      <w:r w:rsidRPr="00764F74">
        <w:rPr>
          <w:rFonts w:asciiTheme="minorHAnsi" w:hAnsiTheme="minorHAnsi"/>
        </w:rPr>
        <w:t>niej przygotowanym podło</w:t>
      </w:r>
      <w:r w:rsidRPr="00764F74">
        <w:rPr>
          <w:rFonts w:asciiTheme="minorHAnsi" w:eastAsia="TimesNewRoman" w:hAnsiTheme="minorHAnsi" w:cs="TimesNewRoman"/>
        </w:rPr>
        <w:t>ż</w:t>
      </w:r>
      <w:r w:rsidRPr="00764F74">
        <w:rPr>
          <w:rFonts w:asciiTheme="minorHAnsi" w:hAnsiTheme="minorHAnsi"/>
        </w:rPr>
        <w:t>u gruntowym lub warstwie podło</w:t>
      </w:r>
      <w:r w:rsidRPr="00764F74">
        <w:rPr>
          <w:rFonts w:asciiTheme="minorHAnsi" w:eastAsia="TimesNewRoman" w:hAnsiTheme="minorHAnsi" w:cs="TimesNewRoman"/>
        </w:rPr>
        <w:t>ż</w:t>
      </w:r>
      <w:r w:rsidRPr="00764F74">
        <w:rPr>
          <w:rFonts w:asciiTheme="minorHAnsi" w:hAnsiTheme="minorHAnsi"/>
        </w:rPr>
        <w:t>a przy pomocy równiarki lub układarki z zachowaniem parametrów (grubo</w:t>
      </w:r>
      <w:r w:rsidRPr="00764F74">
        <w:rPr>
          <w:rFonts w:asciiTheme="minorHAnsi" w:eastAsia="TimesNewRoman" w:hAnsiTheme="minorHAnsi" w:cs="TimesNewRoman"/>
        </w:rPr>
        <w:t>ś</w:t>
      </w:r>
      <w:r w:rsidRPr="00764F74">
        <w:rPr>
          <w:rFonts w:asciiTheme="minorHAnsi" w:hAnsiTheme="minorHAnsi"/>
        </w:rPr>
        <w:t>ci i szeroko</w:t>
      </w:r>
      <w:r w:rsidRPr="00764F74">
        <w:rPr>
          <w:rFonts w:asciiTheme="minorHAnsi" w:eastAsia="TimesNewRoman" w:hAnsiTheme="minorHAnsi" w:cs="TimesNewRoman"/>
        </w:rPr>
        <w:t>ś</w:t>
      </w:r>
      <w:r w:rsidRPr="00764F74">
        <w:rPr>
          <w:rFonts w:asciiTheme="minorHAnsi" w:hAnsiTheme="minorHAnsi"/>
        </w:rPr>
        <w:t>ci warstwy) zaprojektowanych w Dokumentacji Projektowej. Warstwa powinna by</w:t>
      </w:r>
      <w:r w:rsidRPr="00764F74">
        <w:rPr>
          <w:rFonts w:asciiTheme="minorHAnsi" w:eastAsia="TimesNewRoman" w:hAnsiTheme="minorHAnsi" w:cs="TimesNewRoman"/>
        </w:rPr>
        <w:t xml:space="preserve">ć </w:t>
      </w:r>
      <w:r w:rsidRPr="00764F74">
        <w:rPr>
          <w:rFonts w:asciiTheme="minorHAnsi" w:hAnsiTheme="minorHAnsi"/>
        </w:rPr>
        <w:t>rozło</w:t>
      </w:r>
      <w:r w:rsidRPr="00764F74">
        <w:rPr>
          <w:rFonts w:asciiTheme="minorHAnsi" w:eastAsia="TimesNewRoman" w:hAnsiTheme="minorHAnsi" w:cs="TimesNewRoman"/>
        </w:rPr>
        <w:t>ż</w:t>
      </w:r>
      <w:r w:rsidRPr="00764F74">
        <w:rPr>
          <w:rFonts w:asciiTheme="minorHAnsi" w:hAnsiTheme="minorHAnsi"/>
        </w:rPr>
        <w:t>ona w sposób zapewniaj</w:t>
      </w:r>
      <w:r w:rsidRPr="00764F74">
        <w:rPr>
          <w:rFonts w:asciiTheme="minorHAnsi" w:eastAsia="TimesNewRoman" w:hAnsiTheme="minorHAnsi" w:cs="TimesNewRoman"/>
        </w:rPr>
        <w:t>ą</w:t>
      </w:r>
      <w:r w:rsidRPr="00764F74">
        <w:rPr>
          <w:rFonts w:asciiTheme="minorHAnsi" w:hAnsiTheme="minorHAnsi"/>
        </w:rPr>
        <w:t>cy osi</w:t>
      </w:r>
      <w:r w:rsidRPr="00764F74">
        <w:rPr>
          <w:rFonts w:asciiTheme="minorHAnsi" w:eastAsia="TimesNewRoman" w:hAnsiTheme="minorHAnsi" w:cs="TimesNewRoman"/>
        </w:rPr>
        <w:t>ą</w:t>
      </w:r>
      <w:r w:rsidRPr="00764F74">
        <w:rPr>
          <w:rFonts w:asciiTheme="minorHAnsi" w:hAnsiTheme="minorHAnsi"/>
        </w:rPr>
        <w:t>gni</w:t>
      </w:r>
      <w:r w:rsidRPr="00764F74">
        <w:rPr>
          <w:rFonts w:asciiTheme="minorHAnsi" w:eastAsia="TimesNewRoman" w:hAnsiTheme="minorHAnsi" w:cs="TimesNewRoman"/>
        </w:rPr>
        <w:t>ę</w:t>
      </w:r>
      <w:r w:rsidRPr="00764F74">
        <w:rPr>
          <w:rFonts w:asciiTheme="minorHAnsi" w:hAnsiTheme="minorHAnsi"/>
        </w:rPr>
        <w:t>cie wymaganych pochyle</w:t>
      </w:r>
      <w:r w:rsidRPr="00764F74">
        <w:rPr>
          <w:rFonts w:asciiTheme="minorHAnsi" w:eastAsia="TimesNewRoman" w:hAnsiTheme="minorHAnsi" w:cs="TimesNewRoman"/>
        </w:rPr>
        <w:t xml:space="preserve">ń </w:t>
      </w:r>
      <w:r w:rsidRPr="00764F74">
        <w:rPr>
          <w:rFonts w:asciiTheme="minorHAnsi" w:hAnsiTheme="minorHAnsi"/>
        </w:rPr>
        <w:t>i rz</w:t>
      </w:r>
      <w:r w:rsidRPr="00764F74">
        <w:rPr>
          <w:rFonts w:asciiTheme="minorHAnsi" w:eastAsia="TimesNewRoman" w:hAnsiTheme="minorHAnsi" w:cs="TimesNewRoman"/>
        </w:rPr>
        <w:t>ę</w:t>
      </w:r>
      <w:r w:rsidRPr="00764F74">
        <w:rPr>
          <w:rFonts w:asciiTheme="minorHAnsi" w:hAnsiTheme="minorHAnsi"/>
        </w:rPr>
        <w:t>dnych wysoko</w:t>
      </w:r>
      <w:r w:rsidRPr="00764F74">
        <w:rPr>
          <w:rFonts w:asciiTheme="minorHAnsi" w:eastAsia="TimesNewRoman" w:hAnsiTheme="minorHAnsi" w:cs="TimesNewRoman"/>
        </w:rPr>
        <w:t>ś</w:t>
      </w:r>
      <w:r w:rsidRPr="00764F74">
        <w:rPr>
          <w:rFonts w:asciiTheme="minorHAnsi" w:hAnsiTheme="minorHAnsi"/>
        </w:rPr>
        <w:t>ciowych. Grubo</w:t>
      </w:r>
      <w:r w:rsidRPr="00764F74">
        <w:rPr>
          <w:rFonts w:asciiTheme="minorHAnsi" w:eastAsia="TimesNewRoman" w:hAnsiTheme="minorHAnsi" w:cs="TimesNewRoman"/>
        </w:rPr>
        <w:t xml:space="preserve">ść </w:t>
      </w:r>
      <w:r w:rsidRPr="00764F74">
        <w:rPr>
          <w:rFonts w:asciiTheme="minorHAnsi" w:hAnsiTheme="minorHAnsi"/>
        </w:rPr>
        <w:t>pojedynczo układanej warstwy nie mo</w:t>
      </w:r>
      <w:r w:rsidRPr="00764F74">
        <w:rPr>
          <w:rFonts w:asciiTheme="minorHAnsi" w:eastAsia="TimesNewRoman" w:hAnsiTheme="minorHAnsi" w:cs="TimesNewRoman"/>
        </w:rPr>
        <w:t>ż</w:t>
      </w:r>
      <w:r w:rsidRPr="00764F74">
        <w:rPr>
          <w:rFonts w:asciiTheme="minorHAnsi" w:hAnsiTheme="minorHAnsi"/>
        </w:rPr>
        <w:t>e przekracza</w:t>
      </w:r>
      <w:r w:rsidRPr="00764F74">
        <w:rPr>
          <w:rFonts w:asciiTheme="minorHAnsi" w:eastAsia="TimesNewRoman" w:hAnsiTheme="minorHAnsi" w:cs="TimesNewRoman"/>
        </w:rPr>
        <w:t xml:space="preserve">ć </w:t>
      </w:r>
      <w:r w:rsidRPr="00764F74">
        <w:rPr>
          <w:rFonts w:asciiTheme="minorHAnsi" w:hAnsiTheme="minorHAnsi"/>
        </w:rPr>
        <w:t>20 cm po zag</w:t>
      </w:r>
      <w:r w:rsidRPr="00764F74">
        <w:rPr>
          <w:rFonts w:asciiTheme="minorHAnsi" w:eastAsia="TimesNewRoman" w:hAnsiTheme="minorHAnsi" w:cs="TimesNewRoman"/>
        </w:rPr>
        <w:t>ę</w:t>
      </w:r>
      <w:r w:rsidRPr="00764F74">
        <w:rPr>
          <w:rFonts w:asciiTheme="minorHAnsi" w:hAnsiTheme="minorHAnsi"/>
        </w:rPr>
        <w:t>szczeniu. Ka</w:t>
      </w:r>
      <w:r w:rsidRPr="00764F74">
        <w:rPr>
          <w:rFonts w:asciiTheme="minorHAnsi" w:eastAsia="TimesNewRoman" w:hAnsiTheme="minorHAnsi" w:cs="TimesNewRoman"/>
        </w:rPr>
        <w:t>ż</w:t>
      </w:r>
      <w:r w:rsidRPr="00764F74">
        <w:rPr>
          <w:rFonts w:asciiTheme="minorHAnsi" w:hAnsiTheme="minorHAnsi"/>
        </w:rPr>
        <w:t>da warstwa powinna by</w:t>
      </w:r>
      <w:r w:rsidRPr="00764F74">
        <w:rPr>
          <w:rFonts w:asciiTheme="minorHAnsi" w:eastAsia="TimesNewRoman" w:hAnsiTheme="minorHAnsi" w:cs="TimesNewRoman"/>
        </w:rPr>
        <w:t xml:space="preserve">ć </w:t>
      </w:r>
      <w:r w:rsidRPr="00764F74">
        <w:rPr>
          <w:rFonts w:asciiTheme="minorHAnsi" w:hAnsiTheme="minorHAnsi"/>
        </w:rPr>
        <w:t>wyprofilowana i zag</w:t>
      </w:r>
      <w:r w:rsidRPr="00764F74">
        <w:rPr>
          <w:rFonts w:asciiTheme="minorHAnsi" w:eastAsia="TimesNewRoman" w:hAnsiTheme="minorHAnsi" w:cs="TimesNewRoman"/>
        </w:rPr>
        <w:t>ę</w:t>
      </w:r>
      <w:r w:rsidRPr="00764F74">
        <w:rPr>
          <w:rFonts w:asciiTheme="minorHAnsi" w:hAnsiTheme="minorHAnsi"/>
        </w:rPr>
        <w:t>szczona z zachowaniem wymaganych spadków i rz</w:t>
      </w:r>
      <w:r w:rsidRPr="00764F74">
        <w:rPr>
          <w:rFonts w:asciiTheme="minorHAnsi" w:eastAsia="TimesNewRoman" w:hAnsiTheme="minorHAnsi" w:cs="TimesNewRoman"/>
        </w:rPr>
        <w:t>ę</w:t>
      </w:r>
      <w:r w:rsidRPr="00764F74">
        <w:rPr>
          <w:rFonts w:asciiTheme="minorHAnsi" w:hAnsiTheme="minorHAnsi"/>
        </w:rPr>
        <w:t>dnych wysoko</w:t>
      </w:r>
      <w:r w:rsidRPr="00764F74">
        <w:rPr>
          <w:rFonts w:asciiTheme="minorHAnsi" w:eastAsia="TimesNewRoman" w:hAnsiTheme="minorHAnsi" w:cs="TimesNewRoman"/>
        </w:rPr>
        <w:t>ś</w:t>
      </w:r>
      <w:r w:rsidRPr="00764F74">
        <w:rPr>
          <w:rFonts w:asciiTheme="minorHAnsi" w:hAnsiTheme="minorHAnsi"/>
        </w:rPr>
        <w:t>ciowych. Rozpocz</w:t>
      </w:r>
      <w:r w:rsidRPr="00764F74">
        <w:rPr>
          <w:rFonts w:asciiTheme="minorHAnsi" w:eastAsia="TimesNewRoman" w:hAnsiTheme="minorHAnsi" w:cs="TimesNewRoman"/>
        </w:rPr>
        <w:t>ę</w:t>
      </w:r>
      <w:r w:rsidRPr="00764F74">
        <w:rPr>
          <w:rFonts w:asciiTheme="minorHAnsi" w:hAnsiTheme="minorHAnsi"/>
        </w:rPr>
        <w:t>cie budowy ka</w:t>
      </w:r>
      <w:r w:rsidRPr="00764F74">
        <w:rPr>
          <w:rFonts w:asciiTheme="minorHAnsi" w:eastAsia="TimesNewRoman" w:hAnsiTheme="minorHAnsi" w:cs="TimesNewRoman"/>
        </w:rPr>
        <w:t>ż</w:t>
      </w:r>
      <w:r w:rsidRPr="00764F74">
        <w:rPr>
          <w:rFonts w:asciiTheme="minorHAnsi" w:hAnsiTheme="minorHAnsi"/>
        </w:rPr>
        <w:t>dej nast</w:t>
      </w:r>
      <w:r w:rsidRPr="00764F74">
        <w:rPr>
          <w:rFonts w:asciiTheme="minorHAnsi" w:eastAsia="TimesNewRoman" w:hAnsiTheme="minorHAnsi" w:cs="TimesNewRoman"/>
        </w:rPr>
        <w:t>ę</w:t>
      </w:r>
      <w:r w:rsidRPr="00764F74">
        <w:rPr>
          <w:rFonts w:asciiTheme="minorHAnsi" w:hAnsiTheme="minorHAnsi"/>
        </w:rPr>
        <w:t>pnej</w:t>
      </w:r>
    </w:p>
    <w:p w:rsidR="00764F74" w:rsidRPr="00764F74" w:rsidRDefault="00764F74" w:rsidP="00764F74">
      <w:pPr>
        <w:overflowPunct/>
        <w:textAlignment w:val="auto"/>
        <w:rPr>
          <w:rFonts w:asciiTheme="minorHAnsi" w:hAnsiTheme="minorHAnsi"/>
        </w:rPr>
      </w:pPr>
      <w:r w:rsidRPr="00764F74">
        <w:rPr>
          <w:rFonts w:asciiTheme="minorHAnsi" w:hAnsiTheme="minorHAnsi"/>
        </w:rPr>
        <w:t>warstwy mo</w:t>
      </w:r>
      <w:r w:rsidRPr="00764F74">
        <w:rPr>
          <w:rFonts w:asciiTheme="minorHAnsi" w:eastAsia="TimesNewRoman" w:hAnsiTheme="minorHAnsi" w:cs="TimesNewRoman"/>
        </w:rPr>
        <w:t>ż</w:t>
      </w:r>
      <w:r w:rsidRPr="00764F74">
        <w:rPr>
          <w:rFonts w:asciiTheme="minorHAnsi" w:hAnsiTheme="minorHAnsi"/>
        </w:rPr>
        <w:t>e nast</w:t>
      </w:r>
      <w:r w:rsidRPr="00764F74">
        <w:rPr>
          <w:rFonts w:asciiTheme="minorHAnsi" w:eastAsia="TimesNewRoman" w:hAnsiTheme="minorHAnsi" w:cs="TimesNewRoman"/>
        </w:rPr>
        <w:t>ą</w:t>
      </w:r>
      <w:r w:rsidRPr="00764F74">
        <w:rPr>
          <w:rFonts w:asciiTheme="minorHAnsi" w:hAnsiTheme="minorHAnsi"/>
        </w:rPr>
        <w:t>pi</w:t>
      </w:r>
      <w:r w:rsidRPr="00764F74">
        <w:rPr>
          <w:rFonts w:asciiTheme="minorHAnsi" w:eastAsia="TimesNewRoman" w:hAnsiTheme="minorHAnsi" w:cs="TimesNewRoman"/>
        </w:rPr>
        <w:t xml:space="preserve">ć </w:t>
      </w:r>
      <w:r w:rsidRPr="00764F74">
        <w:rPr>
          <w:rFonts w:asciiTheme="minorHAnsi" w:hAnsiTheme="minorHAnsi"/>
        </w:rPr>
        <w:t>po odbiorze poprzedniej warstwy przez Inspektora Nadzoru. W czasie układania mieszanki nale</w:t>
      </w:r>
      <w:r w:rsidRPr="00764F74">
        <w:rPr>
          <w:rFonts w:asciiTheme="minorHAnsi" w:eastAsia="TimesNewRoman" w:hAnsiTheme="minorHAnsi" w:cs="TimesNewRoman"/>
        </w:rPr>
        <w:t>ż</w:t>
      </w:r>
      <w:r w:rsidRPr="00764F74">
        <w:rPr>
          <w:rFonts w:asciiTheme="minorHAnsi" w:hAnsiTheme="minorHAnsi"/>
        </w:rPr>
        <w:t>y odrzuca</w:t>
      </w:r>
      <w:r w:rsidRPr="00764F74">
        <w:rPr>
          <w:rFonts w:asciiTheme="minorHAnsi" w:eastAsia="TimesNewRoman" w:hAnsiTheme="minorHAnsi" w:cs="TimesNewRoman"/>
        </w:rPr>
        <w:t xml:space="preserve">ć </w:t>
      </w:r>
      <w:r w:rsidRPr="00764F74">
        <w:rPr>
          <w:rFonts w:asciiTheme="minorHAnsi" w:hAnsiTheme="minorHAnsi"/>
        </w:rPr>
        <w:t xml:space="preserve">ziarna o </w:t>
      </w:r>
      <w:r w:rsidRPr="00764F74">
        <w:rPr>
          <w:rFonts w:asciiTheme="minorHAnsi" w:eastAsia="TimesNewRoman" w:hAnsiTheme="minorHAnsi" w:cs="TimesNewRoman"/>
        </w:rPr>
        <w:t>ś</w:t>
      </w:r>
      <w:r w:rsidRPr="00764F74">
        <w:rPr>
          <w:rFonts w:asciiTheme="minorHAnsi" w:hAnsiTheme="minorHAnsi"/>
        </w:rPr>
        <w:t>rednicy wi</w:t>
      </w:r>
      <w:r w:rsidRPr="00764F74">
        <w:rPr>
          <w:rFonts w:asciiTheme="minorHAnsi" w:eastAsia="TimesNewRoman" w:hAnsiTheme="minorHAnsi" w:cs="TimesNewRoman"/>
        </w:rPr>
        <w:t>ę</w:t>
      </w:r>
      <w:r w:rsidRPr="00764F74">
        <w:rPr>
          <w:rFonts w:asciiTheme="minorHAnsi" w:hAnsiTheme="minorHAnsi"/>
        </w:rPr>
        <w:t>kszej ni</w:t>
      </w:r>
      <w:r w:rsidRPr="00764F74">
        <w:rPr>
          <w:rFonts w:asciiTheme="minorHAnsi" w:eastAsia="TimesNewRoman" w:hAnsiTheme="minorHAnsi" w:cs="TimesNewRoman"/>
        </w:rPr>
        <w:t xml:space="preserve">ż </w:t>
      </w:r>
      <w:r w:rsidRPr="00764F74">
        <w:rPr>
          <w:rFonts w:asciiTheme="minorHAnsi" w:hAnsiTheme="minorHAnsi"/>
        </w:rPr>
        <w:t>2/3 grubo</w:t>
      </w:r>
      <w:r w:rsidRPr="00764F74">
        <w:rPr>
          <w:rFonts w:asciiTheme="minorHAnsi" w:eastAsia="TimesNewRoman" w:hAnsiTheme="minorHAnsi" w:cs="TimesNewRoman"/>
        </w:rPr>
        <w:t>ś</w:t>
      </w:r>
      <w:r w:rsidRPr="00764F74">
        <w:rPr>
          <w:rFonts w:asciiTheme="minorHAnsi" w:hAnsiTheme="minorHAnsi"/>
        </w:rPr>
        <w:t>ci rozkładanej warstwy oraz wszystkie przypadkowe zanieczyszczenia.</w:t>
      </w:r>
    </w:p>
    <w:p w:rsidR="00764F74" w:rsidRPr="00764F74" w:rsidRDefault="00764F74" w:rsidP="00764F74">
      <w:pPr>
        <w:overflowPunct/>
        <w:textAlignment w:val="auto"/>
        <w:rPr>
          <w:rFonts w:asciiTheme="minorHAnsi" w:hAnsiTheme="minorHAnsi"/>
        </w:rPr>
      </w:pPr>
      <w:r w:rsidRPr="00764F74">
        <w:rPr>
          <w:rFonts w:asciiTheme="minorHAnsi" w:hAnsiTheme="minorHAnsi"/>
        </w:rPr>
        <w:t>Przed zag</w:t>
      </w:r>
      <w:r w:rsidRPr="00764F74">
        <w:rPr>
          <w:rFonts w:asciiTheme="minorHAnsi" w:eastAsia="TimesNewRoman" w:hAnsiTheme="minorHAnsi" w:cs="TimesNewRoman"/>
        </w:rPr>
        <w:t>ę</w:t>
      </w:r>
      <w:r w:rsidRPr="00764F74">
        <w:rPr>
          <w:rFonts w:asciiTheme="minorHAnsi" w:hAnsiTheme="minorHAnsi"/>
        </w:rPr>
        <w:t>szczeniem rozło</w:t>
      </w:r>
      <w:r w:rsidRPr="00764F74">
        <w:rPr>
          <w:rFonts w:asciiTheme="minorHAnsi" w:eastAsia="TimesNewRoman" w:hAnsiTheme="minorHAnsi" w:cs="TimesNewRoman"/>
        </w:rPr>
        <w:t>ż</w:t>
      </w:r>
      <w:r w:rsidRPr="00764F74">
        <w:rPr>
          <w:rFonts w:asciiTheme="minorHAnsi" w:hAnsiTheme="minorHAnsi"/>
        </w:rPr>
        <w:t>on</w:t>
      </w:r>
      <w:r w:rsidRPr="00764F74">
        <w:rPr>
          <w:rFonts w:asciiTheme="minorHAnsi" w:eastAsia="TimesNewRoman" w:hAnsiTheme="minorHAnsi" w:cs="TimesNewRoman"/>
        </w:rPr>
        <w:t xml:space="preserve">ą </w:t>
      </w:r>
      <w:r w:rsidRPr="00764F74">
        <w:rPr>
          <w:rFonts w:asciiTheme="minorHAnsi" w:hAnsiTheme="minorHAnsi"/>
        </w:rPr>
        <w:t>warstw</w:t>
      </w:r>
      <w:r w:rsidRPr="00764F74">
        <w:rPr>
          <w:rFonts w:asciiTheme="minorHAnsi" w:eastAsia="TimesNewRoman" w:hAnsiTheme="minorHAnsi" w:cs="TimesNewRoman"/>
        </w:rPr>
        <w:t xml:space="preserve">ę </w:t>
      </w:r>
      <w:r w:rsidRPr="00764F74">
        <w:rPr>
          <w:rFonts w:asciiTheme="minorHAnsi" w:hAnsiTheme="minorHAnsi"/>
        </w:rPr>
        <w:t>nale</w:t>
      </w:r>
      <w:r w:rsidRPr="00764F74">
        <w:rPr>
          <w:rFonts w:asciiTheme="minorHAnsi" w:eastAsia="TimesNewRoman" w:hAnsiTheme="minorHAnsi" w:cs="TimesNewRoman"/>
        </w:rPr>
        <w:t>ż</w:t>
      </w:r>
      <w:r w:rsidRPr="00764F74">
        <w:rPr>
          <w:rFonts w:asciiTheme="minorHAnsi" w:hAnsiTheme="minorHAnsi"/>
        </w:rPr>
        <w:t>y sprofilowa</w:t>
      </w:r>
      <w:r w:rsidRPr="00764F74">
        <w:rPr>
          <w:rFonts w:asciiTheme="minorHAnsi" w:eastAsia="TimesNewRoman" w:hAnsiTheme="minorHAnsi" w:cs="TimesNewRoman"/>
        </w:rPr>
        <w:t xml:space="preserve">ć </w:t>
      </w:r>
      <w:r w:rsidRPr="00764F74">
        <w:rPr>
          <w:rFonts w:asciiTheme="minorHAnsi" w:hAnsiTheme="minorHAnsi"/>
        </w:rPr>
        <w:t>do spadków poprzecznych i pochyle</w:t>
      </w:r>
      <w:r w:rsidRPr="00764F74">
        <w:rPr>
          <w:rFonts w:asciiTheme="minorHAnsi" w:eastAsia="TimesNewRoman" w:hAnsiTheme="minorHAnsi" w:cs="TimesNewRoman"/>
        </w:rPr>
        <w:t xml:space="preserve">ń </w:t>
      </w:r>
      <w:r w:rsidRPr="00764F74">
        <w:rPr>
          <w:rFonts w:asciiTheme="minorHAnsi" w:hAnsiTheme="minorHAnsi"/>
        </w:rPr>
        <w:t>podłu</w:t>
      </w:r>
      <w:r w:rsidRPr="00764F74">
        <w:rPr>
          <w:rFonts w:asciiTheme="minorHAnsi" w:eastAsia="TimesNewRoman" w:hAnsiTheme="minorHAnsi" w:cs="TimesNewRoman"/>
        </w:rPr>
        <w:t>ż</w:t>
      </w:r>
      <w:r w:rsidRPr="00764F74">
        <w:rPr>
          <w:rFonts w:asciiTheme="minorHAnsi" w:hAnsiTheme="minorHAnsi"/>
        </w:rPr>
        <w:t>nych wymaganych w projekcie technicznym. Profilowanie nale</w:t>
      </w:r>
      <w:r w:rsidRPr="00764F74">
        <w:rPr>
          <w:rFonts w:asciiTheme="minorHAnsi" w:eastAsia="TimesNewRoman" w:hAnsiTheme="minorHAnsi" w:cs="TimesNewRoman"/>
        </w:rPr>
        <w:t>ż</w:t>
      </w:r>
      <w:r w:rsidRPr="00764F74">
        <w:rPr>
          <w:rFonts w:asciiTheme="minorHAnsi" w:hAnsiTheme="minorHAnsi"/>
        </w:rPr>
        <w:t>y wykona</w:t>
      </w:r>
      <w:r w:rsidRPr="00764F74">
        <w:rPr>
          <w:rFonts w:asciiTheme="minorHAnsi" w:eastAsia="TimesNewRoman" w:hAnsiTheme="minorHAnsi" w:cs="TimesNewRoman"/>
        </w:rPr>
        <w:t xml:space="preserve">ć </w:t>
      </w:r>
      <w:r w:rsidRPr="00764F74">
        <w:rPr>
          <w:rFonts w:asciiTheme="minorHAnsi" w:hAnsiTheme="minorHAnsi"/>
        </w:rPr>
        <w:t>ci</w:t>
      </w:r>
      <w:r w:rsidRPr="00764F74">
        <w:rPr>
          <w:rFonts w:asciiTheme="minorHAnsi" w:eastAsia="TimesNewRoman" w:hAnsiTheme="minorHAnsi" w:cs="TimesNewRoman"/>
        </w:rPr>
        <w:t>ęż</w:t>
      </w:r>
      <w:r w:rsidRPr="00764F74">
        <w:rPr>
          <w:rFonts w:asciiTheme="minorHAnsi" w:hAnsiTheme="minorHAnsi"/>
        </w:rPr>
        <w:t>kim szablonem lub równiark</w:t>
      </w:r>
      <w:r w:rsidRPr="00764F74">
        <w:rPr>
          <w:rFonts w:asciiTheme="minorHAnsi" w:eastAsia="TimesNewRoman" w:hAnsiTheme="minorHAnsi" w:cs="TimesNewRoman"/>
        </w:rPr>
        <w:t>ą</w:t>
      </w:r>
      <w:r w:rsidRPr="00764F74">
        <w:rPr>
          <w:rFonts w:asciiTheme="minorHAnsi" w:hAnsiTheme="minorHAnsi"/>
        </w:rPr>
        <w:t>. W czasie profilowania nale</w:t>
      </w:r>
      <w:r w:rsidRPr="00764F74">
        <w:rPr>
          <w:rFonts w:asciiTheme="minorHAnsi" w:eastAsia="TimesNewRoman" w:hAnsiTheme="minorHAnsi" w:cs="TimesNewRoman"/>
        </w:rPr>
        <w:t>ż</w:t>
      </w:r>
      <w:r w:rsidRPr="00764F74">
        <w:rPr>
          <w:rFonts w:asciiTheme="minorHAnsi" w:hAnsiTheme="minorHAnsi"/>
        </w:rPr>
        <w:t>y wyrówna</w:t>
      </w:r>
      <w:r w:rsidRPr="00764F74">
        <w:rPr>
          <w:rFonts w:asciiTheme="minorHAnsi" w:eastAsia="TimesNewRoman" w:hAnsiTheme="minorHAnsi" w:cs="TimesNewRoman"/>
        </w:rPr>
        <w:t xml:space="preserve">ć </w:t>
      </w:r>
      <w:r w:rsidRPr="00764F74">
        <w:rPr>
          <w:rFonts w:asciiTheme="minorHAnsi" w:hAnsiTheme="minorHAnsi"/>
        </w:rPr>
        <w:t>lokalne wgł</w:t>
      </w:r>
      <w:r w:rsidRPr="00764F74">
        <w:rPr>
          <w:rFonts w:asciiTheme="minorHAnsi" w:eastAsia="TimesNewRoman" w:hAnsiTheme="minorHAnsi" w:cs="TimesNewRoman"/>
        </w:rPr>
        <w:t>ę</w:t>
      </w:r>
      <w:r w:rsidRPr="00764F74">
        <w:rPr>
          <w:rFonts w:asciiTheme="minorHAnsi" w:hAnsiTheme="minorHAnsi"/>
        </w:rPr>
        <w:t>bienia.</w:t>
      </w:r>
    </w:p>
    <w:p w:rsidR="00764F74" w:rsidRPr="00764F74" w:rsidRDefault="00764F74" w:rsidP="00764F74">
      <w:pPr>
        <w:overflowPunct/>
        <w:textAlignment w:val="auto"/>
        <w:rPr>
          <w:rFonts w:asciiTheme="minorHAnsi" w:hAnsiTheme="minorHAnsi"/>
        </w:rPr>
      </w:pPr>
      <w:r w:rsidRPr="00764F74">
        <w:rPr>
          <w:rFonts w:asciiTheme="minorHAnsi" w:hAnsiTheme="minorHAnsi"/>
        </w:rPr>
        <w:t>Mieszanka w miejscach, w których widoczna jest jej segregacja powinna by</w:t>
      </w:r>
      <w:r w:rsidRPr="00764F74">
        <w:rPr>
          <w:rFonts w:asciiTheme="minorHAnsi" w:eastAsia="TimesNewRoman" w:hAnsiTheme="minorHAnsi" w:cs="TimesNewRoman"/>
        </w:rPr>
        <w:t xml:space="preserve">ć </w:t>
      </w:r>
      <w:r w:rsidRPr="00764F74">
        <w:rPr>
          <w:rFonts w:asciiTheme="minorHAnsi" w:hAnsiTheme="minorHAnsi"/>
        </w:rPr>
        <w:t>przez zag</w:t>
      </w:r>
      <w:r w:rsidRPr="00764F74">
        <w:rPr>
          <w:rFonts w:asciiTheme="minorHAnsi" w:eastAsia="TimesNewRoman" w:hAnsiTheme="minorHAnsi" w:cs="TimesNewRoman"/>
        </w:rPr>
        <w:t>ę</w:t>
      </w:r>
      <w:r w:rsidRPr="00764F74">
        <w:rPr>
          <w:rFonts w:asciiTheme="minorHAnsi" w:hAnsiTheme="minorHAnsi"/>
        </w:rPr>
        <w:t>szczeniem zast</w:t>
      </w:r>
      <w:r w:rsidRPr="00764F74">
        <w:rPr>
          <w:rFonts w:asciiTheme="minorHAnsi" w:eastAsia="TimesNewRoman" w:hAnsiTheme="minorHAnsi" w:cs="TimesNewRoman"/>
        </w:rPr>
        <w:t>ą</w:t>
      </w:r>
      <w:r w:rsidRPr="00764F74">
        <w:rPr>
          <w:rFonts w:asciiTheme="minorHAnsi" w:hAnsiTheme="minorHAnsi"/>
        </w:rPr>
        <w:t>piona kruszywem o odpowiednich wła</w:t>
      </w:r>
      <w:r w:rsidRPr="00764F74">
        <w:rPr>
          <w:rFonts w:asciiTheme="minorHAnsi" w:eastAsia="TimesNewRoman" w:hAnsiTheme="minorHAnsi" w:cs="TimesNewRoman"/>
        </w:rPr>
        <w:t>ś</w:t>
      </w:r>
      <w:r w:rsidRPr="00764F74">
        <w:rPr>
          <w:rFonts w:asciiTheme="minorHAnsi" w:hAnsiTheme="minorHAnsi"/>
        </w:rPr>
        <w:t>ciwo</w:t>
      </w:r>
      <w:r w:rsidRPr="00764F74">
        <w:rPr>
          <w:rFonts w:asciiTheme="minorHAnsi" w:eastAsia="TimesNewRoman" w:hAnsiTheme="minorHAnsi" w:cs="TimesNewRoman"/>
        </w:rPr>
        <w:t>ś</w:t>
      </w:r>
      <w:r w:rsidRPr="00764F74">
        <w:rPr>
          <w:rFonts w:asciiTheme="minorHAnsi" w:hAnsiTheme="minorHAnsi"/>
        </w:rPr>
        <w:t>ciach.</w:t>
      </w:r>
    </w:p>
    <w:p w:rsidR="00764F74" w:rsidRPr="00764F74" w:rsidRDefault="00764F74" w:rsidP="00764F74">
      <w:pPr>
        <w:overflowPunct/>
        <w:textAlignment w:val="auto"/>
        <w:rPr>
          <w:rFonts w:asciiTheme="minorHAnsi" w:hAnsiTheme="minorHAnsi"/>
        </w:rPr>
      </w:pPr>
      <w:r w:rsidRPr="00764F74">
        <w:rPr>
          <w:rFonts w:asciiTheme="minorHAnsi" w:hAnsiTheme="minorHAnsi"/>
        </w:rPr>
        <w:t>Natychmiast po ko</w:t>
      </w:r>
      <w:r w:rsidRPr="00764F74">
        <w:rPr>
          <w:rFonts w:asciiTheme="minorHAnsi" w:eastAsia="TimesNewRoman" w:hAnsiTheme="minorHAnsi" w:cs="TimesNewRoman"/>
        </w:rPr>
        <w:t>ń</w:t>
      </w:r>
      <w:r w:rsidRPr="00764F74">
        <w:rPr>
          <w:rFonts w:asciiTheme="minorHAnsi" w:hAnsiTheme="minorHAnsi"/>
        </w:rPr>
        <w:t>cowym wyprofilowaniu warstwy kruszywa nale</w:t>
      </w:r>
      <w:r w:rsidRPr="00764F74">
        <w:rPr>
          <w:rFonts w:asciiTheme="minorHAnsi" w:eastAsia="TimesNewRoman" w:hAnsiTheme="minorHAnsi" w:cs="TimesNewRoman"/>
        </w:rPr>
        <w:t>ż</w:t>
      </w:r>
      <w:r w:rsidRPr="00764F74">
        <w:rPr>
          <w:rFonts w:asciiTheme="minorHAnsi" w:hAnsiTheme="minorHAnsi"/>
        </w:rPr>
        <w:t>y przyst</w:t>
      </w:r>
      <w:r w:rsidRPr="00764F74">
        <w:rPr>
          <w:rFonts w:asciiTheme="minorHAnsi" w:eastAsia="TimesNewRoman" w:hAnsiTheme="minorHAnsi" w:cs="TimesNewRoman"/>
        </w:rPr>
        <w:t>ą</w:t>
      </w:r>
      <w:r w:rsidRPr="00764F74">
        <w:rPr>
          <w:rFonts w:asciiTheme="minorHAnsi" w:hAnsiTheme="minorHAnsi"/>
        </w:rPr>
        <w:t>pi</w:t>
      </w:r>
      <w:r w:rsidRPr="00764F74">
        <w:rPr>
          <w:rFonts w:asciiTheme="minorHAnsi" w:eastAsia="TimesNewRoman" w:hAnsiTheme="minorHAnsi" w:cs="TimesNewRoman"/>
        </w:rPr>
        <w:t xml:space="preserve">ć </w:t>
      </w:r>
      <w:r w:rsidRPr="00764F74">
        <w:rPr>
          <w:rFonts w:asciiTheme="minorHAnsi" w:hAnsiTheme="minorHAnsi"/>
        </w:rPr>
        <w:t>do jej zag</w:t>
      </w:r>
      <w:r w:rsidRPr="00764F74">
        <w:rPr>
          <w:rFonts w:asciiTheme="minorHAnsi" w:eastAsia="TimesNewRoman" w:hAnsiTheme="minorHAnsi" w:cs="TimesNewRoman"/>
        </w:rPr>
        <w:t>ę</w:t>
      </w:r>
      <w:r w:rsidRPr="00764F74">
        <w:rPr>
          <w:rFonts w:asciiTheme="minorHAnsi" w:hAnsiTheme="minorHAnsi"/>
        </w:rPr>
        <w:t>szczenia przez wałowanie. Warstw</w:t>
      </w:r>
      <w:r w:rsidRPr="00764F74">
        <w:rPr>
          <w:rFonts w:asciiTheme="minorHAnsi" w:eastAsia="TimesNewRoman" w:hAnsiTheme="minorHAnsi" w:cs="TimesNewRoman"/>
        </w:rPr>
        <w:t xml:space="preserve">ę </w:t>
      </w:r>
      <w:r w:rsidRPr="00764F74">
        <w:rPr>
          <w:rFonts w:asciiTheme="minorHAnsi" w:hAnsiTheme="minorHAnsi"/>
        </w:rPr>
        <w:t>nale</w:t>
      </w:r>
      <w:r w:rsidRPr="00764F74">
        <w:rPr>
          <w:rFonts w:asciiTheme="minorHAnsi" w:eastAsia="TimesNewRoman" w:hAnsiTheme="minorHAnsi" w:cs="TimesNewRoman"/>
        </w:rPr>
        <w:t>ż</w:t>
      </w:r>
      <w:r w:rsidRPr="00764F74">
        <w:rPr>
          <w:rFonts w:asciiTheme="minorHAnsi" w:hAnsiTheme="minorHAnsi"/>
        </w:rPr>
        <w:t>y zag</w:t>
      </w:r>
      <w:r w:rsidRPr="00764F74">
        <w:rPr>
          <w:rFonts w:asciiTheme="minorHAnsi" w:eastAsia="TimesNewRoman" w:hAnsiTheme="minorHAnsi" w:cs="TimesNewRoman"/>
        </w:rPr>
        <w:t>ę</w:t>
      </w:r>
      <w:r w:rsidRPr="00764F74">
        <w:rPr>
          <w:rFonts w:asciiTheme="minorHAnsi" w:hAnsiTheme="minorHAnsi"/>
        </w:rPr>
        <w:t>szcza</w:t>
      </w:r>
      <w:r w:rsidRPr="00764F74">
        <w:rPr>
          <w:rFonts w:asciiTheme="minorHAnsi" w:eastAsia="TimesNewRoman" w:hAnsiTheme="minorHAnsi" w:cs="TimesNewRoman"/>
        </w:rPr>
        <w:t xml:space="preserve">ć </w:t>
      </w:r>
      <w:r w:rsidRPr="00764F74">
        <w:rPr>
          <w:rFonts w:asciiTheme="minorHAnsi" w:hAnsiTheme="minorHAnsi"/>
        </w:rPr>
        <w:t>walcami ogumionymi, walcami wibracyjnymi i gładkimi. Wałowanie powinno post</w:t>
      </w:r>
      <w:r w:rsidRPr="00764F74">
        <w:rPr>
          <w:rFonts w:asciiTheme="minorHAnsi" w:eastAsia="TimesNewRoman" w:hAnsiTheme="minorHAnsi" w:cs="TimesNewRoman"/>
        </w:rPr>
        <w:t>ę</w:t>
      </w:r>
      <w:r w:rsidRPr="00764F74">
        <w:rPr>
          <w:rFonts w:asciiTheme="minorHAnsi" w:hAnsiTheme="minorHAnsi"/>
        </w:rPr>
        <w:t>powa</w:t>
      </w:r>
      <w:r w:rsidRPr="00764F74">
        <w:rPr>
          <w:rFonts w:asciiTheme="minorHAnsi" w:eastAsia="TimesNewRoman" w:hAnsiTheme="minorHAnsi" w:cs="TimesNewRoman"/>
        </w:rPr>
        <w:t xml:space="preserve">ć </w:t>
      </w:r>
      <w:r w:rsidRPr="00764F74">
        <w:rPr>
          <w:rFonts w:asciiTheme="minorHAnsi" w:hAnsiTheme="minorHAnsi"/>
        </w:rPr>
        <w:t>stopniowo od kraw</w:t>
      </w:r>
      <w:r w:rsidRPr="00764F74">
        <w:rPr>
          <w:rFonts w:asciiTheme="minorHAnsi" w:eastAsia="TimesNewRoman" w:hAnsiTheme="minorHAnsi" w:cs="TimesNewRoman"/>
        </w:rPr>
        <w:t>ę</w:t>
      </w:r>
      <w:r w:rsidRPr="00764F74">
        <w:rPr>
          <w:rFonts w:asciiTheme="minorHAnsi" w:hAnsiTheme="minorHAnsi"/>
        </w:rPr>
        <w:t xml:space="preserve">dzi do </w:t>
      </w:r>
      <w:r w:rsidRPr="00764F74">
        <w:rPr>
          <w:rFonts w:asciiTheme="minorHAnsi" w:eastAsia="TimesNewRoman" w:hAnsiTheme="minorHAnsi" w:cs="TimesNewRoman"/>
        </w:rPr>
        <w:t>ś</w:t>
      </w:r>
      <w:r w:rsidRPr="00764F74">
        <w:rPr>
          <w:rFonts w:asciiTheme="minorHAnsi" w:hAnsiTheme="minorHAnsi"/>
        </w:rPr>
        <w:t>rodka jezdni przy przekroju daszkowym albo od dolnej do górnej kraw</w:t>
      </w:r>
      <w:r w:rsidRPr="00764F74">
        <w:rPr>
          <w:rFonts w:asciiTheme="minorHAnsi" w:eastAsia="TimesNewRoman" w:hAnsiTheme="minorHAnsi" w:cs="TimesNewRoman"/>
        </w:rPr>
        <w:t>ę</w:t>
      </w:r>
      <w:r w:rsidRPr="00764F74">
        <w:rPr>
          <w:rFonts w:asciiTheme="minorHAnsi" w:hAnsiTheme="minorHAnsi"/>
        </w:rPr>
        <w:t>dzi przy przekroju o spadku jednostronnym. Jakiekolwiek nierówno</w:t>
      </w:r>
      <w:r w:rsidRPr="00764F74">
        <w:rPr>
          <w:rFonts w:asciiTheme="minorHAnsi" w:eastAsia="TimesNewRoman" w:hAnsiTheme="minorHAnsi" w:cs="TimesNewRoman"/>
        </w:rPr>
        <w:t>ś</w:t>
      </w:r>
      <w:r w:rsidRPr="00764F74">
        <w:rPr>
          <w:rFonts w:asciiTheme="minorHAnsi" w:hAnsiTheme="minorHAnsi"/>
        </w:rPr>
        <w:t>ci lub zagł</w:t>
      </w:r>
      <w:r w:rsidRPr="00764F74">
        <w:rPr>
          <w:rFonts w:asciiTheme="minorHAnsi" w:eastAsia="TimesNewRoman" w:hAnsiTheme="minorHAnsi" w:cs="TimesNewRoman"/>
        </w:rPr>
        <w:t>ę</w:t>
      </w:r>
      <w:r w:rsidRPr="00764F74">
        <w:rPr>
          <w:rFonts w:asciiTheme="minorHAnsi" w:hAnsiTheme="minorHAnsi"/>
        </w:rPr>
        <w:t>bienia powstałe w czasie zag</w:t>
      </w:r>
      <w:r w:rsidRPr="00764F74">
        <w:rPr>
          <w:rFonts w:asciiTheme="minorHAnsi" w:eastAsia="TimesNewRoman" w:hAnsiTheme="minorHAnsi" w:cs="TimesNewRoman"/>
        </w:rPr>
        <w:t>ę</w:t>
      </w:r>
      <w:r w:rsidRPr="00764F74">
        <w:rPr>
          <w:rFonts w:asciiTheme="minorHAnsi" w:hAnsiTheme="minorHAnsi"/>
        </w:rPr>
        <w:t>szczenia</w:t>
      </w:r>
    </w:p>
    <w:p w:rsidR="00764F74" w:rsidRPr="00764F74" w:rsidRDefault="00764F74" w:rsidP="00764F74">
      <w:pPr>
        <w:overflowPunct/>
        <w:textAlignment w:val="auto"/>
        <w:rPr>
          <w:rFonts w:asciiTheme="minorHAnsi" w:hAnsiTheme="minorHAnsi"/>
        </w:rPr>
      </w:pPr>
      <w:r w:rsidRPr="00764F74">
        <w:rPr>
          <w:rFonts w:asciiTheme="minorHAnsi" w:hAnsiTheme="minorHAnsi"/>
        </w:rPr>
        <w:t>powinno by</w:t>
      </w:r>
      <w:r w:rsidRPr="00764F74">
        <w:rPr>
          <w:rFonts w:asciiTheme="minorHAnsi" w:eastAsia="TimesNewRoman" w:hAnsiTheme="minorHAnsi" w:cs="TimesNewRoman"/>
        </w:rPr>
        <w:t xml:space="preserve">ć </w:t>
      </w:r>
      <w:r w:rsidRPr="00764F74">
        <w:rPr>
          <w:rFonts w:asciiTheme="minorHAnsi" w:hAnsiTheme="minorHAnsi"/>
        </w:rPr>
        <w:t>wyrównane przez spulchnienie warstwy kruszywa i dodanie lub usuniecie nadmiaru a</w:t>
      </w:r>
      <w:r w:rsidRPr="00764F74">
        <w:rPr>
          <w:rFonts w:asciiTheme="minorHAnsi" w:eastAsia="TimesNewRoman" w:hAnsiTheme="minorHAnsi" w:cs="TimesNewRoman"/>
        </w:rPr>
        <w:t xml:space="preserve">ż </w:t>
      </w:r>
      <w:r w:rsidRPr="00764F74">
        <w:rPr>
          <w:rFonts w:asciiTheme="minorHAnsi" w:hAnsiTheme="minorHAnsi"/>
        </w:rPr>
        <w:t>do otrzymania równej powierzchni. W miejscach niedost</w:t>
      </w:r>
      <w:r w:rsidRPr="00764F74">
        <w:rPr>
          <w:rFonts w:asciiTheme="minorHAnsi" w:eastAsia="TimesNewRoman" w:hAnsiTheme="minorHAnsi" w:cs="TimesNewRoman"/>
        </w:rPr>
        <w:t>ę</w:t>
      </w:r>
      <w:r w:rsidRPr="00764F74">
        <w:rPr>
          <w:rFonts w:asciiTheme="minorHAnsi" w:hAnsiTheme="minorHAnsi"/>
        </w:rPr>
        <w:t>pnych dla walców warstwa powinna by</w:t>
      </w:r>
      <w:r w:rsidRPr="00764F74">
        <w:rPr>
          <w:rFonts w:asciiTheme="minorHAnsi" w:eastAsia="TimesNewRoman" w:hAnsiTheme="minorHAnsi" w:cs="TimesNewRoman"/>
        </w:rPr>
        <w:t xml:space="preserve">ć </w:t>
      </w:r>
      <w:r w:rsidRPr="00764F74">
        <w:rPr>
          <w:rFonts w:asciiTheme="minorHAnsi" w:hAnsiTheme="minorHAnsi"/>
        </w:rPr>
        <w:t>zag</w:t>
      </w:r>
      <w:r w:rsidRPr="00764F74">
        <w:rPr>
          <w:rFonts w:asciiTheme="minorHAnsi" w:eastAsia="TimesNewRoman" w:hAnsiTheme="minorHAnsi" w:cs="TimesNewRoman"/>
        </w:rPr>
        <w:t>ę</w:t>
      </w:r>
      <w:r w:rsidRPr="00764F74">
        <w:rPr>
          <w:rFonts w:asciiTheme="minorHAnsi" w:hAnsiTheme="minorHAnsi"/>
        </w:rPr>
        <w:t>szczona zag</w:t>
      </w:r>
      <w:r w:rsidRPr="00764F74">
        <w:rPr>
          <w:rFonts w:asciiTheme="minorHAnsi" w:eastAsia="TimesNewRoman" w:hAnsiTheme="minorHAnsi" w:cs="TimesNewRoman"/>
        </w:rPr>
        <w:t>ę</w:t>
      </w:r>
      <w:r w:rsidRPr="00764F74">
        <w:rPr>
          <w:rFonts w:asciiTheme="minorHAnsi" w:hAnsiTheme="minorHAnsi"/>
        </w:rPr>
        <w:t>szczarkami płytowymi, małymi walcami wibracyjnymi lub ubijakami mechanicznymi. Wybór sprz</w:t>
      </w:r>
      <w:r w:rsidRPr="00764F74">
        <w:rPr>
          <w:rFonts w:asciiTheme="minorHAnsi" w:eastAsia="TimesNewRoman" w:hAnsiTheme="minorHAnsi" w:cs="TimesNewRoman"/>
        </w:rPr>
        <w:t>ę</w:t>
      </w:r>
      <w:r w:rsidRPr="00764F74">
        <w:rPr>
          <w:rFonts w:asciiTheme="minorHAnsi" w:hAnsiTheme="minorHAnsi"/>
        </w:rPr>
        <w:t>tu zag</w:t>
      </w:r>
      <w:r w:rsidRPr="00764F74">
        <w:rPr>
          <w:rFonts w:asciiTheme="minorHAnsi" w:eastAsia="TimesNewRoman" w:hAnsiTheme="minorHAnsi" w:cs="TimesNewRoman"/>
        </w:rPr>
        <w:t>ę</w:t>
      </w:r>
      <w:r w:rsidRPr="00764F74">
        <w:rPr>
          <w:rFonts w:asciiTheme="minorHAnsi" w:hAnsiTheme="minorHAnsi"/>
        </w:rPr>
        <w:t>szczaj</w:t>
      </w:r>
      <w:r w:rsidRPr="00764F74">
        <w:rPr>
          <w:rFonts w:asciiTheme="minorHAnsi" w:eastAsia="TimesNewRoman" w:hAnsiTheme="minorHAnsi" w:cs="TimesNewRoman"/>
        </w:rPr>
        <w:t>ą</w:t>
      </w:r>
      <w:r w:rsidRPr="00764F74">
        <w:rPr>
          <w:rFonts w:asciiTheme="minorHAnsi" w:hAnsiTheme="minorHAnsi"/>
        </w:rPr>
        <w:t>cego zale</w:t>
      </w:r>
      <w:r w:rsidRPr="00764F74">
        <w:rPr>
          <w:rFonts w:asciiTheme="minorHAnsi" w:eastAsia="TimesNewRoman" w:hAnsiTheme="minorHAnsi" w:cs="TimesNewRoman"/>
        </w:rPr>
        <w:t>ż</w:t>
      </w:r>
      <w:r w:rsidRPr="00764F74">
        <w:rPr>
          <w:rFonts w:asciiTheme="minorHAnsi" w:hAnsiTheme="minorHAnsi"/>
        </w:rPr>
        <w:t>y do</w:t>
      </w:r>
    </w:p>
    <w:p w:rsidR="00764F74" w:rsidRPr="00764F74" w:rsidRDefault="00764F74" w:rsidP="00764F74">
      <w:pPr>
        <w:overflowPunct/>
        <w:textAlignment w:val="auto"/>
        <w:rPr>
          <w:rFonts w:asciiTheme="minorHAnsi" w:hAnsiTheme="minorHAnsi"/>
        </w:rPr>
      </w:pPr>
      <w:r w:rsidRPr="00764F74">
        <w:rPr>
          <w:rFonts w:asciiTheme="minorHAnsi" w:hAnsiTheme="minorHAnsi"/>
        </w:rPr>
        <w:t>rodzaju zag</w:t>
      </w:r>
      <w:r w:rsidRPr="00764F74">
        <w:rPr>
          <w:rFonts w:asciiTheme="minorHAnsi" w:eastAsia="TimesNewRoman" w:hAnsiTheme="minorHAnsi" w:cs="TimesNewRoman"/>
        </w:rPr>
        <w:t>ę</w:t>
      </w:r>
      <w:r w:rsidRPr="00764F74">
        <w:rPr>
          <w:rFonts w:asciiTheme="minorHAnsi" w:hAnsiTheme="minorHAnsi"/>
        </w:rPr>
        <w:t>szczanego kruszywa:</w:t>
      </w:r>
    </w:p>
    <w:p w:rsidR="00764F74" w:rsidRPr="00764F74" w:rsidRDefault="00764F74" w:rsidP="00764F74">
      <w:pPr>
        <w:overflowPunct/>
        <w:textAlignment w:val="auto"/>
        <w:rPr>
          <w:rFonts w:asciiTheme="minorHAnsi" w:hAnsiTheme="minorHAnsi"/>
        </w:rPr>
      </w:pPr>
      <w:r w:rsidRPr="00764F74">
        <w:rPr>
          <w:rFonts w:asciiTheme="minorHAnsi" w:hAnsiTheme="minorHAnsi"/>
        </w:rPr>
        <w:t>a) kruszywo o przewadze ziaren grubych tj. takie, którego uziarnienie le</w:t>
      </w:r>
      <w:r w:rsidRPr="00764F74">
        <w:rPr>
          <w:rFonts w:asciiTheme="minorHAnsi" w:eastAsia="TimesNewRoman" w:hAnsiTheme="minorHAnsi" w:cs="TimesNewRoman"/>
        </w:rPr>
        <w:t>ż</w:t>
      </w:r>
      <w:r w:rsidRPr="00764F74">
        <w:rPr>
          <w:rFonts w:asciiTheme="minorHAnsi" w:hAnsiTheme="minorHAnsi"/>
        </w:rPr>
        <w:t>y w dolnej cz</w:t>
      </w:r>
      <w:r w:rsidRPr="00764F74">
        <w:rPr>
          <w:rFonts w:asciiTheme="minorHAnsi" w:eastAsia="TimesNewRoman" w:hAnsiTheme="minorHAnsi" w:cs="TimesNewRoman"/>
        </w:rPr>
        <w:t>ęś</w:t>
      </w:r>
      <w:r w:rsidRPr="00764F74">
        <w:rPr>
          <w:rFonts w:asciiTheme="minorHAnsi" w:hAnsiTheme="minorHAnsi"/>
        </w:rPr>
        <w:t>ci wykresu obszaru dobrego uziarnienia, zaleca si</w:t>
      </w:r>
      <w:r w:rsidRPr="00764F74">
        <w:rPr>
          <w:rFonts w:asciiTheme="minorHAnsi" w:eastAsia="TimesNewRoman" w:hAnsiTheme="minorHAnsi" w:cs="TimesNewRoman"/>
        </w:rPr>
        <w:t xml:space="preserve">ę </w:t>
      </w:r>
      <w:r w:rsidRPr="00764F74">
        <w:rPr>
          <w:rFonts w:asciiTheme="minorHAnsi" w:hAnsiTheme="minorHAnsi"/>
        </w:rPr>
        <w:t>zag</w:t>
      </w:r>
      <w:r w:rsidRPr="00764F74">
        <w:rPr>
          <w:rFonts w:asciiTheme="minorHAnsi" w:eastAsia="TimesNewRoman" w:hAnsiTheme="minorHAnsi" w:cs="TimesNewRoman"/>
        </w:rPr>
        <w:t>ę</w:t>
      </w:r>
      <w:r w:rsidRPr="00764F74">
        <w:rPr>
          <w:rFonts w:asciiTheme="minorHAnsi" w:hAnsiTheme="minorHAnsi"/>
        </w:rPr>
        <w:t>szcza</w:t>
      </w:r>
      <w:r w:rsidRPr="00764F74">
        <w:rPr>
          <w:rFonts w:asciiTheme="minorHAnsi" w:eastAsia="TimesNewRoman" w:hAnsiTheme="minorHAnsi" w:cs="TimesNewRoman"/>
        </w:rPr>
        <w:t xml:space="preserve">ć </w:t>
      </w:r>
      <w:r w:rsidRPr="00764F74">
        <w:rPr>
          <w:rFonts w:asciiTheme="minorHAnsi" w:hAnsiTheme="minorHAnsi"/>
        </w:rPr>
        <w:t>najpierw walcami ogumionymi, a nast</w:t>
      </w:r>
      <w:r w:rsidRPr="00764F74">
        <w:rPr>
          <w:rFonts w:asciiTheme="minorHAnsi" w:eastAsia="TimesNewRoman" w:hAnsiTheme="minorHAnsi" w:cs="TimesNewRoman"/>
        </w:rPr>
        <w:t>ę</w:t>
      </w:r>
      <w:r w:rsidRPr="00764F74">
        <w:rPr>
          <w:rFonts w:asciiTheme="minorHAnsi" w:hAnsiTheme="minorHAnsi"/>
        </w:rPr>
        <w:t>pnie wibracyjnymi,</w:t>
      </w:r>
    </w:p>
    <w:p w:rsidR="00764F74" w:rsidRPr="00764F74" w:rsidRDefault="00764F74" w:rsidP="00764F74">
      <w:pPr>
        <w:overflowPunct/>
        <w:textAlignment w:val="auto"/>
        <w:rPr>
          <w:rFonts w:asciiTheme="minorHAnsi" w:hAnsiTheme="minorHAnsi"/>
        </w:rPr>
      </w:pPr>
      <w:r w:rsidRPr="00764F74">
        <w:rPr>
          <w:rFonts w:asciiTheme="minorHAnsi" w:hAnsiTheme="minorHAnsi"/>
        </w:rPr>
        <w:t>b) kruszywo z przewag</w:t>
      </w:r>
      <w:r w:rsidRPr="00764F74">
        <w:rPr>
          <w:rFonts w:asciiTheme="minorHAnsi" w:eastAsia="TimesNewRoman" w:hAnsiTheme="minorHAnsi" w:cs="TimesNewRoman"/>
        </w:rPr>
        <w:t xml:space="preserve">ą </w:t>
      </w:r>
      <w:r w:rsidRPr="00764F74">
        <w:rPr>
          <w:rFonts w:asciiTheme="minorHAnsi" w:hAnsiTheme="minorHAnsi"/>
        </w:rPr>
        <w:t>ziaren drobnych tj. takie, którego uziarnienie le</w:t>
      </w:r>
      <w:r w:rsidRPr="00764F74">
        <w:rPr>
          <w:rFonts w:asciiTheme="minorHAnsi" w:eastAsia="TimesNewRoman" w:hAnsiTheme="minorHAnsi" w:cs="TimesNewRoman"/>
        </w:rPr>
        <w:t>ż</w:t>
      </w:r>
      <w:r w:rsidRPr="00764F74">
        <w:rPr>
          <w:rFonts w:asciiTheme="minorHAnsi" w:hAnsiTheme="minorHAnsi"/>
        </w:rPr>
        <w:t>y w górnej cz</w:t>
      </w:r>
      <w:r w:rsidRPr="00764F74">
        <w:rPr>
          <w:rFonts w:asciiTheme="minorHAnsi" w:eastAsia="TimesNewRoman" w:hAnsiTheme="minorHAnsi" w:cs="TimesNewRoman"/>
        </w:rPr>
        <w:t>ęś</w:t>
      </w:r>
      <w:r w:rsidRPr="00764F74">
        <w:rPr>
          <w:rFonts w:asciiTheme="minorHAnsi" w:hAnsiTheme="minorHAnsi"/>
        </w:rPr>
        <w:t>ci wykresu obszaru drobnego uziarnienia, zaleca si</w:t>
      </w:r>
      <w:r w:rsidRPr="00764F74">
        <w:rPr>
          <w:rFonts w:asciiTheme="minorHAnsi" w:eastAsia="TimesNewRoman" w:hAnsiTheme="minorHAnsi" w:cs="TimesNewRoman"/>
        </w:rPr>
        <w:t xml:space="preserve">ę </w:t>
      </w:r>
      <w:r w:rsidRPr="00764F74">
        <w:rPr>
          <w:rFonts w:asciiTheme="minorHAnsi" w:hAnsiTheme="minorHAnsi"/>
        </w:rPr>
        <w:t>zag</w:t>
      </w:r>
      <w:r w:rsidRPr="00764F74">
        <w:rPr>
          <w:rFonts w:asciiTheme="minorHAnsi" w:eastAsia="TimesNewRoman" w:hAnsiTheme="minorHAnsi" w:cs="TimesNewRoman"/>
        </w:rPr>
        <w:t>ę</w:t>
      </w:r>
      <w:r w:rsidRPr="00764F74">
        <w:rPr>
          <w:rFonts w:asciiTheme="minorHAnsi" w:hAnsiTheme="minorHAnsi"/>
        </w:rPr>
        <w:t>szcza</w:t>
      </w:r>
      <w:r w:rsidRPr="00764F74">
        <w:rPr>
          <w:rFonts w:asciiTheme="minorHAnsi" w:eastAsia="TimesNewRoman" w:hAnsiTheme="minorHAnsi" w:cs="TimesNewRoman"/>
        </w:rPr>
        <w:t xml:space="preserve">ć </w:t>
      </w:r>
      <w:r w:rsidRPr="00764F74">
        <w:rPr>
          <w:rFonts w:asciiTheme="minorHAnsi" w:hAnsiTheme="minorHAnsi"/>
        </w:rPr>
        <w:t>najpierw walcami ogumionymi, a nast</w:t>
      </w:r>
      <w:r w:rsidRPr="00764F74">
        <w:rPr>
          <w:rFonts w:asciiTheme="minorHAnsi" w:eastAsia="TimesNewRoman" w:hAnsiTheme="minorHAnsi" w:cs="TimesNewRoman"/>
        </w:rPr>
        <w:t>ę</w:t>
      </w:r>
      <w:r w:rsidRPr="00764F74">
        <w:rPr>
          <w:rFonts w:asciiTheme="minorHAnsi" w:hAnsiTheme="minorHAnsi"/>
        </w:rPr>
        <w:t>pnie gładkimi.</w:t>
      </w:r>
    </w:p>
    <w:p w:rsidR="00764F74" w:rsidRPr="00764F74" w:rsidRDefault="00764F74" w:rsidP="00764F74">
      <w:pPr>
        <w:overflowPunct/>
        <w:textAlignment w:val="auto"/>
        <w:rPr>
          <w:rFonts w:asciiTheme="minorHAnsi" w:hAnsiTheme="minorHAnsi"/>
        </w:rPr>
      </w:pPr>
      <w:r w:rsidRPr="00764F74">
        <w:rPr>
          <w:rFonts w:asciiTheme="minorHAnsi" w:hAnsiTheme="minorHAnsi"/>
        </w:rPr>
        <w:t>W pierwszej fazie zag</w:t>
      </w:r>
      <w:r w:rsidRPr="00764F74">
        <w:rPr>
          <w:rFonts w:asciiTheme="minorHAnsi" w:eastAsia="TimesNewRoman" w:hAnsiTheme="minorHAnsi" w:cs="TimesNewRoman"/>
        </w:rPr>
        <w:t>ę</w:t>
      </w:r>
      <w:r w:rsidRPr="00764F74">
        <w:rPr>
          <w:rFonts w:asciiTheme="minorHAnsi" w:hAnsiTheme="minorHAnsi"/>
        </w:rPr>
        <w:t>szczania nale</w:t>
      </w:r>
      <w:r w:rsidRPr="00764F74">
        <w:rPr>
          <w:rFonts w:asciiTheme="minorHAnsi" w:eastAsia="TimesNewRoman" w:hAnsiTheme="minorHAnsi" w:cs="TimesNewRoman"/>
        </w:rPr>
        <w:t>ż</w:t>
      </w:r>
      <w:r w:rsidRPr="00764F74">
        <w:rPr>
          <w:rFonts w:asciiTheme="minorHAnsi" w:hAnsiTheme="minorHAnsi"/>
        </w:rPr>
        <w:t>y stosowa</w:t>
      </w:r>
      <w:r w:rsidRPr="00764F74">
        <w:rPr>
          <w:rFonts w:asciiTheme="minorHAnsi" w:eastAsia="TimesNewRoman" w:hAnsiTheme="minorHAnsi" w:cs="TimesNewRoman"/>
        </w:rPr>
        <w:t xml:space="preserve">ć </w:t>
      </w:r>
      <w:r w:rsidRPr="00764F74">
        <w:rPr>
          <w:rFonts w:asciiTheme="minorHAnsi" w:hAnsiTheme="minorHAnsi"/>
        </w:rPr>
        <w:t>sprz</w:t>
      </w:r>
      <w:r w:rsidRPr="00764F74">
        <w:rPr>
          <w:rFonts w:asciiTheme="minorHAnsi" w:eastAsia="TimesNewRoman" w:hAnsiTheme="minorHAnsi" w:cs="TimesNewRoman"/>
        </w:rPr>
        <w:t>ę</w:t>
      </w:r>
      <w:r w:rsidRPr="00764F74">
        <w:rPr>
          <w:rFonts w:asciiTheme="minorHAnsi" w:hAnsiTheme="minorHAnsi"/>
        </w:rPr>
        <w:t>t l</w:t>
      </w:r>
      <w:r w:rsidRPr="00764F74">
        <w:rPr>
          <w:rFonts w:asciiTheme="minorHAnsi" w:eastAsia="TimesNewRoman" w:hAnsiTheme="minorHAnsi" w:cs="TimesNewRoman"/>
        </w:rPr>
        <w:t>ż</w:t>
      </w:r>
      <w:r w:rsidRPr="00764F74">
        <w:rPr>
          <w:rFonts w:asciiTheme="minorHAnsi" w:hAnsiTheme="minorHAnsi"/>
        </w:rPr>
        <w:t>ejszy, a w ko</w:t>
      </w:r>
      <w:r w:rsidRPr="00764F74">
        <w:rPr>
          <w:rFonts w:asciiTheme="minorHAnsi" w:eastAsia="TimesNewRoman" w:hAnsiTheme="minorHAnsi" w:cs="TimesNewRoman"/>
        </w:rPr>
        <w:t>ń</w:t>
      </w:r>
      <w:r w:rsidRPr="00764F74">
        <w:rPr>
          <w:rFonts w:asciiTheme="minorHAnsi" w:hAnsiTheme="minorHAnsi"/>
        </w:rPr>
        <w:t>cowej sprz</w:t>
      </w:r>
      <w:r w:rsidRPr="00764F74">
        <w:rPr>
          <w:rFonts w:asciiTheme="minorHAnsi" w:eastAsia="TimesNewRoman" w:hAnsiTheme="minorHAnsi" w:cs="TimesNewRoman"/>
        </w:rPr>
        <w:t>ę</w:t>
      </w:r>
      <w:r w:rsidRPr="00764F74">
        <w:rPr>
          <w:rFonts w:asciiTheme="minorHAnsi" w:hAnsiTheme="minorHAnsi"/>
        </w:rPr>
        <w:t>t ci</w:t>
      </w:r>
      <w:r w:rsidRPr="00764F74">
        <w:rPr>
          <w:rFonts w:asciiTheme="minorHAnsi" w:eastAsia="TimesNewRoman" w:hAnsiTheme="minorHAnsi" w:cs="TimesNewRoman"/>
        </w:rPr>
        <w:t>ęż</w:t>
      </w:r>
      <w:r w:rsidRPr="00764F74">
        <w:rPr>
          <w:rFonts w:asciiTheme="minorHAnsi" w:hAnsiTheme="minorHAnsi"/>
        </w:rPr>
        <w:t>szy.</w:t>
      </w:r>
    </w:p>
    <w:p w:rsidR="00764F74" w:rsidRPr="00764F74" w:rsidRDefault="00764F74" w:rsidP="00764F74">
      <w:pPr>
        <w:overflowPunct/>
        <w:textAlignment w:val="auto"/>
        <w:rPr>
          <w:rFonts w:asciiTheme="minorHAnsi" w:hAnsiTheme="minorHAnsi"/>
        </w:rPr>
      </w:pPr>
      <w:r w:rsidRPr="00764F74">
        <w:rPr>
          <w:rFonts w:asciiTheme="minorHAnsi" w:hAnsiTheme="minorHAnsi"/>
        </w:rPr>
        <w:lastRenderedPageBreak/>
        <w:t>Pocz</w:t>
      </w:r>
      <w:r w:rsidRPr="00764F74">
        <w:rPr>
          <w:rFonts w:asciiTheme="minorHAnsi" w:eastAsia="TimesNewRoman" w:hAnsiTheme="minorHAnsi" w:cs="TimesNewRoman"/>
        </w:rPr>
        <w:t>ą</w:t>
      </w:r>
      <w:r w:rsidRPr="00764F74">
        <w:rPr>
          <w:rFonts w:asciiTheme="minorHAnsi" w:hAnsiTheme="minorHAnsi"/>
        </w:rPr>
        <w:t>tkowe przej</w:t>
      </w:r>
      <w:r w:rsidRPr="00764F74">
        <w:rPr>
          <w:rFonts w:asciiTheme="minorHAnsi" w:eastAsia="TimesNewRoman" w:hAnsiTheme="minorHAnsi" w:cs="TimesNewRoman"/>
        </w:rPr>
        <w:t>ś</w:t>
      </w:r>
      <w:r w:rsidRPr="00764F74">
        <w:rPr>
          <w:rFonts w:asciiTheme="minorHAnsi" w:hAnsiTheme="minorHAnsi"/>
        </w:rPr>
        <w:t>cia walców wibracyjnych nale</w:t>
      </w:r>
      <w:r w:rsidRPr="00764F74">
        <w:rPr>
          <w:rFonts w:asciiTheme="minorHAnsi" w:eastAsia="TimesNewRoman" w:hAnsiTheme="minorHAnsi" w:cs="TimesNewRoman"/>
        </w:rPr>
        <w:t>ż</w:t>
      </w:r>
      <w:r w:rsidRPr="00764F74">
        <w:rPr>
          <w:rFonts w:asciiTheme="minorHAnsi" w:hAnsiTheme="minorHAnsi"/>
        </w:rPr>
        <w:t>y wykona</w:t>
      </w:r>
      <w:r w:rsidRPr="00764F74">
        <w:rPr>
          <w:rFonts w:asciiTheme="minorHAnsi" w:eastAsia="TimesNewRoman" w:hAnsiTheme="minorHAnsi" w:cs="TimesNewRoman"/>
        </w:rPr>
        <w:t xml:space="preserve">ć </w:t>
      </w:r>
      <w:r w:rsidRPr="00764F74">
        <w:rPr>
          <w:rFonts w:asciiTheme="minorHAnsi" w:hAnsiTheme="minorHAnsi"/>
        </w:rPr>
        <w:t>bez uruchomienia wibratorów.</w:t>
      </w:r>
    </w:p>
    <w:p w:rsidR="00764F74" w:rsidRPr="00764F74" w:rsidRDefault="00764F74" w:rsidP="00764F74">
      <w:pPr>
        <w:overflowPunct/>
        <w:textAlignment w:val="auto"/>
        <w:rPr>
          <w:rFonts w:asciiTheme="minorHAnsi" w:hAnsiTheme="minorHAnsi"/>
        </w:rPr>
      </w:pPr>
      <w:r w:rsidRPr="00764F74">
        <w:rPr>
          <w:rFonts w:asciiTheme="minorHAnsi" w:hAnsiTheme="minorHAnsi"/>
        </w:rPr>
        <w:t>Wilgotno</w:t>
      </w:r>
      <w:r w:rsidRPr="00764F74">
        <w:rPr>
          <w:rFonts w:asciiTheme="minorHAnsi" w:eastAsia="TimesNewRoman" w:hAnsiTheme="minorHAnsi" w:cs="TimesNewRoman"/>
        </w:rPr>
        <w:t xml:space="preserve">ść </w:t>
      </w:r>
      <w:r w:rsidRPr="00764F74">
        <w:rPr>
          <w:rFonts w:asciiTheme="minorHAnsi" w:hAnsiTheme="minorHAnsi"/>
        </w:rPr>
        <w:t>kruszywa podczas zag</w:t>
      </w:r>
      <w:r w:rsidRPr="00764F74">
        <w:rPr>
          <w:rFonts w:asciiTheme="minorHAnsi" w:eastAsia="TimesNewRoman" w:hAnsiTheme="minorHAnsi" w:cs="TimesNewRoman"/>
        </w:rPr>
        <w:t>ę</w:t>
      </w:r>
      <w:r w:rsidRPr="00764F74">
        <w:rPr>
          <w:rFonts w:asciiTheme="minorHAnsi" w:hAnsiTheme="minorHAnsi"/>
        </w:rPr>
        <w:t>szczania powinna by</w:t>
      </w:r>
      <w:r w:rsidRPr="00764F74">
        <w:rPr>
          <w:rFonts w:asciiTheme="minorHAnsi" w:eastAsia="TimesNewRoman" w:hAnsiTheme="minorHAnsi" w:cs="TimesNewRoman"/>
        </w:rPr>
        <w:t xml:space="preserve">ć </w:t>
      </w:r>
      <w:r w:rsidRPr="00764F74">
        <w:rPr>
          <w:rFonts w:asciiTheme="minorHAnsi" w:hAnsiTheme="minorHAnsi"/>
        </w:rPr>
        <w:t>równa wilgotno</w:t>
      </w:r>
      <w:r w:rsidRPr="00764F74">
        <w:rPr>
          <w:rFonts w:asciiTheme="minorHAnsi" w:eastAsia="TimesNewRoman" w:hAnsiTheme="minorHAnsi" w:cs="TimesNewRoman"/>
        </w:rPr>
        <w:t>ś</w:t>
      </w:r>
      <w:r w:rsidRPr="00764F74">
        <w:rPr>
          <w:rFonts w:asciiTheme="minorHAnsi" w:hAnsiTheme="minorHAnsi"/>
        </w:rPr>
        <w:t>ci optymalnej okre</w:t>
      </w:r>
      <w:r w:rsidRPr="00764F74">
        <w:rPr>
          <w:rFonts w:asciiTheme="minorHAnsi" w:eastAsia="TimesNewRoman" w:hAnsiTheme="minorHAnsi" w:cs="TimesNewRoman"/>
        </w:rPr>
        <w:t>ś</w:t>
      </w:r>
      <w:r w:rsidRPr="00764F74">
        <w:rPr>
          <w:rFonts w:asciiTheme="minorHAnsi" w:hAnsiTheme="minorHAnsi"/>
        </w:rPr>
        <w:t>lanej zgodnie z PN-EN 13286-47. Wilgotno</w:t>
      </w:r>
      <w:r w:rsidRPr="00764F74">
        <w:rPr>
          <w:rFonts w:asciiTheme="minorHAnsi" w:eastAsia="TimesNewRoman" w:hAnsiTheme="minorHAnsi" w:cs="TimesNewRoman"/>
        </w:rPr>
        <w:t xml:space="preserve">ść </w:t>
      </w:r>
      <w:r w:rsidRPr="00764F74">
        <w:rPr>
          <w:rFonts w:asciiTheme="minorHAnsi" w:hAnsiTheme="minorHAnsi"/>
        </w:rPr>
        <w:t>przy zag</w:t>
      </w:r>
      <w:r w:rsidRPr="00764F74">
        <w:rPr>
          <w:rFonts w:asciiTheme="minorHAnsi" w:eastAsia="TimesNewRoman" w:hAnsiTheme="minorHAnsi" w:cs="TimesNewRoman"/>
        </w:rPr>
        <w:t>ę</w:t>
      </w:r>
      <w:r w:rsidRPr="00764F74">
        <w:rPr>
          <w:rFonts w:asciiTheme="minorHAnsi" w:hAnsiTheme="minorHAnsi"/>
        </w:rPr>
        <w:t>szczaniu powinna by</w:t>
      </w:r>
      <w:r w:rsidRPr="00764F74">
        <w:rPr>
          <w:rFonts w:asciiTheme="minorHAnsi" w:eastAsia="TimesNewRoman" w:hAnsiTheme="minorHAnsi" w:cs="TimesNewRoman"/>
        </w:rPr>
        <w:t xml:space="preserve">ć </w:t>
      </w:r>
      <w:r w:rsidRPr="00764F74">
        <w:rPr>
          <w:rFonts w:asciiTheme="minorHAnsi" w:hAnsiTheme="minorHAnsi"/>
        </w:rPr>
        <w:t>równa wilgotno</w:t>
      </w:r>
      <w:r w:rsidRPr="00764F74">
        <w:rPr>
          <w:rFonts w:asciiTheme="minorHAnsi" w:eastAsia="TimesNewRoman" w:hAnsiTheme="minorHAnsi" w:cs="TimesNewRoman"/>
        </w:rPr>
        <w:t>ś</w:t>
      </w:r>
      <w:r w:rsidRPr="00764F74">
        <w:rPr>
          <w:rFonts w:asciiTheme="minorHAnsi" w:hAnsiTheme="minorHAnsi"/>
        </w:rPr>
        <w:t>ci optymalnej z tolerancj</w:t>
      </w:r>
      <w:r w:rsidRPr="00764F74">
        <w:rPr>
          <w:rFonts w:asciiTheme="minorHAnsi" w:eastAsia="TimesNewRoman" w:hAnsiTheme="minorHAnsi" w:cs="TimesNewRoman"/>
        </w:rPr>
        <w:t xml:space="preserve">ą </w:t>
      </w:r>
      <w:r w:rsidRPr="00764F74">
        <w:rPr>
          <w:rFonts w:asciiTheme="minorHAnsi" w:hAnsiTheme="minorHAnsi"/>
        </w:rPr>
        <w:t>+1 % i -2 % jej warto</w:t>
      </w:r>
      <w:r w:rsidRPr="00764F74">
        <w:rPr>
          <w:rFonts w:asciiTheme="minorHAnsi" w:eastAsia="TimesNewRoman" w:hAnsiTheme="minorHAnsi" w:cs="TimesNewRoman"/>
        </w:rPr>
        <w:t>ś</w:t>
      </w:r>
      <w:r w:rsidRPr="00764F74">
        <w:rPr>
          <w:rFonts w:asciiTheme="minorHAnsi" w:hAnsiTheme="minorHAnsi"/>
        </w:rPr>
        <w:t>ci.</w:t>
      </w:r>
    </w:p>
    <w:p w:rsidR="00764F74" w:rsidRPr="00203191" w:rsidRDefault="00764F74" w:rsidP="00364E4D">
      <w:pPr>
        <w:rPr>
          <w:rFonts w:ascii="Calibri" w:hAnsi="Calibri" w:cs="Calibri"/>
        </w:rPr>
      </w:pPr>
    </w:p>
    <w:p w:rsidR="00656AC1" w:rsidRPr="00203191" w:rsidRDefault="00656AC1" w:rsidP="00364E4D">
      <w:pPr>
        <w:pStyle w:val="Nagwek4"/>
        <w:rPr>
          <w:rFonts w:ascii="Calibri" w:hAnsi="Calibri" w:cs="Calibri"/>
        </w:rPr>
      </w:pPr>
      <w:r w:rsidRPr="00203191">
        <w:rPr>
          <w:rFonts w:ascii="Calibri" w:hAnsi="Calibri" w:cs="Calibri"/>
        </w:rPr>
        <w:t xml:space="preserve">5.5. Utrzymanie podbudowy </w:t>
      </w:r>
    </w:p>
    <w:p w:rsidR="00656AC1" w:rsidRPr="00203191" w:rsidRDefault="00656AC1" w:rsidP="00364E4D">
      <w:pPr>
        <w:rPr>
          <w:rFonts w:ascii="Calibri" w:hAnsi="Calibri" w:cs="Calibri"/>
        </w:rPr>
      </w:pPr>
      <w:r w:rsidRPr="00203191">
        <w:rPr>
          <w:rFonts w:ascii="Calibri" w:hAnsi="Calibri" w:cs="Calibri"/>
        </w:rPr>
        <w:t xml:space="preserve">Podbudowa po wykonaniu, a przed ułożeniem następnej warstwy, powinna być utrzymywana w dobrym stanie.  Jeżeli Wykonawca będzie wykorzystywał, za zgodą Inżyniera, gotową podbudowę do ruchu budowlanego, to jest obowiązany naprawić wszelkie uszkodzenia podbudowy, spowodowane przez ten ruch. Koszt napraw wynikłych z niewłaściwego utrzymania podbudowy obciąża Wykonawcę robót. </w:t>
      </w:r>
    </w:p>
    <w:p w:rsidR="00656AC1" w:rsidRPr="00203191" w:rsidRDefault="00656AC1" w:rsidP="00364E4D">
      <w:pPr>
        <w:pStyle w:val="Nagwek3"/>
        <w:rPr>
          <w:rFonts w:ascii="Calibri" w:hAnsi="Calibri" w:cs="Calibri"/>
        </w:rPr>
      </w:pPr>
      <w:r w:rsidRPr="00203191">
        <w:rPr>
          <w:rFonts w:ascii="Calibri" w:hAnsi="Calibri" w:cs="Calibri"/>
        </w:rPr>
        <w:t>6. KONTROLA JAKOŚCI ROBÓT</w:t>
      </w:r>
    </w:p>
    <w:p w:rsidR="00656AC1" w:rsidRPr="00203191" w:rsidRDefault="00656AC1" w:rsidP="00364E4D">
      <w:pPr>
        <w:pStyle w:val="Nagwek4"/>
        <w:rPr>
          <w:rFonts w:ascii="Calibri" w:hAnsi="Calibri" w:cs="Calibri"/>
        </w:rPr>
      </w:pPr>
      <w:r w:rsidRPr="00203191">
        <w:rPr>
          <w:rFonts w:ascii="Calibri" w:hAnsi="Calibri" w:cs="Calibri"/>
        </w:rPr>
        <w:t>6.1. Ogólne zasady kontroli jakości robót</w:t>
      </w:r>
    </w:p>
    <w:p w:rsidR="00656AC1" w:rsidRPr="00203191" w:rsidRDefault="00656AC1" w:rsidP="00364E4D">
      <w:pPr>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rPr>
          <w:rFonts w:ascii="Calibri" w:hAnsi="Calibri" w:cs="Calibri"/>
        </w:rPr>
      </w:pPr>
      <w:r w:rsidRPr="00203191">
        <w:rPr>
          <w:rFonts w:ascii="Calibri" w:hAnsi="Calibri" w:cs="Calibri"/>
        </w:rPr>
        <w:t>6.2. Badania przed przystąpieniem do robót</w:t>
      </w:r>
    </w:p>
    <w:p w:rsidR="00656AC1" w:rsidRPr="00203191" w:rsidRDefault="00656AC1" w:rsidP="00364E4D">
      <w:pPr>
        <w:rPr>
          <w:rFonts w:ascii="Calibri" w:hAnsi="Calibri" w:cs="Calibri"/>
        </w:rPr>
      </w:pPr>
      <w:r w:rsidRPr="00203191">
        <w:rPr>
          <w:rFonts w:ascii="Calibri" w:hAnsi="Calibri" w:cs="Calibri"/>
        </w:rPr>
        <w:t xml:space="preserve">Przed przystąpieniem do robót Wykonawca powinien wykonać badania kruszyw  przeznaczonych do wykonania robót i przedstawić wyniki tych badań Inżynierowi w celu akceptacji materiałów. Badania te powinny obejmować wszystkie właściwości określone w pkt 2.3 niniejszej </w:t>
      </w:r>
      <w:r w:rsidR="005B48CA">
        <w:rPr>
          <w:rFonts w:ascii="Calibri" w:hAnsi="Calibri" w:cs="Calibri"/>
        </w:rPr>
        <w:t>STWiORB</w:t>
      </w:r>
      <w:r w:rsidRPr="00203191">
        <w:rPr>
          <w:rFonts w:ascii="Calibri" w:hAnsi="Calibri" w:cs="Calibri"/>
        </w:rPr>
        <w:t>.</w:t>
      </w:r>
    </w:p>
    <w:p w:rsidR="00656AC1" w:rsidRPr="00203191" w:rsidRDefault="00656AC1" w:rsidP="00364E4D">
      <w:pPr>
        <w:pStyle w:val="Nagwek4"/>
        <w:rPr>
          <w:rFonts w:ascii="Calibri" w:hAnsi="Calibri" w:cs="Calibri"/>
        </w:rPr>
      </w:pPr>
      <w:r w:rsidRPr="00203191">
        <w:rPr>
          <w:rFonts w:ascii="Calibri" w:hAnsi="Calibri" w:cs="Calibri"/>
        </w:rPr>
        <w:t>6.3. Badania w czasie robót</w:t>
      </w:r>
    </w:p>
    <w:p w:rsidR="00656AC1" w:rsidRPr="00203191" w:rsidRDefault="00656AC1" w:rsidP="00364E4D">
      <w:pPr>
        <w:rPr>
          <w:rFonts w:ascii="Calibri" w:hAnsi="Calibri" w:cs="Calibri"/>
          <w:b/>
          <w:bCs/>
          <w:i/>
          <w:iCs/>
        </w:rPr>
      </w:pPr>
      <w:r w:rsidRPr="00203191">
        <w:rPr>
          <w:rFonts w:ascii="Calibri" w:hAnsi="Calibri" w:cs="Calibri"/>
          <w:b/>
          <w:bCs/>
          <w:i/>
          <w:iCs/>
        </w:rPr>
        <w:t>6.3.1. Częstotliwość oraz zakres badań i pomiarów</w:t>
      </w:r>
    </w:p>
    <w:p w:rsidR="00656AC1" w:rsidRPr="00203191" w:rsidRDefault="00656AC1" w:rsidP="00364E4D">
      <w:pPr>
        <w:rPr>
          <w:rFonts w:ascii="Calibri" w:hAnsi="Calibri" w:cs="Calibri"/>
        </w:rPr>
      </w:pPr>
      <w:r w:rsidRPr="00203191">
        <w:rPr>
          <w:rFonts w:ascii="Calibri" w:hAnsi="Calibri" w:cs="Calibri"/>
        </w:rPr>
        <w:t xml:space="preserve">Częstotliwość oraz zakres badań  podano w tablicy </w:t>
      </w:r>
      <w:r w:rsidR="006C5E54">
        <w:rPr>
          <w:rFonts w:ascii="Calibri" w:hAnsi="Calibri" w:cs="Calibri"/>
        </w:rPr>
        <w:t>7</w:t>
      </w:r>
      <w:r w:rsidRPr="00203191">
        <w:rPr>
          <w:rFonts w:ascii="Calibri" w:hAnsi="Calibri" w:cs="Calibri"/>
        </w:rPr>
        <w:t>.</w:t>
      </w:r>
    </w:p>
    <w:p w:rsidR="00656AC1" w:rsidRPr="00203191" w:rsidRDefault="00656AC1" w:rsidP="00364E4D">
      <w:pPr>
        <w:rPr>
          <w:rFonts w:ascii="Calibri" w:hAnsi="Calibri" w:cs="Calibri"/>
        </w:rPr>
      </w:pPr>
    </w:p>
    <w:p w:rsidR="00656AC1" w:rsidRPr="00203191" w:rsidRDefault="00656AC1" w:rsidP="00364E4D">
      <w:pPr>
        <w:pStyle w:val="tekstost"/>
        <w:rPr>
          <w:rFonts w:ascii="Calibri" w:hAnsi="Calibri" w:cs="Calibri"/>
        </w:rPr>
      </w:pPr>
      <w:r w:rsidRPr="00203191">
        <w:rPr>
          <w:rFonts w:ascii="Calibri" w:hAnsi="Calibri" w:cs="Calibri"/>
        </w:rPr>
        <w:t xml:space="preserve">Tablica </w:t>
      </w:r>
      <w:r w:rsidR="006C5E54">
        <w:rPr>
          <w:rFonts w:ascii="Calibri" w:hAnsi="Calibri" w:cs="Calibri"/>
        </w:rPr>
        <w:t>7</w:t>
      </w:r>
      <w:r w:rsidRPr="00203191">
        <w:rPr>
          <w:rFonts w:ascii="Calibri" w:hAnsi="Calibri" w:cs="Calibri"/>
        </w:rPr>
        <w:t>. Częstotliwość ora zakres  badań przy budowie podbudowy z kruszyw stabilizowanych mechanicznie</w:t>
      </w:r>
    </w:p>
    <w:tbl>
      <w:tblPr>
        <w:tblW w:w="0" w:type="auto"/>
        <w:tblInd w:w="2" w:type="dxa"/>
        <w:tblLayout w:type="fixed"/>
        <w:tblCellMar>
          <w:left w:w="70" w:type="dxa"/>
          <w:right w:w="70" w:type="dxa"/>
        </w:tblCellMar>
        <w:tblLook w:val="0000"/>
      </w:tblPr>
      <w:tblGrid>
        <w:gridCol w:w="496"/>
        <w:gridCol w:w="4394"/>
        <w:gridCol w:w="1984"/>
        <w:gridCol w:w="2127"/>
      </w:tblGrid>
      <w:tr w:rsidR="00656AC1" w:rsidRPr="00203191">
        <w:tc>
          <w:tcPr>
            <w:tcW w:w="496" w:type="dxa"/>
            <w:tcBorders>
              <w:top w:val="single" w:sz="6" w:space="0" w:color="auto"/>
              <w:left w:val="single" w:sz="6" w:space="0" w:color="auto"/>
            </w:tcBorders>
          </w:tcPr>
          <w:p w:rsidR="00656AC1" w:rsidRPr="00203191" w:rsidRDefault="00656AC1" w:rsidP="00364E4D">
            <w:pPr>
              <w:pStyle w:val="tekstost"/>
              <w:rPr>
                <w:rFonts w:ascii="Calibri" w:hAnsi="Calibri" w:cs="Calibri"/>
              </w:rPr>
            </w:pPr>
          </w:p>
        </w:tc>
        <w:tc>
          <w:tcPr>
            <w:tcW w:w="4394" w:type="dxa"/>
            <w:tcBorders>
              <w:top w:val="single" w:sz="6" w:space="0" w:color="auto"/>
              <w:left w:val="single" w:sz="6" w:space="0" w:color="auto"/>
            </w:tcBorders>
          </w:tcPr>
          <w:p w:rsidR="00656AC1" w:rsidRPr="00203191" w:rsidRDefault="00656AC1" w:rsidP="00364E4D">
            <w:pPr>
              <w:pStyle w:val="tekstost"/>
              <w:rPr>
                <w:rFonts w:ascii="Calibri" w:hAnsi="Calibri" w:cs="Calibri"/>
              </w:rPr>
            </w:pPr>
          </w:p>
        </w:tc>
        <w:tc>
          <w:tcPr>
            <w:tcW w:w="4111"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Częstotliwość badań</w:t>
            </w:r>
          </w:p>
        </w:tc>
      </w:tr>
      <w:tr w:rsidR="00656AC1" w:rsidRPr="00203191">
        <w:tc>
          <w:tcPr>
            <w:tcW w:w="496" w:type="dxa"/>
            <w:tcBorders>
              <w:left w:val="single" w:sz="6" w:space="0" w:color="auto"/>
              <w:bottom w:val="double" w:sz="6" w:space="0" w:color="auto"/>
              <w:right w:val="single" w:sz="6" w:space="0" w:color="auto"/>
            </w:tcBorders>
          </w:tcPr>
          <w:p w:rsidR="00656AC1" w:rsidRPr="00203191" w:rsidRDefault="00656AC1" w:rsidP="00364E4D">
            <w:pPr>
              <w:pStyle w:val="tekstost"/>
              <w:rPr>
                <w:rFonts w:ascii="Calibri" w:hAnsi="Calibri" w:cs="Calibri"/>
              </w:rPr>
            </w:pPr>
          </w:p>
          <w:p w:rsidR="00656AC1" w:rsidRPr="00203191" w:rsidRDefault="00656AC1" w:rsidP="00364E4D">
            <w:pPr>
              <w:pStyle w:val="tekstost"/>
              <w:rPr>
                <w:rFonts w:ascii="Calibri" w:hAnsi="Calibri" w:cs="Calibri"/>
              </w:rPr>
            </w:pPr>
            <w:r w:rsidRPr="00203191">
              <w:rPr>
                <w:rFonts w:ascii="Calibri" w:hAnsi="Calibri" w:cs="Calibri"/>
              </w:rPr>
              <w:t>Lp.</w:t>
            </w:r>
          </w:p>
        </w:tc>
        <w:tc>
          <w:tcPr>
            <w:tcW w:w="4394" w:type="dxa"/>
            <w:tcBorders>
              <w:left w:val="nil"/>
              <w:bottom w:val="double" w:sz="6" w:space="0" w:color="auto"/>
            </w:tcBorders>
          </w:tcPr>
          <w:p w:rsidR="00656AC1" w:rsidRPr="00203191" w:rsidRDefault="00656AC1" w:rsidP="00364E4D">
            <w:pPr>
              <w:pStyle w:val="tekstost"/>
              <w:rPr>
                <w:rFonts w:ascii="Calibri" w:hAnsi="Calibri" w:cs="Calibri"/>
              </w:rPr>
            </w:pPr>
          </w:p>
          <w:p w:rsidR="00656AC1" w:rsidRPr="00203191" w:rsidRDefault="00656AC1" w:rsidP="00364E4D">
            <w:pPr>
              <w:pStyle w:val="tekstost"/>
              <w:rPr>
                <w:rFonts w:ascii="Calibri" w:hAnsi="Calibri" w:cs="Calibri"/>
              </w:rPr>
            </w:pPr>
            <w:r w:rsidRPr="00203191">
              <w:rPr>
                <w:rFonts w:ascii="Calibri" w:hAnsi="Calibri" w:cs="Calibri"/>
              </w:rPr>
              <w:t>Wyszczególnienie badań</w:t>
            </w:r>
          </w:p>
        </w:tc>
        <w:tc>
          <w:tcPr>
            <w:tcW w:w="1984"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Minimalna liczba badań na dziennej działce roboczej</w:t>
            </w:r>
          </w:p>
        </w:tc>
        <w:tc>
          <w:tcPr>
            <w:tcW w:w="2127"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Maksymalna powierzchnia podbudowy przy-padająca na jedno badanie (m</w:t>
            </w:r>
            <w:r w:rsidRPr="00203191">
              <w:rPr>
                <w:rFonts w:ascii="Calibri" w:hAnsi="Calibri" w:cs="Calibri"/>
                <w:vertAlign w:val="superscript"/>
              </w:rPr>
              <w:t>2</w:t>
            </w:r>
            <w:r w:rsidRPr="00203191">
              <w:rPr>
                <w:rFonts w:ascii="Calibri" w:hAnsi="Calibri" w:cs="Calibri"/>
              </w:rPr>
              <w:t>)</w:t>
            </w:r>
          </w:p>
        </w:tc>
      </w:tr>
      <w:tr w:rsidR="00656AC1" w:rsidRPr="00203191">
        <w:tc>
          <w:tcPr>
            <w:tcW w:w="496" w:type="dxa"/>
            <w:tcBorders>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1</w:t>
            </w:r>
          </w:p>
        </w:tc>
        <w:tc>
          <w:tcPr>
            <w:tcW w:w="4394" w:type="dxa"/>
            <w:tcBorders>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 xml:space="preserve">Uziarnienie mieszanki </w:t>
            </w:r>
          </w:p>
        </w:tc>
        <w:tc>
          <w:tcPr>
            <w:tcW w:w="1984" w:type="dxa"/>
            <w:tcBorders>
              <w:left w:val="single" w:sz="6" w:space="0" w:color="auto"/>
            </w:tcBorders>
          </w:tcPr>
          <w:p w:rsidR="00656AC1" w:rsidRPr="00203191" w:rsidRDefault="00656AC1" w:rsidP="00364E4D">
            <w:pPr>
              <w:pStyle w:val="tekstost"/>
              <w:rPr>
                <w:rFonts w:ascii="Calibri" w:hAnsi="Calibri" w:cs="Calibri"/>
              </w:rPr>
            </w:pPr>
          </w:p>
        </w:tc>
        <w:tc>
          <w:tcPr>
            <w:tcW w:w="2127" w:type="dxa"/>
            <w:tcBorders>
              <w:left w:val="single" w:sz="6" w:space="0" w:color="auto"/>
              <w:right w:val="single" w:sz="6" w:space="0" w:color="auto"/>
            </w:tcBorders>
          </w:tcPr>
          <w:p w:rsidR="00656AC1" w:rsidRPr="00203191" w:rsidRDefault="00656AC1" w:rsidP="00364E4D">
            <w:pPr>
              <w:pStyle w:val="tekstost"/>
              <w:rPr>
                <w:rFonts w:ascii="Calibri" w:hAnsi="Calibri" w:cs="Calibri"/>
              </w:rPr>
            </w:pP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2</w:t>
            </w:r>
          </w:p>
        </w:tc>
        <w:tc>
          <w:tcPr>
            <w:tcW w:w="439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 xml:space="preserve">Wilgotność mieszanki </w:t>
            </w:r>
          </w:p>
        </w:tc>
        <w:tc>
          <w:tcPr>
            <w:tcW w:w="1984" w:type="dxa"/>
            <w:tcBorders>
              <w:lef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2</w:t>
            </w:r>
          </w:p>
        </w:tc>
        <w:tc>
          <w:tcPr>
            <w:tcW w:w="2127" w:type="dxa"/>
            <w:tcBorders>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600</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3</w:t>
            </w:r>
          </w:p>
        </w:tc>
        <w:tc>
          <w:tcPr>
            <w:tcW w:w="439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Zagęszczenie warstwy</w:t>
            </w:r>
          </w:p>
        </w:tc>
        <w:tc>
          <w:tcPr>
            <w:tcW w:w="198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10 próbek</w:t>
            </w:r>
          </w:p>
        </w:tc>
        <w:tc>
          <w:tcPr>
            <w:tcW w:w="2127" w:type="dxa"/>
            <w:tcBorders>
              <w:left w:val="nil"/>
              <w:bottom w:val="single" w:sz="6" w:space="0" w:color="auto"/>
              <w:right w:val="single" w:sz="6" w:space="0" w:color="auto"/>
            </w:tcBorders>
          </w:tcPr>
          <w:p w:rsidR="00656AC1" w:rsidRPr="00203191" w:rsidRDefault="00656AC1" w:rsidP="00C16E0E">
            <w:pPr>
              <w:pStyle w:val="tekstost"/>
              <w:rPr>
                <w:rFonts w:ascii="Calibri" w:hAnsi="Calibri" w:cs="Calibri"/>
              </w:rPr>
            </w:pPr>
            <w:r w:rsidRPr="00203191">
              <w:rPr>
                <w:rFonts w:ascii="Calibri" w:hAnsi="Calibri" w:cs="Calibri"/>
              </w:rPr>
              <w:t>na 1000 m</w:t>
            </w:r>
            <w:r w:rsidRPr="00203191">
              <w:rPr>
                <w:rFonts w:ascii="Calibri" w:hAnsi="Calibri" w:cs="Calibri"/>
                <w:vertAlign w:val="superscript"/>
              </w:rPr>
              <w:t>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4</w:t>
            </w:r>
          </w:p>
        </w:tc>
        <w:tc>
          <w:tcPr>
            <w:tcW w:w="43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Badanie właściwości kruszywa wg tab. 1, pkt 2.3.2</w:t>
            </w:r>
          </w:p>
        </w:tc>
        <w:tc>
          <w:tcPr>
            <w:tcW w:w="4111"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dla każdej partii kruszywa i przy każdej zmianie kruszywa</w:t>
            </w:r>
          </w:p>
        </w:tc>
      </w:tr>
    </w:tbl>
    <w:p w:rsidR="00656AC1" w:rsidRPr="00203191" w:rsidRDefault="00656AC1" w:rsidP="00364E4D">
      <w:pPr>
        <w:pStyle w:val="tekstost"/>
        <w:rPr>
          <w:rFonts w:ascii="Calibri" w:hAnsi="Calibri" w:cs="Calibri"/>
        </w:rPr>
      </w:pPr>
    </w:p>
    <w:p w:rsidR="00656AC1" w:rsidRPr="00203191" w:rsidRDefault="00656AC1" w:rsidP="00364E4D">
      <w:pPr>
        <w:pStyle w:val="tekstost"/>
        <w:rPr>
          <w:rFonts w:ascii="Calibri" w:hAnsi="Calibri" w:cs="Calibri"/>
          <w:b/>
          <w:bCs/>
          <w:i/>
          <w:iCs/>
        </w:rPr>
      </w:pPr>
      <w:r w:rsidRPr="00203191">
        <w:rPr>
          <w:rFonts w:ascii="Calibri" w:hAnsi="Calibri" w:cs="Calibri"/>
          <w:b/>
          <w:bCs/>
          <w:i/>
          <w:iCs/>
        </w:rPr>
        <w:t>6.3.2. Uziarnienie mieszanki</w:t>
      </w:r>
    </w:p>
    <w:p w:rsidR="00656AC1" w:rsidRPr="00203191" w:rsidRDefault="00656AC1" w:rsidP="00364E4D">
      <w:pPr>
        <w:pStyle w:val="tekstost"/>
        <w:rPr>
          <w:rFonts w:ascii="Calibri" w:hAnsi="Calibri" w:cs="Calibri"/>
        </w:rPr>
      </w:pPr>
      <w:r w:rsidRPr="00203191">
        <w:rPr>
          <w:rFonts w:ascii="Calibri" w:hAnsi="Calibri" w:cs="Calibri"/>
        </w:rPr>
        <w:t>Uziarnienie mieszanki powinno być zgodne z wymaganiami podanymi w pkt 2. Próbki należy pobierać w sposób losowy, z rozłożonej warstwy, przed jej zagęszczeniem. Wyniki badań powinny być na bieżąco przekazywane Inżynierowi.</w:t>
      </w:r>
    </w:p>
    <w:p w:rsidR="00656AC1" w:rsidRPr="00203191" w:rsidRDefault="00656AC1" w:rsidP="00364E4D">
      <w:pPr>
        <w:pStyle w:val="tekstost"/>
        <w:rPr>
          <w:rFonts w:ascii="Calibri" w:hAnsi="Calibri" w:cs="Calibri"/>
          <w:b/>
          <w:bCs/>
          <w:i/>
          <w:iCs/>
        </w:rPr>
      </w:pPr>
      <w:r w:rsidRPr="00203191">
        <w:rPr>
          <w:rFonts w:ascii="Calibri" w:hAnsi="Calibri" w:cs="Calibri"/>
          <w:b/>
          <w:bCs/>
          <w:i/>
          <w:iCs/>
        </w:rPr>
        <w:t xml:space="preserve">6.3.3. Wilgotność mieszanki </w:t>
      </w:r>
    </w:p>
    <w:p w:rsidR="00656AC1" w:rsidRPr="00203191" w:rsidRDefault="00656AC1" w:rsidP="00364E4D">
      <w:pPr>
        <w:pStyle w:val="tekstost"/>
        <w:rPr>
          <w:rFonts w:ascii="Calibri" w:hAnsi="Calibri" w:cs="Calibri"/>
        </w:rPr>
      </w:pPr>
      <w:r w:rsidRPr="00203191">
        <w:rPr>
          <w:rFonts w:ascii="Calibri" w:hAnsi="Calibri" w:cs="Calibri"/>
        </w:rPr>
        <w:t>Wilgotność mieszanki powinna odpowiadać wilgotności optymalnej, określonej według próby Proctora, zgodnie z PN-B-04481 (metoda II), z tolerancją +10% -20%.</w:t>
      </w:r>
    </w:p>
    <w:p w:rsidR="00656AC1" w:rsidRPr="00203191" w:rsidRDefault="00656AC1" w:rsidP="00364E4D">
      <w:pPr>
        <w:pStyle w:val="tekstost"/>
        <w:rPr>
          <w:rFonts w:ascii="Calibri" w:hAnsi="Calibri" w:cs="Calibri"/>
        </w:rPr>
      </w:pPr>
      <w:r w:rsidRPr="00203191">
        <w:rPr>
          <w:rFonts w:ascii="Calibri" w:hAnsi="Calibri" w:cs="Calibri"/>
        </w:rPr>
        <w:t>Wilgotność należy określić według PN-B-06714-17:1977.</w:t>
      </w:r>
    </w:p>
    <w:p w:rsidR="00656AC1" w:rsidRPr="00203191" w:rsidRDefault="00656AC1" w:rsidP="00364E4D">
      <w:pPr>
        <w:pStyle w:val="tekstost"/>
        <w:rPr>
          <w:rFonts w:ascii="Calibri" w:hAnsi="Calibri" w:cs="Calibri"/>
          <w:b/>
          <w:bCs/>
          <w:i/>
          <w:iCs/>
        </w:rPr>
      </w:pPr>
      <w:r w:rsidRPr="00203191">
        <w:rPr>
          <w:rFonts w:ascii="Calibri" w:hAnsi="Calibri" w:cs="Calibri"/>
          <w:b/>
          <w:bCs/>
          <w:i/>
          <w:iCs/>
        </w:rPr>
        <w:t>6.3.4. Zagęszczenie podbudowy</w:t>
      </w:r>
    </w:p>
    <w:p w:rsidR="00656AC1" w:rsidRPr="00203191" w:rsidRDefault="00656AC1" w:rsidP="00364E4D">
      <w:pPr>
        <w:pStyle w:val="tekstost"/>
        <w:rPr>
          <w:rFonts w:ascii="Calibri" w:hAnsi="Calibri" w:cs="Calibri"/>
        </w:rPr>
      </w:pPr>
      <w:r w:rsidRPr="00203191">
        <w:rPr>
          <w:rFonts w:ascii="Calibri" w:hAnsi="Calibri" w:cs="Calibri"/>
        </w:rPr>
        <w:t>Zagęszczenie każdej warstwy powinno odbywać się aż do osiągnięcia wymaganego wskaźnika zagęszczenia.</w:t>
      </w:r>
    </w:p>
    <w:p w:rsidR="00656AC1" w:rsidRPr="00203191" w:rsidRDefault="00656AC1" w:rsidP="00364E4D">
      <w:pPr>
        <w:pStyle w:val="tekstost"/>
        <w:rPr>
          <w:rFonts w:ascii="Calibri" w:hAnsi="Calibri" w:cs="Calibri"/>
        </w:rPr>
      </w:pPr>
      <w:r w:rsidRPr="00203191">
        <w:rPr>
          <w:rFonts w:ascii="Calibri" w:hAnsi="Calibri" w:cs="Calibri"/>
        </w:rPr>
        <w:t xml:space="preserve">Zagęszczenie podbudowy należy sprawdzać według BN-77/8931-12. W przypadku, gdy przeprowadzenie badania jest niemożliwe ze względu na gruboziarniste kruszywo, kontrolę zagęszczenia należy oprzeć na metodzie obciążeń </w:t>
      </w:r>
      <w:r w:rsidRPr="00203191">
        <w:rPr>
          <w:rFonts w:ascii="Calibri" w:hAnsi="Calibri" w:cs="Calibri"/>
        </w:rPr>
        <w:lastRenderedPageBreak/>
        <w:t>płytowych, wg wytycznych GDDKiA - pisma DODP-22/4100/215/98 i nie rzadziej niż raz na 5000 m</w:t>
      </w:r>
      <w:r w:rsidRPr="00203191">
        <w:rPr>
          <w:rFonts w:ascii="Calibri" w:hAnsi="Calibri" w:cs="Calibri"/>
          <w:vertAlign w:val="superscript"/>
        </w:rPr>
        <w:t>2</w:t>
      </w:r>
      <w:r w:rsidRPr="00203191">
        <w:rPr>
          <w:rFonts w:ascii="Calibri" w:hAnsi="Calibri" w:cs="Calibri"/>
        </w:rPr>
        <w:t>, lub według zaleceń Inżyniera.</w:t>
      </w:r>
    </w:p>
    <w:p w:rsidR="00656AC1" w:rsidRPr="00203191" w:rsidRDefault="00656AC1" w:rsidP="00364E4D">
      <w:pPr>
        <w:pStyle w:val="tekstost"/>
        <w:rPr>
          <w:rFonts w:ascii="Calibri" w:hAnsi="Calibri" w:cs="Calibri"/>
        </w:rPr>
      </w:pPr>
      <w:r w:rsidRPr="00203191">
        <w:rPr>
          <w:rFonts w:ascii="Calibri" w:hAnsi="Calibri" w:cs="Calibri"/>
        </w:rPr>
        <w:t xml:space="preserve">Zagęszczenie podbudowy stabilizowanej mechanicznie należy uznać za prawidłowe, gdy stosunek wtórnego modułu </w:t>
      </w:r>
      <w:r w:rsidRPr="00203191">
        <w:rPr>
          <w:rFonts w:ascii="Calibri" w:hAnsi="Calibri" w:cs="Calibri"/>
          <w:i/>
          <w:iCs/>
        </w:rPr>
        <w:t>E</w:t>
      </w:r>
      <w:r w:rsidRPr="00203191">
        <w:rPr>
          <w:rFonts w:ascii="Calibri" w:hAnsi="Calibri" w:cs="Calibri"/>
          <w:vertAlign w:val="subscript"/>
        </w:rPr>
        <w:t>2</w:t>
      </w:r>
      <w:r w:rsidRPr="00203191">
        <w:rPr>
          <w:rFonts w:ascii="Calibri" w:hAnsi="Calibri" w:cs="Calibri"/>
        </w:rPr>
        <w:t xml:space="preserve"> do pierwotnego modułu odkształcenia </w:t>
      </w:r>
      <w:r w:rsidRPr="00203191">
        <w:rPr>
          <w:rFonts w:ascii="Calibri" w:hAnsi="Calibri" w:cs="Calibri"/>
          <w:i/>
          <w:iCs/>
        </w:rPr>
        <w:t>E</w:t>
      </w:r>
      <w:r w:rsidRPr="00203191">
        <w:rPr>
          <w:rFonts w:ascii="Calibri" w:hAnsi="Calibri" w:cs="Calibri"/>
          <w:vertAlign w:val="subscript"/>
        </w:rPr>
        <w:t>1</w:t>
      </w:r>
      <w:r w:rsidRPr="00203191">
        <w:rPr>
          <w:rFonts w:ascii="Calibri" w:hAnsi="Calibri" w:cs="Calibri"/>
        </w:rPr>
        <w:t xml:space="preserve"> jest nie większy od 2,2 dla każdej warstwy konstrukcyjnej podbudowy.</w:t>
      </w:r>
    </w:p>
    <w:p w:rsidR="00656AC1" w:rsidRPr="00203191" w:rsidRDefault="00656AC1" w:rsidP="00364E4D">
      <w:pPr>
        <w:pStyle w:val="tekstost"/>
        <w:rPr>
          <w:rFonts w:ascii="Calibri" w:hAnsi="Calibri" w:cs="Calibri"/>
        </w:rPr>
      </w:pPr>
      <w:r w:rsidRPr="00203191">
        <w:rPr>
          <w:rFonts w:ascii="Calibri" w:hAnsi="Calibri" w:cs="Calibri"/>
          <w:position w:val="-28"/>
        </w:rPr>
        <w:object w:dxaOrig="340" w:dyaOrig="680">
          <v:shape id="_x0000_i1032" type="#_x0000_t75" style="width:17.25pt;height:34.5pt" o:ole="">
            <v:imagedata r:id="rId25" o:title=""/>
          </v:shape>
          <o:OLEObject Type="Embed" ProgID="Equation.3" ShapeID="_x0000_i1032" DrawAspect="Content" ObjectID="_1533961228" r:id="rId26"/>
        </w:object>
      </w:r>
      <w:r w:rsidRPr="00203191">
        <w:rPr>
          <w:rFonts w:ascii="Calibri" w:hAnsi="Calibri" w:cs="Calibri"/>
        </w:rPr>
        <w:t xml:space="preserve">  </w:t>
      </w:r>
      <w:r>
        <w:rPr>
          <w:rFonts w:ascii="Calibri" w:hAnsi="Calibri" w:cs="Calibri"/>
        </w:rPr>
        <w:t>≤</w:t>
      </w:r>
      <w:r w:rsidRPr="00203191">
        <w:rPr>
          <w:rFonts w:ascii="Calibri" w:hAnsi="Calibri" w:cs="Calibri"/>
        </w:rPr>
        <w:t xml:space="preserve">   2,2</w:t>
      </w:r>
    </w:p>
    <w:p w:rsidR="00656AC1" w:rsidRPr="00203191" w:rsidRDefault="00656AC1" w:rsidP="00364E4D">
      <w:pPr>
        <w:pStyle w:val="tekstost"/>
        <w:rPr>
          <w:rFonts w:ascii="Calibri" w:hAnsi="Calibri" w:cs="Calibri"/>
          <w:b/>
          <w:bCs/>
          <w:i/>
          <w:iCs/>
        </w:rPr>
      </w:pPr>
      <w:r w:rsidRPr="00203191">
        <w:rPr>
          <w:rFonts w:ascii="Calibri" w:hAnsi="Calibri" w:cs="Calibri"/>
          <w:b/>
          <w:bCs/>
          <w:i/>
          <w:iCs/>
        </w:rPr>
        <w:t>6.3.5. Właściwości kruszywa</w:t>
      </w:r>
    </w:p>
    <w:p w:rsidR="00656AC1" w:rsidRPr="00203191" w:rsidRDefault="00656AC1" w:rsidP="00364E4D">
      <w:pPr>
        <w:pStyle w:val="tekstost"/>
        <w:rPr>
          <w:rFonts w:ascii="Calibri" w:hAnsi="Calibri" w:cs="Calibri"/>
        </w:rPr>
      </w:pPr>
      <w:r w:rsidRPr="00203191">
        <w:rPr>
          <w:rFonts w:ascii="Calibri" w:hAnsi="Calibri" w:cs="Calibri"/>
        </w:rPr>
        <w:t>Badania kruszywa powinny obejmować ocenę wszystkich właściwości określonych w pkt 2.</w:t>
      </w:r>
    </w:p>
    <w:p w:rsidR="00656AC1" w:rsidRPr="00203191" w:rsidRDefault="00656AC1" w:rsidP="00364E4D">
      <w:pPr>
        <w:pStyle w:val="tekstost"/>
        <w:rPr>
          <w:rFonts w:ascii="Calibri" w:hAnsi="Calibri" w:cs="Calibri"/>
        </w:rPr>
      </w:pPr>
      <w:r w:rsidRPr="00203191">
        <w:rPr>
          <w:rFonts w:ascii="Calibri" w:hAnsi="Calibri" w:cs="Calibri"/>
        </w:rPr>
        <w:t>Próbki do badań pełnych powinny być pobierane przez Wykonawcę w sposób losowy w obecności Inżyniera.</w:t>
      </w:r>
    </w:p>
    <w:p w:rsidR="00656AC1" w:rsidRPr="00203191" w:rsidRDefault="00656AC1" w:rsidP="00364E4D">
      <w:pPr>
        <w:pStyle w:val="Nagwek4"/>
        <w:rPr>
          <w:rFonts w:ascii="Calibri" w:hAnsi="Calibri" w:cs="Calibri"/>
        </w:rPr>
      </w:pPr>
      <w:r w:rsidRPr="00203191">
        <w:rPr>
          <w:rFonts w:ascii="Calibri" w:hAnsi="Calibri" w:cs="Calibri"/>
        </w:rPr>
        <w:t xml:space="preserve">6.4. Wymagania dotyczące cech geometrycznych podbudowy </w:t>
      </w:r>
    </w:p>
    <w:p w:rsidR="00656AC1" w:rsidRPr="00203191" w:rsidRDefault="00656AC1" w:rsidP="00364E4D">
      <w:pPr>
        <w:rPr>
          <w:rFonts w:ascii="Calibri" w:hAnsi="Calibri" w:cs="Calibri"/>
          <w:b/>
          <w:bCs/>
          <w:i/>
          <w:iCs/>
        </w:rPr>
      </w:pPr>
      <w:r w:rsidRPr="00203191">
        <w:rPr>
          <w:rFonts w:ascii="Calibri" w:hAnsi="Calibri" w:cs="Calibri"/>
          <w:b/>
          <w:bCs/>
          <w:i/>
          <w:iCs/>
        </w:rPr>
        <w:t>6.4.1. Częstotliwość oraz zakres pomiarów</w:t>
      </w:r>
    </w:p>
    <w:p w:rsidR="00656AC1" w:rsidRPr="00203191" w:rsidRDefault="00656AC1" w:rsidP="00364E4D">
      <w:pPr>
        <w:rPr>
          <w:rFonts w:ascii="Calibri" w:hAnsi="Calibri" w:cs="Calibri"/>
        </w:rPr>
      </w:pPr>
      <w:r w:rsidRPr="00203191">
        <w:rPr>
          <w:rFonts w:ascii="Calibri" w:hAnsi="Calibri" w:cs="Calibri"/>
        </w:rPr>
        <w:t xml:space="preserve"> Częstotliwość oraz zakres pomiarów dotyczących cech geometrycznych podbudowy  podano w  tablicy </w:t>
      </w:r>
      <w:r w:rsidR="006C5E54">
        <w:rPr>
          <w:rFonts w:ascii="Calibri" w:hAnsi="Calibri" w:cs="Calibri"/>
        </w:rPr>
        <w:t>8</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 xml:space="preserve">Tablica </w:t>
      </w:r>
      <w:r w:rsidR="006C5E54">
        <w:rPr>
          <w:rFonts w:ascii="Calibri" w:hAnsi="Calibri" w:cs="Calibri"/>
        </w:rPr>
        <w:t>8</w:t>
      </w:r>
      <w:r w:rsidRPr="00203191">
        <w:rPr>
          <w:rFonts w:ascii="Calibri" w:hAnsi="Calibri" w:cs="Calibri"/>
        </w:rPr>
        <w:t>. Częstotliwość oraz zakres pomiarów wykonanej podbudowy z kruszywa stabilizowanego mechanicznie</w:t>
      </w:r>
    </w:p>
    <w:tbl>
      <w:tblPr>
        <w:tblW w:w="0" w:type="auto"/>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37"/>
        <w:gridCol w:w="3467"/>
        <w:gridCol w:w="5605"/>
      </w:tblGrid>
      <w:tr w:rsidR="00656AC1" w:rsidRPr="00203191">
        <w:tc>
          <w:tcPr>
            <w:tcW w:w="637" w:type="dxa"/>
            <w:tcBorders>
              <w:bottom w:val="double" w:sz="6" w:space="0" w:color="auto"/>
            </w:tcBorders>
          </w:tcPr>
          <w:p w:rsidR="00656AC1" w:rsidRPr="00203191" w:rsidRDefault="00656AC1" w:rsidP="00364E4D">
            <w:pPr>
              <w:rPr>
                <w:rFonts w:ascii="Calibri" w:hAnsi="Calibri" w:cs="Calibri"/>
                <w:b/>
                <w:bCs/>
              </w:rPr>
            </w:pPr>
            <w:r w:rsidRPr="00203191">
              <w:rPr>
                <w:rFonts w:ascii="Calibri" w:hAnsi="Calibri" w:cs="Calibri"/>
              </w:rPr>
              <w:t>Lp.</w:t>
            </w:r>
          </w:p>
        </w:tc>
        <w:tc>
          <w:tcPr>
            <w:tcW w:w="3467" w:type="dxa"/>
            <w:tcBorders>
              <w:bottom w:val="double" w:sz="6" w:space="0" w:color="auto"/>
            </w:tcBorders>
          </w:tcPr>
          <w:p w:rsidR="00656AC1" w:rsidRPr="00203191" w:rsidRDefault="00656AC1" w:rsidP="00364E4D">
            <w:pPr>
              <w:rPr>
                <w:rFonts w:ascii="Calibri" w:hAnsi="Calibri" w:cs="Calibri"/>
                <w:b/>
                <w:bCs/>
              </w:rPr>
            </w:pPr>
            <w:r w:rsidRPr="00203191">
              <w:rPr>
                <w:rFonts w:ascii="Calibri" w:hAnsi="Calibri" w:cs="Calibri"/>
              </w:rPr>
              <w:t>Wyszczególnienie badań i pomiarów</w:t>
            </w:r>
          </w:p>
        </w:tc>
        <w:tc>
          <w:tcPr>
            <w:tcW w:w="5605" w:type="dxa"/>
            <w:tcBorders>
              <w:bottom w:val="double" w:sz="6" w:space="0" w:color="auto"/>
            </w:tcBorders>
          </w:tcPr>
          <w:p w:rsidR="00656AC1" w:rsidRPr="00203191" w:rsidRDefault="00656AC1" w:rsidP="00364E4D">
            <w:pPr>
              <w:rPr>
                <w:rFonts w:ascii="Calibri" w:hAnsi="Calibri" w:cs="Calibri"/>
                <w:b/>
                <w:bCs/>
              </w:rPr>
            </w:pPr>
            <w:r w:rsidRPr="00203191">
              <w:rPr>
                <w:rFonts w:ascii="Calibri" w:hAnsi="Calibri" w:cs="Calibri"/>
              </w:rPr>
              <w:t>Minimalna częstotliwość pomiarów</w:t>
            </w:r>
          </w:p>
        </w:tc>
      </w:tr>
      <w:tr w:rsidR="00656AC1" w:rsidRPr="00203191">
        <w:tc>
          <w:tcPr>
            <w:tcW w:w="637" w:type="dxa"/>
            <w:tcBorders>
              <w:top w:val="nil"/>
            </w:tcBorders>
          </w:tcPr>
          <w:p w:rsidR="00656AC1" w:rsidRPr="00203191" w:rsidRDefault="00656AC1" w:rsidP="00364E4D">
            <w:pPr>
              <w:rPr>
                <w:rFonts w:ascii="Calibri" w:hAnsi="Calibri" w:cs="Calibri"/>
                <w:b/>
                <w:bCs/>
              </w:rPr>
            </w:pPr>
            <w:r w:rsidRPr="00203191">
              <w:rPr>
                <w:rFonts w:ascii="Calibri" w:hAnsi="Calibri" w:cs="Calibri"/>
              </w:rPr>
              <w:t>1</w:t>
            </w:r>
          </w:p>
        </w:tc>
        <w:tc>
          <w:tcPr>
            <w:tcW w:w="3467" w:type="dxa"/>
            <w:tcBorders>
              <w:top w:val="nil"/>
            </w:tcBorders>
          </w:tcPr>
          <w:p w:rsidR="00656AC1" w:rsidRPr="00203191" w:rsidRDefault="00656AC1" w:rsidP="00364E4D">
            <w:pPr>
              <w:rPr>
                <w:rFonts w:ascii="Calibri" w:hAnsi="Calibri" w:cs="Calibri"/>
                <w:b/>
                <w:bCs/>
              </w:rPr>
            </w:pPr>
            <w:r w:rsidRPr="00203191">
              <w:rPr>
                <w:rFonts w:ascii="Calibri" w:hAnsi="Calibri" w:cs="Calibri"/>
              </w:rPr>
              <w:t xml:space="preserve">Szerokość podbudowy </w:t>
            </w:r>
          </w:p>
        </w:tc>
        <w:tc>
          <w:tcPr>
            <w:tcW w:w="5605" w:type="dxa"/>
            <w:tcBorders>
              <w:top w:val="nil"/>
            </w:tcBorders>
          </w:tcPr>
          <w:p w:rsidR="00656AC1" w:rsidRPr="00C16E0E" w:rsidRDefault="00C16E0E" w:rsidP="00364E4D">
            <w:pPr>
              <w:rPr>
                <w:rFonts w:ascii="Calibri" w:hAnsi="Calibri" w:cs="Calibri"/>
                <w:bCs/>
              </w:rPr>
            </w:pPr>
            <w:r w:rsidRPr="00C16E0E">
              <w:rPr>
                <w:rFonts w:ascii="Calibri" w:hAnsi="Calibri" w:cs="Calibri"/>
                <w:bCs/>
              </w:rPr>
              <w:t>Co 20 m</w:t>
            </w:r>
          </w:p>
        </w:tc>
      </w:tr>
      <w:tr w:rsidR="00656AC1" w:rsidRPr="00203191">
        <w:tc>
          <w:tcPr>
            <w:tcW w:w="637" w:type="dxa"/>
          </w:tcPr>
          <w:p w:rsidR="00656AC1" w:rsidRPr="00203191" w:rsidRDefault="00656AC1" w:rsidP="00364E4D">
            <w:pPr>
              <w:rPr>
                <w:rFonts w:ascii="Calibri" w:hAnsi="Calibri" w:cs="Calibri"/>
                <w:b/>
                <w:bCs/>
              </w:rPr>
            </w:pPr>
            <w:r w:rsidRPr="00203191">
              <w:rPr>
                <w:rFonts w:ascii="Calibri" w:hAnsi="Calibri" w:cs="Calibri"/>
              </w:rPr>
              <w:t>2</w:t>
            </w:r>
          </w:p>
        </w:tc>
        <w:tc>
          <w:tcPr>
            <w:tcW w:w="3467" w:type="dxa"/>
          </w:tcPr>
          <w:p w:rsidR="00656AC1" w:rsidRPr="00203191" w:rsidRDefault="00656AC1" w:rsidP="00364E4D">
            <w:pPr>
              <w:rPr>
                <w:rFonts w:ascii="Calibri" w:hAnsi="Calibri" w:cs="Calibri"/>
                <w:b/>
                <w:bCs/>
              </w:rPr>
            </w:pPr>
            <w:r w:rsidRPr="00203191">
              <w:rPr>
                <w:rFonts w:ascii="Calibri" w:hAnsi="Calibri" w:cs="Calibri"/>
              </w:rPr>
              <w:t>Równość podłużna</w:t>
            </w:r>
          </w:p>
        </w:tc>
        <w:tc>
          <w:tcPr>
            <w:tcW w:w="5605" w:type="dxa"/>
          </w:tcPr>
          <w:p w:rsidR="00656AC1" w:rsidRPr="00203191" w:rsidRDefault="00656AC1" w:rsidP="00C16E0E">
            <w:pPr>
              <w:rPr>
                <w:rFonts w:ascii="Calibri" w:hAnsi="Calibri" w:cs="Calibri"/>
                <w:b/>
                <w:bCs/>
              </w:rPr>
            </w:pPr>
            <w:r w:rsidRPr="00203191">
              <w:rPr>
                <w:rFonts w:ascii="Calibri" w:hAnsi="Calibri" w:cs="Calibri"/>
              </w:rPr>
              <w:t xml:space="preserve">co 20 m łatą </w:t>
            </w:r>
          </w:p>
        </w:tc>
      </w:tr>
      <w:tr w:rsidR="00656AC1" w:rsidRPr="00203191">
        <w:tc>
          <w:tcPr>
            <w:tcW w:w="637" w:type="dxa"/>
          </w:tcPr>
          <w:p w:rsidR="00656AC1" w:rsidRPr="00203191" w:rsidRDefault="00656AC1" w:rsidP="00364E4D">
            <w:pPr>
              <w:rPr>
                <w:rFonts w:ascii="Calibri" w:hAnsi="Calibri" w:cs="Calibri"/>
                <w:b/>
                <w:bCs/>
              </w:rPr>
            </w:pPr>
            <w:r w:rsidRPr="00203191">
              <w:rPr>
                <w:rFonts w:ascii="Calibri" w:hAnsi="Calibri" w:cs="Calibri"/>
              </w:rPr>
              <w:t>3</w:t>
            </w:r>
          </w:p>
        </w:tc>
        <w:tc>
          <w:tcPr>
            <w:tcW w:w="3467" w:type="dxa"/>
          </w:tcPr>
          <w:p w:rsidR="00656AC1" w:rsidRPr="00203191" w:rsidRDefault="00656AC1" w:rsidP="00364E4D">
            <w:pPr>
              <w:rPr>
                <w:rFonts w:ascii="Calibri" w:hAnsi="Calibri" w:cs="Calibri"/>
                <w:b/>
                <w:bCs/>
              </w:rPr>
            </w:pPr>
            <w:r w:rsidRPr="00203191">
              <w:rPr>
                <w:rFonts w:ascii="Calibri" w:hAnsi="Calibri" w:cs="Calibri"/>
              </w:rPr>
              <w:t>Równość poprzeczna</w:t>
            </w:r>
          </w:p>
        </w:tc>
        <w:tc>
          <w:tcPr>
            <w:tcW w:w="5605" w:type="dxa"/>
          </w:tcPr>
          <w:p w:rsidR="00656AC1" w:rsidRPr="00203191" w:rsidRDefault="00C16E0E" w:rsidP="00364E4D">
            <w:pPr>
              <w:rPr>
                <w:rFonts w:ascii="Calibri" w:hAnsi="Calibri" w:cs="Calibri"/>
                <w:b/>
                <w:bCs/>
              </w:rPr>
            </w:pPr>
            <w:r w:rsidRPr="00C16E0E">
              <w:rPr>
                <w:rFonts w:ascii="Calibri" w:hAnsi="Calibri" w:cs="Calibri"/>
                <w:bCs/>
              </w:rPr>
              <w:t>Co 20 m</w:t>
            </w:r>
          </w:p>
        </w:tc>
      </w:tr>
      <w:tr w:rsidR="00656AC1" w:rsidRPr="00203191">
        <w:tc>
          <w:tcPr>
            <w:tcW w:w="637" w:type="dxa"/>
          </w:tcPr>
          <w:p w:rsidR="00656AC1" w:rsidRPr="00203191" w:rsidRDefault="00656AC1" w:rsidP="00364E4D">
            <w:pPr>
              <w:rPr>
                <w:rFonts w:ascii="Calibri" w:hAnsi="Calibri" w:cs="Calibri"/>
                <w:b/>
                <w:bCs/>
              </w:rPr>
            </w:pPr>
            <w:r w:rsidRPr="00203191">
              <w:rPr>
                <w:rFonts w:ascii="Calibri" w:hAnsi="Calibri" w:cs="Calibri"/>
              </w:rPr>
              <w:t>4</w:t>
            </w:r>
          </w:p>
        </w:tc>
        <w:tc>
          <w:tcPr>
            <w:tcW w:w="3467" w:type="dxa"/>
          </w:tcPr>
          <w:p w:rsidR="00656AC1" w:rsidRPr="00203191" w:rsidRDefault="00656AC1" w:rsidP="00364E4D">
            <w:pPr>
              <w:rPr>
                <w:rFonts w:ascii="Calibri" w:hAnsi="Calibri" w:cs="Calibri"/>
                <w:b/>
                <w:bCs/>
              </w:rPr>
            </w:pPr>
            <w:r w:rsidRPr="00203191">
              <w:rPr>
                <w:rFonts w:ascii="Calibri" w:hAnsi="Calibri" w:cs="Calibri"/>
              </w:rPr>
              <w:t>Spadki poprzeczne*</w:t>
            </w:r>
            <w:r w:rsidRPr="00203191">
              <w:rPr>
                <w:rFonts w:ascii="Calibri" w:hAnsi="Calibri" w:cs="Calibri"/>
                <w:vertAlign w:val="superscript"/>
              </w:rPr>
              <w:t>)</w:t>
            </w:r>
          </w:p>
        </w:tc>
        <w:tc>
          <w:tcPr>
            <w:tcW w:w="5605" w:type="dxa"/>
            <w:tcBorders>
              <w:bottom w:val="nil"/>
            </w:tcBorders>
          </w:tcPr>
          <w:p w:rsidR="00656AC1" w:rsidRPr="00203191" w:rsidRDefault="00C16E0E" w:rsidP="00364E4D">
            <w:pPr>
              <w:rPr>
                <w:rFonts w:ascii="Calibri" w:hAnsi="Calibri" w:cs="Calibri"/>
                <w:b/>
                <w:bCs/>
              </w:rPr>
            </w:pPr>
            <w:r w:rsidRPr="00C16E0E">
              <w:rPr>
                <w:rFonts w:ascii="Calibri" w:hAnsi="Calibri" w:cs="Calibri"/>
                <w:bCs/>
              </w:rPr>
              <w:t>Co 20 m</w:t>
            </w:r>
          </w:p>
        </w:tc>
      </w:tr>
      <w:tr w:rsidR="00656AC1" w:rsidRPr="00203191">
        <w:tc>
          <w:tcPr>
            <w:tcW w:w="637" w:type="dxa"/>
          </w:tcPr>
          <w:p w:rsidR="00656AC1" w:rsidRPr="00203191" w:rsidRDefault="00656AC1" w:rsidP="00364E4D">
            <w:pPr>
              <w:rPr>
                <w:rFonts w:ascii="Calibri" w:hAnsi="Calibri" w:cs="Calibri"/>
                <w:b/>
                <w:bCs/>
              </w:rPr>
            </w:pPr>
            <w:r w:rsidRPr="00203191">
              <w:rPr>
                <w:rFonts w:ascii="Calibri" w:hAnsi="Calibri" w:cs="Calibri"/>
              </w:rPr>
              <w:t>5</w:t>
            </w:r>
          </w:p>
        </w:tc>
        <w:tc>
          <w:tcPr>
            <w:tcW w:w="3467" w:type="dxa"/>
          </w:tcPr>
          <w:p w:rsidR="00656AC1" w:rsidRPr="00203191" w:rsidRDefault="00656AC1" w:rsidP="00364E4D">
            <w:pPr>
              <w:rPr>
                <w:rFonts w:ascii="Calibri" w:hAnsi="Calibri" w:cs="Calibri"/>
                <w:b/>
                <w:bCs/>
              </w:rPr>
            </w:pPr>
            <w:r w:rsidRPr="00203191">
              <w:rPr>
                <w:rFonts w:ascii="Calibri" w:hAnsi="Calibri" w:cs="Calibri"/>
              </w:rPr>
              <w:t>Rzędne wysokościowe</w:t>
            </w:r>
          </w:p>
        </w:tc>
        <w:tc>
          <w:tcPr>
            <w:tcW w:w="5605" w:type="dxa"/>
          </w:tcPr>
          <w:p w:rsidR="00656AC1" w:rsidRPr="00203191" w:rsidRDefault="00C16E0E" w:rsidP="00364E4D">
            <w:pPr>
              <w:rPr>
                <w:rFonts w:ascii="Calibri" w:hAnsi="Calibri" w:cs="Calibri"/>
              </w:rPr>
            </w:pPr>
            <w:r w:rsidRPr="00C16E0E">
              <w:rPr>
                <w:rFonts w:ascii="Calibri" w:hAnsi="Calibri" w:cs="Calibri"/>
                <w:bCs/>
              </w:rPr>
              <w:t>Co 20 m</w:t>
            </w:r>
          </w:p>
        </w:tc>
      </w:tr>
      <w:tr w:rsidR="00656AC1" w:rsidRPr="00203191">
        <w:tc>
          <w:tcPr>
            <w:tcW w:w="637" w:type="dxa"/>
          </w:tcPr>
          <w:p w:rsidR="00656AC1" w:rsidRPr="00203191" w:rsidRDefault="00656AC1" w:rsidP="00364E4D">
            <w:pPr>
              <w:rPr>
                <w:rFonts w:ascii="Calibri" w:hAnsi="Calibri" w:cs="Calibri"/>
                <w:b/>
                <w:bCs/>
              </w:rPr>
            </w:pPr>
            <w:r w:rsidRPr="00203191">
              <w:rPr>
                <w:rFonts w:ascii="Calibri" w:hAnsi="Calibri" w:cs="Calibri"/>
              </w:rPr>
              <w:t>6</w:t>
            </w:r>
          </w:p>
        </w:tc>
        <w:tc>
          <w:tcPr>
            <w:tcW w:w="3467" w:type="dxa"/>
          </w:tcPr>
          <w:p w:rsidR="00656AC1" w:rsidRPr="00203191" w:rsidRDefault="00656AC1" w:rsidP="00364E4D">
            <w:pPr>
              <w:rPr>
                <w:rFonts w:ascii="Calibri" w:hAnsi="Calibri" w:cs="Calibri"/>
                <w:b/>
                <w:bCs/>
              </w:rPr>
            </w:pPr>
            <w:r w:rsidRPr="00203191">
              <w:rPr>
                <w:rFonts w:ascii="Calibri" w:hAnsi="Calibri" w:cs="Calibri"/>
              </w:rPr>
              <w:t>Ukształtowanie osi w planie*</w:t>
            </w:r>
            <w:r w:rsidRPr="00203191">
              <w:rPr>
                <w:rFonts w:ascii="Calibri" w:hAnsi="Calibri" w:cs="Calibri"/>
                <w:vertAlign w:val="superscript"/>
              </w:rPr>
              <w:t>)</w:t>
            </w:r>
          </w:p>
        </w:tc>
        <w:tc>
          <w:tcPr>
            <w:tcW w:w="5605" w:type="dxa"/>
            <w:tcBorders>
              <w:top w:val="nil"/>
            </w:tcBorders>
          </w:tcPr>
          <w:p w:rsidR="00656AC1" w:rsidRPr="00203191" w:rsidRDefault="00C16E0E" w:rsidP="00364E4D">
            <w:pPr>
              <w:rPr>
                <w:rFonts w:ascii="Calibri" w:hAnsi="Calibri" w:cs="Calibri"/>
                <w:b/>
                <w:bCs/>
              </w:rPr>
            </w:pPr>
            <w:r w:rsidRPr="00C16E0E">
              <w:rPr>
                <w:rFonts w:ascii="Calibri" w:hAnsi="Calibri" w:cs="Calibri"/>
                <w:bCs/>
              </w:rPr>
              <w:t>Co 20 m</w:t>
            </w:r>
          </w:p>
        </w:tc>
      </w:tr>
      <w:tr w:rsidR="00656AC1" w:rsidRPr="00203191">
        <w:tc>
          <w:tcPr>
            <w:tcW w:w="637" w:type="dxa"/>
          </w:tcPr>
          <w:p w:rsidR="00656AC1" w:rsidRPr="00203191" w:rsidRDefault="00656AC1" w:rsidP="00364E4D">
            <w:pPr>
              <w:rPr>
                <w:rFonts w:ascii="Calibri" w:hAnsi="Calibri" w:cs="Calibri"/>
                <w:b/>
                <w:bCs/>
              </w:rPr>
            </w:pPr>
            <w:r w:rsidRPr="00203191">
              <w:rPr>
                <w:rFonts w:ascii="Calibri" w:hAnsi="Calibri" w:cs="Calibri"/>
              </w:rPr>
              <w:t>7</w:t>
            </w:r>
          </w:p>
        </w:tc>
        <w:tc>
          <w:tcPr>
            <w:tcW w:w="3467" w:type="dxa"/>
          </w:tcPr>
          <w:p w:rsidR="00656AC1" w:rsidRPr="00203191" w:rsidRDefault="00656AC1" w:rsidP="00364E4D">
            <w:pPr>
              <w:rPr>
                <w:rFonts w:ascii="Calibri" w:hAnsi="Calibri" w:cs="Calibri"/>
                <w:b/>
                <w:bCs/>
              </w:rPr>
            </w:pPr>
            <w:r w:rsidRPr="00203191">
              <w:rPr>
                <w:rFonts w:ascii="Calibri" w:hAnsi="Calibri" w:cs="Calibri"/>
              </w:rPr>
              <w:t xml:space="preserve">Grubość podbudowy </w:t>
            </w:r>
          </w:p>
        </w:tc>
        <w:tc>
          <w:tcPr>
            <w:tcW w:w="5605" w:type="dxa"/>
          </w:tcPr>
          <w:p w:rsidR="00656AC1" w:rsidRPr="00203191" w:rsidRDefault="00656AC1" w:rsidP="00364E4D">
            <w:pPr>
              <w:rPr>
                <w:rFonts w:ascii="Calibri" w:hAnsi="Calibri" w:cs="Calibri"/>
              </w:rPr>
            </w:pPr>
            <w:r w:rsidRPr="00203191">
              <w:rPr>
                <w:rFonts w:ascii="Calibri" w:hAnsi="Calibri" w:cs="Calibri"/>
              </w:rPr>
              <w:t>Podczas budowy:</w:t>
            </w:r>
          </w:p>
          <w:p w:rsidR="00656AC1" w:rsidRPr="00203191" w:rsidRDefault="00656AC1" w:rsidP="00364E4D">
            <w:pPr>
              <w:rPr>
                <w:rFonts w:ascii="Calibri" w:hAnsi="Calibri" w:cs="Calibri"/>
              </w:rPr>
            </w:pPr>
            <w:r w:rsidRPr="00203191">
              <w:rPr>
                <w:rFonts w:ascii="Calibri" w:hAnsi="Calibri" w:cs="Calibri"/>
              </w:rPr>
              <w:t>w 3 punktach na każdej działce roboczej, lecz nie rzadziej niż raz na 400 m</w:t>
            </w:r>
            <w:r w:rsidRPr="00203191">
              <w:rPr>
                <w:rFonts w:ascii="Calibri" w:hAnsi="Calibri" w:cs="Calibri"/>
                <w:vertAlign w:val="superscript"/>
              </w:rPr>
              <w:t>2</w:t>
            </w:r>
          </w:p>
          <w:p w:rsidR="00656AC1" w:rsidRPr="00203191" w:rsidRDefault="00656AC1" w:rsidP="00364E4D">
            <w:pPr>
              <w:rPr>
                <w:rFonts w:ascii="Calibri" w:hAnsi="Calibri" w:cs="Calibri"/>
              </w:rPr>
            </w:pPr>
            <w:r w:rsidRPr="00203191">
              <w:rPr>
                <w:rFonts w:ascii="Calibri" w:hAnsi="Calibri" w:cs="Calibri"/>
              </w:rPr>
              <w:t>Przed odbiorem:</w:t>
            </w:r>
          </w:p>
          <w:p w:rsidR="00656AC1" w:rsidRPr="00203191" w:rsidRDefault="00656AC1" w:rsidP="00C16E0E">
            <w:pPr>
              <w:rPr>
                <w:rFonts w:ascii="Calibri" w:hAnsi="Calibri" w:cs="Calibri"/>
                <w:b/>
                <w:bCs/>
              </w:rPr>
            </w:pPr>
            <w:r w:rsidRPr="00203191">
              <w:rPr>
                <w:rFonts w:ascii="Calibri" w:hAnsi="Calibri" w:cs="Calibri"/>
              </w:rPr>
              <w:t xml:space="preserve">w 3 punktach, lecz nie rzadziej niż raz na </w:t>
            </w:r>
            <w:r w:rsidR="00C16E0E">
              <w:rPr>
                <w:rFonts w:ascii="Calibri" w:hAnsi="Calibri" w:cs="Calibri"/>
              </w:rPr>
              <w:t>1</w:t>
            </w:r>
            <w:r w:rsidRPr="00203191">
              <w:rPr>
                <w:rFonts w:ascii="Calibri" w:hAnsi="Calibri" w:cs="Calibri"/>
              </w:rPr>
              <w:t>000 m</w:t>
            </w:r>
            <w:r w:rsidRPr="00203191">
              <w:rPr>
                <w:rFonts w:ascii="Calibri" w:hAnsi="Calibri" w:cs="Calibri"/>
                <w:vertAlign w:val="superscript"/>
              </w:rPr>
              <w:t>2</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8</w:t>
            </w:r>
          </w:p>
        </w:tc>
        <w:tc>
          <w:tcPr>
            <w:tcW w:w="3467" w:type="dxa"/>
          </w:tcPr>
          <w:p w:rsidR="00656AC1" w:rsidRPr="00203191" w:rsidRDefault="00656AC1" w:rsidP="00364E4D">
            <w:pPr>
              <w:rPr>
                <w:rFonts w:ascii="Calibri" w:hAnsi="Calibri" w:cs="Calibri"/>
              </w:rPr>
            </w:pPr>
            <w:r w:rsidRPr="00203191">
              <w:rPr>
                <w:rFonts w:ascii="Calibri" w:hAnsi="Calibri" w:cs="Calibri"/>
              </w:rPr>
              <w:t>Nośność podbudowy:</w:t>
            </w:r>
          </w:p>
          <w:p w:rsidR="00656AC1" w:rsidRPr="00203191" w:rsidRDefault="00656AC1" w:rsidP="00364E4D">
            <w:pPr>
              <w:rPr>
                <w:rFonts w:ascii="Calibri" w:hAnsi="Calibri" w:cs="Calibri"/>
              </w:rPr>
            </w:pPr>
            <w:r w:rsidRPr="00203191">
              <w:rPr>
                <w:rFonts w:ascii="Calibri" w:hAnsi="Calibri" w:cs="Calibri"/>
              </w:rPr>
              <w:t>- moduł odkształcenia</w:t>
            </w:r>
          </w:p>
          <w:p w:rsidR="00656AC1" w:rsidRPr="00203191" w:rsidRDefault="00656AC1" w:rsidP="00364E4D">
            <w:pPr>
              <w:rPr>
                <w:rFonts w:ascii="Calibri" w:hAnsi="Calibri" w:cs="Calibri"/>
              </w:rPr>
            </w:pPr>
          </w:p>
        </w:tc>
        <w:tc>
          <w:tcPr>
            <w:tcW w:w="5605" w:type="dxa"/>
          </w:tcPr>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 xml:space="preserve">co najmniej w dwóch przekrojach na każde </w:t>
            </w:r>
            <w:r w:rsidR="00C16E0E">
              <w:rPr>
                <w:rFonts w:ascii="Calibri" w:hAnsi="Calibri" w:cs="Calibri"/>
              </w:rPr>
              <w:t>5</w:t>
            </w:r>
            <w:r w:rsidRPr="00203191">
              <w:rPr>
                <w:rFonts w:ascii="Calibri" w:hAnsi="Calibri" w:cs="Calibri"/>
              </w:rPr>
              <w:t>0 m</w:t>
            </w:r>
          </w:p>
          <w:p w:rsidR="00656AC1" w:rsidRPr="00203191" w:rsidRDefault="00656AC1" w:rsidP="00364E4D">
            <w:pPr>
              <w:rPr>
                <w:rFonts w:ascii="Calibri" w:hAnsi="Calibri" w:cs="Calibri"/>
              </w:rPr>
            </w:pPr>
          </w:p>
        </w:tc>
      </w:tr>
    </w:tbl>
    <w:p w:rsidR="00656AC1" w:rsidRPr="00203191" w:rsidRDefault="00656AC1" w:rsidP="00364E4D">
      <w:pPr>
        <w:rPr>
          <w:rFonts w:ascii="Calibri" w:hAnsi="Calibri" w:cs="Calibri"/>
        </w:rPr>
      </w:pPr>
      <w:r w:rsidRPr="00203191">
        <w:rPr>
          <w:rFonts w:ascii="Calibri" w:hAnsi="Calibri" w:cs="Calibri"/>
        </w:rPr>
        <w:t>*) Dodatkowe pomiary spadków poprzecznych i ukształtowania osi w planie należy wykonać w punktach głównych łuków poziomych.</w:t>
      </w:r>
    </w:p>
    <w:p w:rsidR="00656AC1" w:rsidRPr="00203191" w:rsidRDefault="00656AC1" w:rsidP="00364E4D">
      <w:pPr>
        <w:keepNext/>
        <w:rPr>
          <w:rFonts w:ascii="Calibri" w:hAnsi="Calibri" w:cs="Calibri"/>
          <w:b/>
          <w:bCs/>
          <w:i/>
          <w:iCs/>
        </w:rPr>
      </w:pPr>
    </w:p>
    <w:p w:rsidR="00656AC1" w:rsidRPr="00203191" w:rsidRDefault="00656AC1" w:rsidP="00364E4D">
      <w:pPr>
        <w:keepNext/>
        <w:rPr>
          <w:rFonts w:ascii="Calibri" w:hAnsi="Calibri" w:cs="Calibri"/>
          <w:b/>
          <w:bCs/>
          <w:i/>
          <w:iCs/>
        </w:rPr>
      </w:pPr>
      <w:r w:rsidRPr="00203191">
        <w:rPr>
          <w:rFonts w:ascii="Calibri" w:hAnsi="Calibri" w:cs="Calibri"/>
          <w:b/>
          <w:bCs/>
          <w:i/>
          <w:iCs/>
        </w:rPr>
        <w:t xml:space="preserve">6.4.2. Szerokość podbudowy </w:t>
      </w:r>
    </w:p>
    <w:p w:rsidR="00656AC1" w:rsidRPr="00203191" w:rsidRDefault="00656AC1" w:rsidP="00364E4D">
      <w:pPr>
        <w:rPr>
          <w:rFonts w:ascii="Calibri" w:hAnsi="Calibri" w:cs="Calibri"/>
        </w:rPr>
      </w:pPr>
      <w:r w:rsidRPr="00203191">
        <w:rPr>
          <w:rFonts w:ascii="Calibri" w:hAnsi="Calibri" w:cs="Calibri"/>
        </w:rPr>
        <w:t>Szerokość podbudowy nie może różnić się od szerokości projektowanej o więcej niż +10 cm, -5 cm.</w:t>
      </w:r>
    </w:p>
    <w:p w:rsidR="00656AC1" w:rsidRPr="00203191" w:rsidRDefault="00656AC1" w:rsidP="00364E4D">
      <w:pPr>
        <w:rPr>
          <w:rFonts w:ascii="Calibri" w:hAnsi="Calibri" w:cs="Calibri"/>
          <w:b/>
          <w:bCs/>
          <w:i/>
          <w:iCs/>
        </w:rPr>
      </w:pPr>
      <w:r w:rsidRPr="00203191">
        <w:rPr>
          <w:rFonts w:ascii="Calibri" w:hAnsi="Calibri" w:cs="Calibri"/>
          <w:b/>
          <w:bCs/>
          <w:i/>
          <w:iCs/>
        </w:rPr>
        <w:t xml:space="preserve">6.4.3. Równość podbudowy </w:t>
      </w:r>
    </w:p>
    <w:p w:rsidR="00656AC1" w:rsidRPr="00203191" w:rsidRDefault="00656AC1" w:rsidP="00364E4D">
      <w:pPr>
        <w:rPr>
          <w:rFonts w:ascii="Calibri" w:hAnsi="Calibri" w:cs="Calibri"/>
        </w:rPr>
      </w:pPr>
      <w:r w:rsidRPr="00203191">
        <w:rPr>
          <w:rFonts w:ascii="Calibri" w:hAnsi="Calibri" w:cs="Calibri"/>
        </w:rPr>
        <w:t xml:space="preserve">Nierówności podłużne podbudowy należy mierzyć 4-metrową łatą lub planografem, zgodnie z BN-68/8931-04. </w:t>
      </w:r>
    </w:p>
    <w:p w:rsidR="00656AC1" w:rsidRPr="00203191" w:rsidRDefault="00656AC1" w:rsidP="00364E4D">
      <w:pPr>
        <w:rPr>
          <w:rFonts w:ascii="Calibri" w:hAnsi="Calibri" w:cs="Calibri"/>
        </w:rPr>
      </w:pPr>
      <w:r w:rsidRPr="00203191">
        <w:rPr>
          <w:rFonts w:ascii="Calibri" w:hAnsi="Calibri" w:cs="Calibri"/>
        </w:rPr>
        <w:t xml:space="preserve">Nierówności poprzeczne podbudowy należy mierzyć 4-metrową łatą. </w:t>
      </w:r>
    </w:p>
    <w:p w:rsidR="00656AC1" w:rsidRPr="00203191" w:rsidRDefault="00656AC1" w:rsidP="00364E4D">
      <w:pPr>
        <w:rPr>
          <w:rFonts w:ascii="Calibri" w:hAnsi="Calibri" w:cs="Calibri"/>
        </w:rPr>
      </w:pPr>
      <w:r w:rsidRPr="00203191">
        <w:rPr>
          <w:rFonts w:ascii="Calibri" w:hAnsi="Calibri" w:cs="Calibri"/>
        </w:rPr>
        <w:t>Nierówności p</w:t>
      </w:r>
      <w:r w:rsidR="00C16E0E">
        <w:rPr>
          <w:rFonts w:ascii="Calibri" w:hAnsi="Calibri" w:cs="Calibri"/>
        </w:rPr>
        <w:t xml:space="preserve">odbudowy  nie mogą przekraczać </w:t>
      </w:r>
      <w:r w:rsidRPr="00203191">
        <w:rPr>
          <w:rFonts w:ascii="Calibri" w:hAnsi="Calibri" w:cs="Calibri"/>
        </w:rPr>
        <w:t xml:space="preserve">10 mm </w:t>
      </w:r>
    </w:p>
    <w:p w:rsidR="00656AC1" w:rsidRPr="00203191" w:rsidRDefault="00656AC1" w:rsidP="00364E4D">
      <w:pPr>
        <w:rPr>
          <w:rFonts w:ascii="Calibri" w:hAnsi="Calibri" w:cs="Calibri"/>
          <w:b/>
          <w:bCs/>
          <w:i/>
          <w:iCs/>
        </w:rPr>
      </w:pPr>
      <w:r w:rsidRPr="00203191">
        <w:rPr>
          <w:rFonts w:ascii="Calibri" w:hAnsi="Calibri" w:cs="Calibri"/>
          <w:b/>
          <w:bCs/>
          <w:i/>
          <w:iCs/>
        </w:rPr>
        <w:t xml:space="preserve">6.4.4. Spadki poprzeczne podbudowy </w:t>
      </w:r>
    </w:p>
    <w:p w:rsidR="00656AC1" w:rsidRPr="00203191" w:rsidRDefault="00656AC1" w:rsidP="00364E4D">
      <w:pPr>
        <w:rPr>
          <w:rFonts w:ascii="Calibri" w:hAnsi="Calibri" w:cs="Calibri"/>
        </w:rPr>
      </w:pPr>
      <w:r w:rsidRPr="00203191">
        <w:rPr>
          <w:rFonts w:ascii="Calibri" w:hAnsi="Calibri" w:cs="Calibri"/>
        </w:rPr>
        <w:t xml:space="preserve">Spadki poprzeczne podbudowy na prostych i łukach powinny być zgodne z dokumentacją projektową,  z tolerancją </w:t>
      </w:r>
      <w:r>
        <w:rPr>
          <w:rFonts w:ascii="Calibri" w:hAnsi="Calibri" w:cs="Calibri"/>
        </w:rPr>
        <w:t>±</w:t>
      </w:r>
      <w:r w:rsidRPr="00203191">
        <w:rPr>
          <w:rFonts w:ascii="Calibri" w:hAnsi="Calibri" w:cs="Calibri"/>
        </w:rPr>
        <w:t xml:space="preserve"> 0,5 %.</w:t>
      </w:r>
    </w:p>
    <w:p w:rsidR="00656AC1" w:rsidRPr="00203191" w:rsidRDefault="00656AC1" w:rsidP="00364E4D">
      <w:pPr>
        <w:rPr>
          <w:rFonts w:ascii="Calibri" w:hAnsi="Calibri" w:cs="Calibri"/>
          <w:b/>
          <w:bCs/>
          <w:i/>
          <w:iCs/>
        </w:rPr>
      </w:pPr>
      <w:r w:rsidRPr="00203191">
        <w:rPr>
          <w:rFonts w:ascii="Calibri" w:hAnsi="Calibri" w:cs="Calibri"/>
          <w:b/>
          <w:bCs/>
          <w:i/>
          <w:iCs/>
        </w:rPr>
        <w:t xml:space="preserve">6.4.5. Rzędne wysokościowe podbudowy </w:t>
      </w:r>
    </w:p>
    <w:p w:rsidR="00656AC1" w:rsidRPr="00203191" w:rsidRDefault="00656AC1" w:rsidP="00364E4D">
      <w:pPr>
        <w:rPr>
          <w:rFonts w:ascii="Calibri" w:hAnsi="Calibri" w:cs="Calibri"/>
        </w:rPr>
      </w:pPr>
      <w:r w:rsidRPr="00203191">
        <w:rPr>
          <w:rFonts w:ascii="Calibri" w:hAnsi="Calibri" w:cs="Calibri"/>
        </w:rPr>
        <w:t>Różnice pomiędzy rzędnymi wysokościowymi podbudowy i rzędnymi projektowanymi nie powinny przekraczać + 1 cm, -2 cm.</w:t>
      </w:r>
    </w:p>
    <w:p w:rsidR="00656AC1" w:rsidRPr="00203191" w:rsidRDefault="00656AC1" w:rsidP="00364E4D">
      <w:pPr>
        <w:rPr>
          <w:rFonts w:ascii="Calibri" w:hAnsi="Calibri" w:cs="Calibri"/>
          <w:b/>
          <w:bCs/>
          <w:i/>
          <w:iCs/>
        </w:rPr>
      </w:pPr>
      <w:r w:rsidRPr="00203191">
        <w:rPr>
          <w:rFonts w:ascii="Calibri" w:hAnsi="Calibri" w:cs="Calibri"/>
          <w:b/>
          <w:bCs/>
          <w:i/>
          <w:iCs/>
        </w:rPr>
        <w:t>6.4.6. Ukształtowanie osi podbudowy</w:t>
      </w:r>
    </w:p>
    <w:p w:rsidR="00656AC1" w:rsidRPr="00203191" w:rsidRDefault="00656AC1" w:rsidP="00364E4D">
      <w:pPr>
        <w:rPr>
          <w:rFonts w:ascii="Calibri" w:hAnsi="Calibri" w:cs="Calibri"/>
        </w:rPr>
      </w:pPr>
      <w:r w:rsidRPr="00203191">
        <w:rPr>
          <w:rFonts w:ascii="Calibri" w:hAnsi="Calibri" w:cs="Calibri"/>
        </w:rPr>
        <w:t xml:space="preserve">Oś podbudowy w planie nie może być przesunięta w stosunku do osi projektowanej o więcej niż </w:t>
      </w:r>
      <w:r>
        <w:rPr>
          <w:rFonts w:ascii="Calibri" w:hAnsi="Calibri" w:cs="Calibri"/>
        </w:rPr>
        <w:t>±</w:t>
      </w:r>
      <w:r w:rsidRPr="00203191">
        <w:rPr>
          <w:rFonts w:ascii="Calibri" w:hAnsi="Calibri" w:cs="Calibri"/>
        </w:rPr>
        <w:t xml:space="preserve"> 5 cm.</w:t>
      </w:r>
    </w:p>
    <w:p w:rsidR="00656AC1" w:rsidRPr="00203191" w:rsidRDefault="00656AC1" w:rsidP="00364E4D">
      <w:pPr>
        <w:rPr>
          <w:rFonts w:ascii="Calibri" w:hAnsi="Calibri" w:cs="Calibri"/>
          <w:b/>
          <w:bCs/>
          <w:i/>
          <w:iCs/>
        </w:rPr>
      </w:pPr>
      <w:r w:rsidRPr="00203191">
        <w:rPr>
          <w:rFonts w:ascii="Calibri" w:hAnsi="Calibri" w:cs="Calibri"/>
          <w:b/>
          <w:bCs/>
          <w:i/>
          <w:iCs/>
        </w:rPr>
        <w:t>6.4.7. Grubość podbudowy i ulepszonego podłoża</w:t>
      </w:r>
    </w:p>
    <w:p w:rsidR="00656AC1" w:rsidRPr="00203191" w:rsidRDefault="00656AC1" w:rsidP="00364E4D">
      <w:pPr>
        <w:rPr>
          <w:rFonts w:ascii="Calibri" w:hAnsi="Calibri" w:cs="Calibri"/>
        </w:rPr>
      </w:pPr>
      <w:r w:rsidRPr="00203191">
        <w:rPr>
          <w:rFonts w:ascii="Calibri" w:hAnsi="Calibri" w:cs="Calibri"/>
        </w:rPr>
        <w:t>Grubość podbudowy nie może się  różnić od grubości projektowanej o więcej niż:</w:t>
      </w:r>
    </w:p>
    <w:p w:rsidR="00656AC1" w:rsidRPr="00203191" w:rsidRDefault="00656AC1" w:rsidP="00364E4D">
      <w:pPr>
        <w:rPr>
          <w:rFonts w:ascii="Calibri" w:hAnsi="Calibri" w:cs="Calibri"/>
        </w:rPr>
      </w:pPr>
      <w:r w:rsidRPr="00203191">
        <w:rPr>
          <w:rFonts w:ascii="Calibri" w:hAnsi="Calibri" w:cs="Calibri"/>
        </w:rPr>
        <w:t xml:space="preserve">- dla podbudowy zasadniczej  </w:t>
      </w:r>
      <w:r>
        <w:rPr>
          <w:rFonts w:ascii="Calibri" w:hAnsi="Calibri" w:cs="Calibri"/>
        </w:rPr>
        <w:t>±</w:t>
      </w:r>
      <w:r w:rsidRPr="00203191">
        <w:rPr>
          <w:rFonts w:ascii="Calibri" w:hAnsi="Calibri" w:cs="Calibri"/>
        </w:rPr>
        <w:t xml:space="preserve"> 10%,</w:t>
      </w:r>
    </w:p>
    <w:p w:rsidR="00656AC1" w:rsidRPr="00203191" w:rsidRDefault="00656AC1" w:rsidP="00364E4D">
      <w:pPr>
        <w:pStyle w:val="tekstost"/>
        <w:rPr>
          <w:rFonts w:ascii="Calibri" w:hAnsi="Calibri" w:cs="Calibri"/>
        </w:rPr>
      </w:pPr>
      <w:r w:rsidRPr="00203191">
        <w:rPr>
          <w:rFonts w:ascii="Calibri" w:hAnsi="Calibri" w:cs="Calibri"/>
        </w:rPr>
        <w:t>- dla podbudowy pomocniczej +10%, -15%.</w:t>
      </w:r>
    </w:p>
    <w:p w:rsidR="00C16E0E" w:rsidRDefault="00C16E0E" w:rsidP="00364E4D">
      <w:pPr>
        <w:pStyle w:val="tekstost"/>
        <w:rPr>
          <w:rFonts w:ascii="Calibri" w:hAnsi="Calibri" w:cs="Calibri"/>
          <w:b/>
          <w:bCs/>
          <w:i/>
          <w:iCs/>
        </w:rPr>
      </w:pPr>
    </w:p>
    <w:p w:rsidR="00C16E0E" w:rsidRDefault="00C16E0E" w:rsidP="00364E4D">
      <w:pPr>
        <w:pStyle w:val="tekstost"/>
        <w:rPr>
          <w:rFonts w:ascii="Calibri" w:hAnsi="Calibri" w:cs="Calibri"/>
          <w:b/>
          <w:bCs/>
          <w:i/>
          <w:iCs/>
        </w:rPr>
      </w:pPr>
    </w:p>
    <w:p w:rsidR="00656AC1" w:rsidRPr="00203191" w:rsidRDefault="00656AC1" w:rsidP="00364E4D">
      <w:pPr>
        <w:pStyle w:val="tekstost"/>
        <w:rPr>
          <w:rFonts w:ascii="Calibri" w:hAnsi="Calibri" w:cs="Calibri"/>
          <w:b/>
          <w:bCs/>
          <w:i/>
          <w:iCs/>
        </w:rPr>
      </w:pPr>
      <w:r w:rsidRPr="00203191">
        <w:rPr>
          <w:rFonts w:ascii="Calibri" w:hAnsi="Calibri" w:cs="Calibri"/>
          <w:b/>
          <w:bCs/>
          <w:i/>
          <w:iCs/>
        </w:rPr>
        <w:lastRenderedPageBreak/>
        <w:t>6.4.8. Nośność podbudowy</w:t>
      </w:r>
    </w:p>
    <w:p w:rsidR="00656AC1" w:rsidRPr="00203191" w:rsidRDefault="00656AC1" w:rsidP="00954A11">
      <w:pPr>
        <w:pStyle w:val="tekstost"/>
        <w:numPr>
          <w:ilvl w:val="0"/>
          <w:numId w:val="1"/>
        </w:numPr>
        <w:rPr>
          <w:rFonts w:ascii="Calibri" w:hAnsi="Calibri" w:cs="Calibri"/>
        </w:rPr>
      </w:pPr>
      <w:r w:rsidRPr="00203191">
        <w:rPr>
          <w:rFonts w:ascii="Calibri" w:hAnsi="Calibri" w:cs="Calibri"/>
        </w:rPr>
        <w:t>moduł odkształcenia wg wytycznych GDDKiA – pisma DODP-22/4100/215/98 powinien być zgodny z podanym w tablicy 12,</w:t>
      </w:r>
    </w:p>
    <w:p w:rsidR="00656AC1" w:rsidRPr="00203191" w:rsidRDefault="00656AC1" w:rsidP="00954A11">
      <w:pPr>
        <w:pStyle w:val="tekstost"/>
        <w:numPr>
          <w:ilvl w:val="0"/>
          <w:numId w:val="1"/>
        </w:numPr>
        <w:ind w:left="284" w:hanging="284"/>
        <w:rPr>
          <w:rFonts w:ascii="Calibri" w:hAnsi="Calibri" w:cs="Calibri"/>
        </w:rPr>
      </w:pP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Za zgodą Inżyniera</w:t>
      </w:r>
      <w:r w:rsidR="003D751A">
        <w:rPr>
          <w:rFonts w:ascii="Calibri" w:hAnsi="Calibri" w:cs="Calibri"/>
        </w:rPr>
        <w:t xml:space="preserve"> </w:t>
      </w:r>
      <w:r w:rsidRPr="00203191">
        <w:rPr>
          <w:rFonts w:ascii="Calibri" w:hAnsi="Calibri" w:cs="Calibri"/>
        </w:rPr>
        <w:t>dopuszcza się prowadzenie badań przy zastosowaniu lekkiej płyty dynamicznej ZFG-02 zgodnie z Instrukcją Badań Podłoża Gruntowego Budowli Mostowych i Drogowych Część 2 Załącznik, Warszawa 1998. Korelacji pomiędzy wynikami uzyskanymi przy pomocy płyty dynamicznej, a wymaganiami niniejszej SST należy dokonać empirycznie poprzez porównanie wyników otrzymanych płytą dynamiczną i płytą VSS. Uzyskany wskaźnik będzie podstawą do przeliczenia wyników uzyskanych płytą dynamiczną na wtórne moduły odkształcenia. Przeliczone wyniki należy porównać z wymaganiami w tablicy 12.</w:t>
      </w:r>
    </w:p>
    <w:p w:rsidR="00656AC1" w:rsidRPr="00203191" w:rsidRDefault="00656AC1" w:rsidP="00364E4D">
      <w:pPr>
        <w:rPr>
          <w:rFonts w:ascii="Calibri" w:hAnsi="Calibri" w:cs="Calibri"/>
        </w:rPr>
      </w:pPr>
    </w:p>
    <w:p w:rsidR="00656AC1" w:rsidRPr="00203191" w:rsidRDefault="006C5E54" w:rsidP="00364E4D">
      <w:pPr>
        <w:pStyle w:val="tekstost"/>
        <w:rPr>
          <w:rFonts w:ascii="Calibri" w:hAnsi="Calibri" w:cs="Calibri"/>
        </w:rPr>
      </w:pPr>
      <w:r>
        <w:rPr>
          <w:rFonts w:ascii="Calibri" w:hAnsi="Calibri" w:cs="Calibri"/>
        </w:rPr>
        <w:t>Tablica 9</w:t>
      </w:r>
      <w:r w:rsidR="00656AC1" w:rsidRPr="00203191">
        <w:rPr>
          <w:rFonts w:ascii="Calibri" w:hAnsi="Calibri" w:cs="Calibri"/>
        </w:rPr>
        <w:t>. Cechy podbudowy</w:t>
      </w:r>
    </w:p>
    <w:tbl>
      <w:tblPr>
        <w:tblW w:w="0" w:type="auto"/>
        <w:tblInd w:w="2" w:type="dxa"/>
        <w:tblLayout w:type="fixed"/>
        <w:tblCellMar>
          <w:left w:w="70" w:type="dxa"/>
          <w:right w:w="70" w:type="dxa"/>
        </w:tblCellMar>
        <w:tblLook w:val="0000"/>
      </w:tblPr>
      <w:tblGrid>
        <w:gridCol w:w="1204"/>
        <w:gridCol w:w="1276"/>
        <w:gridCol w:w="1257"/>
        <w:gridCol w:w="1295"/>
        <w:gridCol w:w="19"/>
        <w:gridCol w:w="1228"/>
        <w:gridCol w:w="1231"/>
      </w:tblGrid>
      <w:tr w:rsidR="00656AC1" w:rsidRPr="00203191">
        <w:tc>
          <w:tcPr>
            <w:tcW w:w="1204" w:type="dxa"/>
            <w:tcBorders>
              <w:top w:val="single" w:sz="6" w:space="0" w:color="auto"/>
              <w:left w:val="single" w:sz="6" w:space="0" w:color="auto"/>
            </w:tcBorders>
          </w:tcPr>
          <w:p w:rsidR="00656AC1" w:rsidRPr="00203191" w:rsidRDefault="00656AC1" w:rsidP="00364E4D">
            <w:pPr>
              <w:pStyle w:val="tekstost"/>
              <w:rPr>
                <w:rFonts w:ascii="Calibri" w:hAnsi="Calibri" w:cs="Calibri"/>
              </w:rPr>
            </w:pPr>
          </w:p>
        </w:tc>
        <w:tc>
          <w:tcPr>
            <w:tcW w:w="6306" w:type="dxa"/>
            <w:gridSpan w:val="6"/>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Wymagane cechy podbudowy</w:t>
            </w:r>
          </w:p>
        </w:tc>
      </w:tr>
      <w:tr w:rsidR="00656AC1" w:rsidRPr="00203191">
        <w:tc>
          <w:tcPr>
            <w:tcW w:w="1204" w:type="dxa"/>
            <w:tcBorders>
              <w:left w:val="single" w:sz="6" w:space="0" w:color="auto"/>
            </w:tcBorders>
          </w:tcPr>
          <w:p w:rsidR="00656AC1" w:rsidRPr="00203191" w:rsidRDefault="00656AC1" w:rsidP="00364E4D">
            <w:pPr>
              <w:rPr>
                <w:rFonts w:ascii="Calibri" w:hAnsi="Calibri" w:cs="Calibri"/>
              </w:rPr>
            </w:pPr>
            <w:r w:rsidRPr="00203191">
              <w:rPr>
                <w:rFonts w:ascii="Calibri" w:hAnsi="Calibri" w:cs="Calibri"/>
              </w:rPr>
              <w:t>Podbudowa</w:t>
            </w:r>
          </w:p>
          <w:p w:rsidR="00656AC1" w:rsidRPr="00203191" w:rsidRDefault="00656AC1" w:rsidP="00364E4D">
            <w:pPr>
              <w:rPr>
                <w:rFonts w:ascii="Calibri" w:hAnsi="Calibri" w:cs="Calibri"/>
              </w:rPr>
            </w:pPr>
            <w:r w:rsidRPr="00203191">
              <w:rPr>
                <w:rFonts w:ascii="Calibri" w:hAnsi="Calibri" w:cs="Calibri"/>
              </w:rPr>
              <w:t>z kruszywa o wskaźniku w</w:t>
            </w:r>
            <w:r w:rsidRPr="00203191">
              <w:rPr>
                <w:rFonts w:ascii="Calibri" w:hAnsi="Calibri" w:cs="Calibri"/>
                <w:vertAlign w:val="subscript"/>
              </w:rPr>
              <w:t>noś</w:t>
            </w:r>
            <w:r w:rsidRPr="00203191">
              <w:rPr>
                <w:rFonts w:ascii="Calibri" w:hAnsi="Calibri" w:cs="Calibri"/>
              </w:rPr>
              <w:t xml:space="preserve"> nie mniejszym </w:t>
            </w:r>
          </w:p>
        </w:tc>
        <w:tc>
          <w:tcPr>
            <w:tcW w:w="1276" w:type="dxa"/>
            <w:tcBorders>
              <w:top w:val="single" w:sz="6" w:space="0" w:color="auto"/>
              <w:left w:val="single" w:sz="6" w:space="0" w:color="auto"/>
              <w:right w:val="single" w:sz="6" w:space="0" w:color="auto"/>
            </w:tcBorders>
          </w:tcPr>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Wskaźnik zagęszczenia I</w:t>
            </w:r>
            <w:r w:rsidRPr="00203191">
              <w:rPr>
                <w:rFonts w:ascii="Calibri" w:hAnsi="Calibri" w:cs="Calibri"/>
                <w:vertAlign w:val="subscript"/>
              </w:rPr>
              <w:t>S</w:t>
            </w:r>
            <w:r w:rsidRPr="00203191">
              <w:rPr>
                <w:rFonts w:ascii="Calibri" w:hAnsi="Calibri" w:cs="Calibri"/>
              </w:rPr>
              <w:t xml:space="preserve">   nie</w:t>
            </w:r>
          </w:p>
          <w:p w:rsidR="00656AC1" w:rsidRPr="00203191" w:rsidRDefault="00656AC1" w:rsidP="00364E4D">
            <w:pPr>
              <w:rPr>
                <w:rFonts w:ascii="Calibri" w:hAnsi="Calibri" w:cs="Calibri"/>
              </w:rPr>
            </w:pPr>
            <w:r w:rsidRPr="00203191">
              <w:rPr>
                <w:rFonts w:ascii="Calibri" w:hAnsi="Calibri" w:cs="Calibri"/>
              </w:rPr>
              <w:t xml:space="preserve">mniejszy niż </w:t>
            </w:r>
          </w:p>
        </w:tc>
        <w:tc>
          <w:tcPr>
            <w:tcW w:w="2552"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Maksymalne ugięcie sprężyste pod kołem, mm</w:t>
            </w:r>
          </w:p>
        </w:tc>
        <w:tc>
          <w:tcPr>
            <w:tcW w:w="2476" w:type="dxa"/>
            <w:gridSpan w:val="3"/>
            <w:tcBorders>
              <w:top w:val="single" w:sz="6" w:space="0" w:color="auto"/>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Minimalny moduł odkształ-cenia mierzony płytą o średnicy 30 cm, MPa</w:t>
            </w:r>
          </w:p>
        </w:tc>
      </w:tr>
      <w:tr w:rsidR="00656AC1" w:rsidRPr="00203191">
        <w:tc>
          <w:tcPr>
            <w:tcW w:w="1204" w:type="dxa"/>
            <w:tcBorders>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niż,   %</w:t>
            </w:r>
          </w:p>
        </w:tc>
        <w:tc>
          <w:tcPr>
            <w:tcW w:w="1276" w:type="dxa"/>
            <w:tcBorders>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p>
        </w:tc>
        <w:tc>
          <w:tcPr>
            <w:tcW w:w="1257" w:type="dxa"/>
            <w:tcBorders>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40 kN</w:t>
            </w:r>
          </w:p>
        </w:tc>
        <w:tc>
          <w:tcPr>
            <w:tcW w:w="1314" w:type="dxa"/>
            <w:gridSpan w:val="2"/>
            <w:tcBorders>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50 kN</w:t>
            </w:r>
          </w:p>
        </w:tc>
        <w:tc>
          <w:tcPr>
            <w:tcW w:w="1228" w:type="dxa"/>
            <w:tcBorders>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od pierwszego obciążenia E</w:t>
            </w:r>
            <w:r w:rsidRPr="00203191">
              <w:rPr>
                <w:rFonts w:ascii="Calibri" w:hAnsi="Calibri" w:cs="Calibri"/>
                <w:vertAlign w:val="subscript"/>
              </w:rPr>
              <w:t>1</w:t>
            </w:r>
          </w:p>
        </w:tc>
        <w:tc>
          <w:tcPr>
            <w:tcW w:w="1228" w:type="dxa"/>
            <w:tcBorders>
              <w:left w:val="single" w:sz="6" w:space="0" w:color="auto"/>
              <w:bottom w:val="doub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od drugiego obciążenia E</w:t>
            </w:r>
            <w:r w:rsidRPr="00203191">
              <w:rPr>
                <w:rFonts w:ascii="Calibri" w:hAnsi="Calibri" w:cs="Calibri"/>
                <w:vertAlign w:val="subscript"/>
              </w:rPr>
              <w:t>2</w:t>
            </w:r>
          </w:p>
        </w:tc>
      </w:tr>
      <w:tr w:rsidR="00656AC1" w:rsidRPr="00203191">
        <w:tc>
          <w:tcPr>
            <w:tcW w:w="1204" w:type="dxa"/>
            <w:tcBorders>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Podbudowa chodnika</w:t>
            </w:r>
          </w:p>
          <w:p w:rsidR="00656AC1" w:rsidRPr="00203191" w:rsidRDefault="00656AC1" w:rsidP="00364E4D">
            <w:pPr>
              <w:rPr>
                <w:rFonts w:ascii="Calibri" w:hAnsi="Calibri" w:cs="Calibri"/>
              </w:rPr>
            </w:pPr>
            <w:r w:rsidRPr="00203191">
              <w:rPr>
                <w:rFonts w:ascii="Calibri" w:hAnsi="Calibri" w:cs="Calibri"/>
              </w:rPr>
              <w:t>Podbudowa jezdni</w:t>
            </w:r>
          </w:p>
        </w:tc>
        <w:tc>
          <w:tcPr>
            <w:tcW w:w="1276" w:type="dxa"/>
            <w:tcBorders>
              <w:left w:val="single" w:sz="6" w:space="0" w:color="auto"/>
              <w:bottom w:val="single" w:sz="6" w:space="0" w:color="auto"/>
              <w:right w:val="single" w:sz="6" w:space="0" w:color="auto"/>
            </w:tcBorders>
          </w:tcPr>
          <w:p w:rsidR="00656AC1" w:rsidRPr="00203191" w:rsidRDefault="00656AC1" w:rsidP="00364E4D">
            <w:pPr>
              <w:rPr>
                <w:rFonts w:ascii="Calibri" w:hAnsi="Calibri" w:cs="Calibri"/>
              </w:rPr>
            </w:pPr>
            <w:r w:rsidRPr="00203191">
              <w:rPr>
                <w:rFonts w:ascii="Calibri" w:hAnsi="Calibri" w:cs="Calibri"/>
              </w:rPr>
              <w:t>1,0</w:t>
            </w:r>
          </w:p>
          <w:p w:rsidR="00C16E0E" w:rsidRDefault="00C16E0E" w:rsidP="00364E4D">
            <w:pPr>
              <w:rPr>
                <w:rFonts w:ascii="Calibri" w:hAnsi="Calibri" w:cs="Calibri"/>
              </w:rPr>
            </w:pPr>
          </w:p>
          <w:p w:rsidR="00656AC1" w:rsidRPr="00203191" w:rsidRDefault="00656AC1" w:rsidP="00C16E0E">
            <w:pPr>
              <w:rPr>
                <w:rFonts w:ascii="Calibri" w:hAnsi="Calibri" w:cs="Calibri"/>
              </w:rPr>
            </w:pPr>
            <w:r w:rsidRPr="00203191">
              <w:rPr>
                <w:rFonts w:ascii="Calibri" w:hAnsi="Calibri" w:cs="Calibri"/>
              </w:rPr>
              <w:t>1,0</w:t>
            </w:r>
            <w:r w:rsidR="00C16E0E">
              <w:rPr>
                <w:rFonts w:ascii="Calibri" w:hAnsi="Calibri" w:cs="Calibri"/>
              </w:rPr>
              <w:t>0</w:t>
            </w:r>
          </w:p>
        </w:tc>
        <w:tc>
          <w:tcPr>
            <w:tcW w:w="1257" w:type="dxa"/>
            <w:tcBorders>
              <w:left w:val="single" w:sz="6" w:space="0" w:color="auto"/>
              <w:bottom w:val="single" w:sz="6" w:space="0" w:color="auto"/>
              <w:right w:val="single" w:sz="6" w:space="0" w:color="auto"/>
            </w:tcBorders>
          </w:tcPr>
          <w:p w:rsidR="00C16E0E" w:rsidRDefault="00C16E0E"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Nie określa się</w:t>
            </w:r>
          </w:p>
          <w:p w:rsidR="00656AC1" w:rsidRPr="00203191" w:rsidRDefault="00656AC1" w:rsidP="00364E4D">
            <w:pPr>
              <w:rPr>
                <w:rFonts w:ascii="Calibri" w:hAnsi="Calibri" w:cs="Calibri"/>
              </w:rPr>
            </w:pPr>
          </w:p>
        </w:tc>
        <w:tc>
          <w:tcPr>
            <w:tcW w:w="1314" w:type="dxa"/>
            <w:gridSpan w:val="2"/>
            <w:tcBorders>
              <w:left w:val="single" w:sz="6" w:space="0" w:color="auto"/>
              <w:bottom w:val="single" w:sz="6" w:space="0" w:color="auto"/>
              <w:right w:val="single" w:sz="6" w:space="0" w:color="auto"/>
            </w:tcBorders>
          </w:tcPr>
          <w:p w:rsidR="00C16E0E" w:rsidRDefault="00C16E0E"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Nie określa się</w:t>
            </w:r>
          </w:p>
          <w:p w:rsidR="00656AC1" w:rsidRPr="00203191" w:rsidRDefault="00656AC1" w:rsidP="00364E4D">
            <w:pPr>
              <w:rPr>
                <w:rFonts w:ascii="Calibri" w:hAnsi="Calibri" w:cs="Calibri"/>
              </w:rPr>
            </w:pPr>
          </w:p>
        </w:tc>
        <w:tc>
          <w:tcPr>
            <w:tcW w:w="1228" w:type="dxa"/>
            <w:tcBorders>
              <w:left w:val="single" w:sz="6" w:space="0" w:color="auto"/>
              <w:bottom w:val="single" w:sz="6" w:space="0" w:color="auto"/>
              <w:right w:val="single" w:sz="6" w:space="0" w:color="auto"/>
            </w:tcBorders>
          </w:tcPr>
          <w:p w:rsidR="00656AC1" w:rsidRPr="00203191" w:rsidRDefault="00C16E0E" w:rsidP="00364E4D">
            <w:pPr>
              <w:rPr>
                <w:rFonts w:ascii="Calibri" w:hAnsi="Calibri" w:cs="Calibri"/>
              </w:rPr>
            </w:pPr>
            <w:r>
              <w:rPr>
                <w:rFonts w:ascii="Calibri" w:hAnsi="Calibri" w:cs="Calibri"/>
              </w:rPr>
              <w:t>5</w:t>
            </w:r>
            <w:r w:rsidR="00656AC1" w:rsidRPr="00203191">
              <w:rPr>
                <w:rFonts w:ascii="Calibri" w:hAnsi="Calibri" w:cs="Calibri"/>
              </w:rPr>
              <w:t>0</w:t>
            </w:r>
          </w:p>
          <w:p w:rsidR="00656AC1" w:rsidRPr="00203191" w:rsidRDefault="00C16E0E" w:rsidP="00364E4D">
            <w:pPr>
              <w:rPr>
                <w:rFonts w:ascii="Calibri" w:hAnsi="Calibri" w:cs="Calibri"/>
              </w:rPr>
            </w:pPr>
            <w:r>
              <w:rPr>
                <w:rFonts w:ascii="Calibri" w:hAnsi="Calibri" w:cs="Calibri"/>
              </w:rPr>
              <w:t>6</w:t>
            </w:r>
            <w:r w:rsidR="00656AC1" w:rsidRPr="00203191">
              <w:rPr>
                <w:rFonts w:ascii="Calibri" w:hAnsi="Calibri" w:cs="Calibri"/>
              </w:rPr>
              <w:t>0</w:t>
            </w:r>
          </w:p>
        </w:tc>
        <w:tc>
          <w:tcPr>
            <w:tcW w:w="1228" w:type="dxa"/>
            <w:tcBorders>
              <w:left w:val="single" w:sz="6" w:space="0" w:color="auto"/>
              <w:bottom w:val="single" w:sz="6" w:space="0" w:color="auto"/>
              <w:right w:val="single" w:sz="6" w:space="0" w:color="auto"/>
            </w:tcBorders>
          </w:tcPr>
          <w:p w:rsidR="00656AC1" w:rsidRPr="00203191" w:rsidRDefault="00C16E0E" w:rsidP="00364E4D">
            <w:pPr>
              <w:rPr>
                <w:rFonts w:ascii="Calibri" w:hAnsi="Calibri" w:cs="Calibri"/>
              </w:rPr>
            </w:pPr>
            <w:r>
              <w:rPr>
                <w:rFonts w:ascii="Calibri" w:hAnsi="Calibri" w:cs="Calibri"/>
              </w:rPr>
              <w:t>8</w:t>
            </w:r>
            <w:r w:rsidR="00656AC1" w:rsidRPr="00203191">
              <w:rPr>
                <w:rFonts w:ascii="Calibri" w:hAnsi="Calibri" w:cs="Calibri"/>
              </w:rPr>
              <w:t>0</w:t>
            </w:r>
          </w:p>
          <w:p w:rsidR="00656AC1" w:rsidRPr="00203191" w:rsidRDefault="00656AC1" w:rsidP="00C16E0E">
            <w:pPr>
              <w:rPr>
                <w:rFonts w:ascii="Calibri" w:hAnsi="Calibri" w:cs="Calibri"/>
              </w:rPr>
            </w:pPr>
            <w:r w:rsidRPr="00203191">
              <w:rPr>
                <w:rFonts w:ascii="Calibri" w:hAnsi="Calibri" w:cs="Calibri"/>
              </w:rPr>
              <w:t>1</w:t>
            </w:r>
            <w:r w:rsidR="00C16E0E">
              <w:rPr>
                <w:rFonts w:ascii="Calibri" w:hAnsi="Calibri" w:cs="Calibri"/>
              </w:rPr>
              <w:t>2</w:t>
            </w:r>
            <w:r w:rsidRPr="00203191">
              <w:rPr>
                <w:rFonts w:ascii="Calibri" w:hAnsi="Calibri" w:cs="Calibri"/>
              </w:rPr>
              <w:t>0</w:t>
            </w:r>
          </w:p>
        </w:tc>
      </w:tr>
    </w:tbl>
    <w:p w:rsidR="00656AC1" w:rsidRPr="00203191" w:rsidRDefault="00656AC1" w:rsidP="00364E4D">
      <w:pPr>
        <w:rPr>
          <w:rFonts w:ascii="Calibri" w:hAnsi="Calibri" w:cs="Calibri"/>
        </w:rPr>
      </w:pPr>
    </w:p>
    <w:p w:rsidR="00656AC1" w:rsidRPr="00203191" w:rsidRDefault="00656AC1" w:rsidP="00364E4D">
      <w:pPr>
        <w:pStyle w:val="Nagwek4"/>
        <w:rPr>
          <w:rFonts w:ascii="Calibri" w:hAnsi="Calibri" w:cs="Calibri"/>
        </w:rPr>
      </w:pPr>
      <w:r w:rsidRPr="00203191">
        <w:rPr>
          <w:rFonts w:ascii="Calibri" w:hAnsi="Calibri" w:cs="Calibri"/>
        </w:rPr>
        <w:t xml:space="preserve">6.5. Zasady postępowania z wadliwie wykonanymi odcinkami podbudowy </w:t>
      </w:r>
    </w:p>
    <w:p w:rsidR="00656AC1" w:rsidRPr="00203191" w:rsidRDefault="00656AC1" w:rsidP="00364E4D">
      <w:pPr>
        <w:rPr>
          <w:rFonts w:ascii="Calibri" w:hAnsi="Calibri" w:cs="Calibri"/>
          <w:b/>
          <w:bCs/>
          <w:i/>
          <w:iCs/>
        </w:rPr>
      </w:pPr>
      <w:r w:rsidRPr="00203191">
        <w:rPr>
          <w:rFonts w:ascii="Calibri" w:hAnsi="Calibri" w:cs="Calibri"/>
          <w:b/>
          <w:bCs/>
          <w:i/>
          <w:iCs/>
        </w:rPr>
        <w:t xml:space="preserve">6.5.1. Niewłaściwe cechy geometryczne podbudowy </w:t>
      </w:r>
    </w:p>
    <w:p w:rsidR="00656AC1" w:rsidRPr="00203191" w:rsidRDefault="00656AC1" w:rsidP="00364E4D">
      <w:pPr>
        <w:rPr>
          <w:rFonts w:ascii="Calibri" w:hAnsi="Calibri" w:cs="Calibri"/>
        </w:rPr>
      </w:pPr>
      <w:r w:rsidRPr="00203191">
        <w:rPr>
          <w:rFonts w:ascii="Calibri" w:hAnsi="Calibri" w:cs="Calibri"/>
        </w:rPr>
        <w:t>Wszystkie powierzchnie podbudowy, które wykazują większe odchylenia od  określonych w punkcie 6.4 powinny być naprawione przez spulchnienie lub zerwanie do głębokości co najmniej 10 cm, wyrównane i powtórnie zagęszczone. Dodanie nowego materiału bez spulchnienia wykonanej warstwy jest niedopuszczalne.</w:t>
      </w:r>
    </w:p>
    <w:p w:rsidR="00656AC1" w:rsidRPr="00203191" w:rsidRDefault="00656AC1" w:rsidP="00364E4D">
      <w:pPr>
        <w:rPr>
          <w:rFonts w:ascii="Calibri" w:hAnsi="Calibri" w:cs="Calibri"/>
        </w:rPr>
      </w:pPr>
      <w:r w:rsidRPr="00203191">
        <w:rPr>
          <w:rFonts w:ascii="Calibri" w:hAnsi="Calibri" w:cs="Calibri"/>
        </w:rPr>
        <w:t>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w:t>
      </w:r>
    </w:p>
    <w:p w:rsidR="00656AC1" w:rsidRPr="00203191" w:rsidRDefault="00656AC1" w:rsidP="00364E4D">
      <w:pPr>
        <w:rPr>
          <w:rFonts w:ascii="Calibri" w:hAnsi="Calibri" w:cs="Calibri"/>
          <w:b/>
          <w:bCs/>
          <w:i/>
          <w:iCs/>
        </w:rPr>
      </w:pPr>
      <w:r w:rsidRPr="00203191">
        <w:rPr>
          <w:rFonts w:ascii="Calibri" w:hAnsi="Calibri" w:cs="Calibri"/>
          <w:b/>
          <w:bCs/>
          <w:i/>
          <w:iCs/>
        </w:rPr>
        <w:t xml:space="preserve">6.5.2. Niewłaściwa grubość podbudowy </w:t>
      </w:r>
    </w:p>
    <w:p w:rsidR="00656AC1" w:rsidRPr="00203191" w:rsidRDefault="00656AC1" w:rsidP="00364E4D">
      <w:pPr>
        <w:rPr>
          <w:rFonts w:ascii="Calibri" w:hAnsi="Calibri" w:cs="Calibri"/>
        </w:rPr>
      </w:pPr>
      <w:r w:rsidRPr="00203191">
        <w:rPr>
          <w:rFonts w:ascii="Calibri" w:hAnsi="Calibri" w:cs="Calibri"/>
        </w:rPr>
        <w:t>Na wszystkich powierzchniach wadliwych pod względem grubości, Wykonawca wykona naprawę podbudowy. Powierzchnie powinny być naprawione przez spulchnienie lub wybranie warstwy na odpowiednią głębokość, zgodnie z decyzją Inżyniera, uzupełnione nowym materiałem o odpowiednich właściwościach, wyrównane i ponownie zagęszczone.</w:t>
      </w:r>
    </w:p>
    <w:p w:rsidR="00656AC1" w:rsidRPr="00203191" w:rsidRDefault="00656AC1" w:rsidP="00364E4D">
      <w:pPr>
        <w:rPr>
          <w:rFonts w:ascii="Calibri" w:hAnsi="Calibri" w:cs="Calibri"/>
        </w:rPr>
      </w:pPr>
      <w:r w:rsidRPr="00203191">
        <w:rPr>
          <w:rFonts w:ascii="Calibri" w:hAnsi="Calibri" w:cs="Calibri"/>
        </w:rPr>
        <w:t>Roboty te Wykonawca wykona na własny koszt. Po wykonaniu tych robót nastąpi ponowny pomiar i ocena grubości warstwy, według wyżej podanych zasad, na koszt Wykonawcy.</w:t>
      </w:r>
    </w:p>
    <w:p w:rsidR="00656AC1" w:rsidRPr="00203191" w:rsidRDefault="00656AC1" w:rsidP="00364E4D">
      <w:pPr>
        <w:rPr>
          <w:rFonts w:ascii="Calibri" w:hAnsi="Calibri" w:cs="Calibri"/>
          <w:b/>
          <w:bCs/>
          <w:i/>
          <w:iCs/>
        </w:rPr>
      </w:pPr>
      <w:r w:rsidRPr="00203191">
        <w:rPr>
          <w:rFonts w:ascii="Calibri" w:hAnsi="Calibri" w:cs="Calibri"/>
          <w:b/>
          <w:bCs/>
          <w:i/>
          <w:iCs/>
        </w:rPr>
        <w:t xml:space="preserve">6.5.3. Niewłaściwa nośność podbudowy </w:t>
      </w:r>
    </w:p>
    <w:p w:rsidR="00656AC1" w:rsidRPr="00203191" w:rsidRDefault="00656AC1" w:rsidP="00364E4D">
      <w:pPr>
        <w:rPr>
          <w:rFonts w:ascii="Calibri" w:hAnsi="Calibri" w:cs="Calibri"/>
        </w:rPr>
      </w:pPr>
      <w:r w:rsidRPr="00203191">
        <w:rPr>
          <w:rFonts w:ascii="Calibri" w:hAnsi="Calibri" w:cs="Calibri"/>
        </w:rPr>
        <w:t>Jeżeli nośność podbudowy będzie mniejsza od wymaganej, to Wykonawca wykona wszelkie roboty niezbędne do zapewnienia wymaganej nośności, zalecone przez Inżyniera.</w:t>
      </w:r>
    </w:p>
    <w:p w:rsidR="00656AC1" w:rsidRPr="00203191" w:rsidRDefault="00656AC1" w:rsidP="00364E4D">
      <w:pPr>
        <w:rPr>
          <w:rFonts w:ascii="Calibri" w:hAnsi="Calibri" w:cs="Calibri"/>
        </w:rPr>
      </w:pPr>
      <w:r w:rsidRPr="00203191">
        <w:rPr>
          <w:rFonts w:ascii="Calibri" w:hAnsi="Calibri" w:cs="Calibri"/>
        </w:rPr>
        <w:t>Koszty tych dodatkowych robót poniesie Wykonawca podbudowy tylko wtedy, gdy zaniżenie nośności podbudowy wynikło z niewłaściwego wykonania robót przez Wykonawcę podbudowy.</w:t>
      </w:r>
    </w:p>
    <w:p w:rsidR="00656AC1" w:rsidRPr="00203191" w:rsidRDefault="00656AC1" w:rsidP="00364E4D">
      <w:pPr>
        <w:pStyle w:val="Nagwek3"/>
        <w:rPr>
          <w:rFonts w:ascii="Calibri" w:hAnsi="Calibri" w:cs="Calibri"/>
        </w:rPr>
      </w:pPr>
      <w:r w:rsidRPr="00203191">
        <w:rPr>
          <w:rFonts w:ascii="Calibri" w:hAnsi="Calibri" w:cs="Calibri"/>
        </w:rPr>
        <w:t>7. OBMIAR ROBÓT</w:t>
      </w:r>
    </w:p>
    <w:p w:rsidR="00C16E0E" w:rsidRPr="00203191" w:rsidRDefault="00C16E0E" w:rsidP="00C16E0E">
      <w:pPr>
        <w:pStyle w:val="Nagwek4"/>
        <w:rPr>
          <w:rFonts w:asciiTheme="minorHAnsi" w:hAnsiTheme="minorHAnsi"/>
        </w:rPr>
      </w:pPr>
      <w:r w:rsidRPr="00203191">
        <w:rPr>
          <w:rFonts w:asciiTheme="minorHAnsi" w:hAnsiTheme="minorHAnsi"/>
        </w:rPr>
        <w:t>7.1. Ogólne zasady obmiaru robót</w:t>
      </w:r>
    </w:p>
    <w:p w:rsidR="00C16E0E" w:rsidRPr="00203191" w:rsidRDefault="00C16E0E" w:rsidP="00C16E0E">
      <w:pPr>
        <w:rPr>
          <w:rFonts w:asciiTheme="minorHAnsi" w:hAnsiTheme="minorHAnsi"/>
        </w:rPr>
      </w:pPr>
      <w:r w:rsidRPr="00203191">
        <w:rPr>
          <w:rFonts w:asciiTheme="minorHAnsi" w:hAnsiTheme="minorHAnsi"/>
        </w:rPr>
        <w:t>Ogólne zasady obmiaru robót podano w SSTWiORB D-M-00.00.00 „Podbudowa z kruszyw. Wymagania ogólne” pkt 7.</w:t>
      </w:r>
    </w:p>
    <w:p w:rsidR="00C16E0E" w:rsidRPr="00203191" w:rsidRDefault="00C16E0E" w:rsidP="00C16E0E">
      <w:pPr>
        <w:pStyle w:val="Nagwek4"/>
        <w:rPr>
          <w:rFonts w:asciiTheme="minorHAnsi" w:hAnsiTheme="minorHAnsi"/>
        </w:rPr>
      </w:pPr>
      <w:r w:rsidRPr="00203191">
        <w:rPr>
          <w:rFonts w:asciiTheme="minorHAnsi" w:hAnsiTheme="minorHAnsi"/>
        </w:rPr>
        <w:lastRenderedPageBreak/>
        <w:t>7.2. Jednostka obmiarowa</w:t>
      </w:r>
    </w:p>
    <w:p w:rsidR="00656AC1" w:rsidRPr="00203191" w:rsidRDefault="00C16E0E" w:rsidP="00C16E0E">
      <w:pPr>
        <w:rPr>
          <w:rFonts w:ascii="Calibri" w:hAnsi="Calibri" w:cs="Calibri"/>
        </w:rPr>
      </w:pPr>
      <w:r w:rsidRPr="00203191">
        <w:rPr>
          <w:rFonts w:asciiTheme="minorHAnsi" w:hAnsiTheme="minorHAnsi"/>
        </w:rPr>
        <w:t>Jednostką obmiarową jest m</w:t>
      </w:r>
      <w:r w:rsidRPr="00203191">
        <w:rPr>
          <w:rFonts w:asciiTheme="minorHAnsi" w:hAnsiTheme="minorHAnsi"/>
          <w:vertAlign w:val="superscript"/>
        </w:rPr>
        <w:t>2</w:t>
      </w:r>
      <w:r w:rsidRPr="00203191">
        <w:rPr>
          <w:rFonts w:asciiTheme="minorHAnsi" w:hAnsiTheme="minorHAnsi"/>
        </w:rPr>
        <w:t xml:space="preserve"> (metr kwadratowy) wykonanej i odebranej podbudowy z kruszywa łamanego stabilizowanego mechanicznie</w:t>
      </w:r>
    </w:p>
    <w:p w:rsidR="00656AC1" w:rsidRPr="00203191" w:rsidRDefault="00656AC1" w:rsidP="00364E4D">
      <w:pPr>
        <w:pStyle w:val="Nagwek3"/>
        <w:rPr>
          <w:rFonts w:ascii="Calibri" w:hAnsi="Calibri" w:cs="Calibri"/>
        </w:rPr>
      </w:pPr>
      <w:r w:rsidRPr="00203191">
        <w:rPr>
          <w:rFonts w:ascii="Calibri" w:hAnsi="Calibri" w:cs="Calibri"/>
        </w:rPr>
        <w:t>8. ODBIÓR ROBÓT</w:t>
      </w:r>
    </w:p>
    <w:p w:rsidR="00656AC1" w:rsidRPr="00203191" w:rsidRDefault="00656AC1" w:rsidP="00364E4D">
      <w:pPr>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364E4D">
      <w:pPr>
        <w:rPr>
          <w:rFonts w:ascii="Calibri" w:hAnsi="Calibri" w:cs="Calibri"/>
        </w:rPr>
      </w:pPr>
      <w:r w:rsidRPr="00203191">
        <w:rPr>
          <w:rFonts w:ascii="Calibri" w:hAnsi="Calibri" w:cs="Calibri"/>
        </w:rPr>
        <w:t xml:space="preserve">Roboty uznaje się za zgodne z dokumentacją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pkt 6 dały wyniki pozytywne.</w:t>
      </w:r>
    </w:p>
    <w:p w:rsidR="00656AC1" w:rsidRPr="00203191" w:rsidRDefault="00656AC1" w:rsidP="00364E4D">
      <w:pPr>
        <w:pStyle w:val="Nagwek3"/>
        <w:rPr>
          <w:rFonts w:ascii="Calibri" w:hAnsi="Calibri" w:cs="Calibri"/>
        </w:rPr>
      </w:pPr>
      <w:bookmarkStart w:id="1038" w:name="_Toc418394445"/>
      <w:bookmarkStart w:id="1039" w:name="_Toc423845946"/>
      <w:r w:rsidRPr="00203191">
        <w:rPr>
          <w:rFonts w:ascii="Calibri" w:hAnsi="Calibri" w:cs="Calibri"/>
        </w:rPr>
        <w:t>9. PODSTAWA PŁATNOŚCI</w:t>
      </w:r>
      <w:bookmarkEnd w:id="1038"/>
      <w:bookmarkEnd w:id="1039"/>
    </w:p>
    <w:p w:rsidR="00C16E0E" w:rsidRPr="00203191" w:rsidRDefault="00C16E0E" w:rsidP="00C16E0E">
      <w:pPr>
        <w:pStyle w:val="Nagwek4"/>
        <w:rPr>
          <w:rFonts w:asciiTheme="minorHAnsi" w:hAnsiTheme="minorHAnsi"/>
        </w:rPr>
      </w:pPr>
      <w:r w:rsidRPr="00203191">
        <w:rPr>
          <w:rFonts w:asciiTheme="minorHAnsi" w:hAnsiTheme="minorHAnsi"/>
        </w:rPr>
        <w:t>9.1. Ogólne ustalenia dotyczące podstawy płatności</w:t>
      </w:r>
    </w:p>
    <w:p w:rsidR="00C16E0E" w:rsidRPr="00203191" w:rsidRDefault="00C16E0E" w:rsidP="00C16E0E">
      <w:pPr>
        <w:rPr>
          <w:rFonts w:asciiTheme="minorHAnsi" w:hAnsiTheme="minorHAnsi"/>
        </w:rPr>
      </w:pPr>
      <w:r w:rsidRPr="00203191">
        <w:rPr>
          <w:rFonts w:asciiTheme="minorHAnsi" w:hAnsiTheme="minorHAnsi"/>
        </w:rPr>
        <w:t>Ogólne ustalenia dotyczące podstawy płatności podano w SSTWiORB D-M-00.00.00 „Wymagania ogólne” pkt 9.</w:t>
      </w:r>
    </w:p>
    <w:p w:rsidR="00C16E0E" w:rsidRPr="00203191" w:rsidRDefault="00C16E0E" w:rsidP="00C16E0E">
      <w:pPr>
        <w:pStyle w:val="Nagwek4"/>
        <w:rPr>
          <w:rFonts w:asciiTheme="minorHAnsi" w:hAnsiTheme="minorHAnsi"/>
        </w:rPr>
      </w:pPr>
      <w:r w:rsidRPr="00203191">
        <w:rPr>
          <w:rFonts w:asciiTheme="minorHAnsi" w:hAnsiTheme="minorHAnsi"/>
        </w:rPr>
        <w:t>9.2. Cena jednostki obmiarowej</w:t>
      </w:r>
    </w:p>
    <w:p w:rsidR="00C16E0E" w:rsidRPr="00203191" w:rsidRDefault="00C16E0E" w:rsidP="00C16E0E">
      <w:pPr>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2"/>
        </w:smartTagPr>
        <w:r w:rsidRPr="00203191">
          <w:rPr>
            <w:rFonts w:asciiTheme="minorHAnsi" w:hAnsiTheme="minorHAnsi"/>
          </w:rPr>
          <w:t>1 m</w:t>
        </w:r>
        <w:r w:rsidRPr="00203191">
          <w:rPr>
            <w:rFonts w:asciiTheme="minorHAnsi" w:hAnsiTheme="minorHAnsi"/>
            <w:vertAlign w:val="superscript"/>
          </w:rPr>
          <w:t>2</w:t>
        </w:r>
      </w:smartTag>
      <w:r w:rsidRPr="00203191">
        <w:rPr>
          <w:rFonts w:asciiTheme="minorHAnsi" w:hAnsiTheme="minorHAnsi"/>
        </w:rPr>
        <w:t xml:space="preserve"> podbudowy obejmuje:</w:t>
      </w:r>
    </w:p>
    <w:p w:rsidR="00C16E0E" w:rsidRPr="00203191" w:rsidRDefault="00C16E0E" w:rsidP="00C16E0E">
      <w:pPr>
        <w:numPr>
          <w:ilvl w:val="0"/>
          <w:numId w:val="38"/>
        </w:numPr>
        <w:rPr>
          <w:rFonts w:asciiTheme="minorHAnsi" w:hAnsiTheme="minorHAnsi"/>
        </w:rPr>
      </w:pPr>
      <w:r w:rsidRPr="00203191">
        <w:rPr>
          <w:rFonts w:asciiTheme="minorHAnsi" w:hAnsiTheme="minorHAnsi"/>
        </w:rPr>
        <w:t>prace pomiarowe i roboty przygotowawcze,</w:t>
      </w:r>
    </w:p>
    <w:p w:rsidR="00C16E0E" w:rsidRPr="00203191" w:rsidRDefault="00C16E0E" w:rsidP="00C16E0E">
      <w:pPr>
        <w:numPr>
          <w:ilvl w:val="0"/>
          <w:numId w:val="38"/>
        </w:numPr>
        <w:rPr>
          <w:rFonts w:asciiTheme="minorHAnsi" w:hAnsiTheme="minorHAnsi"/>
        </w:rPr>
      </w:pPr>
      <w:r w:rsidRPr="00203191">
        <w:rPr>
          <w:rFonts w:asciiTheme="minorHAnsi" w:hAnsiTheme="minorHAnsi"/>
        </w:rPr>
        <w:t>oznakowanie robót,</w:t>
      </w:r>
    </w:p>
    <w:p w:rsidR="00C16E0E" w:rsidRPr="00203191" w:rsidRDefault="00C16E0E" w:rsidP="00C16E0E">
      <w:pPr>
        <w:numPr>
          <w:ilvl w:val="0"/>
          <w:numId w:val="38"/>
        </w:numPr>
        <w:rPr>
          <w:rFonts w:asciiTheme="minorHAnsi" w:hAnsiTheme="minorHAnsi"/>
        </w:rPr>
      </w:pPr>
      <w:r w:rsidRPr="00203191">
        <w:rPr>
          <w:rFonts w:asciiTheme="minorHAnsi" w:hAnsiTheme="minorHAnsi"/>
        </w:rPr>
        <w:t>sprawdzenie i ewentualną naprawę podłoża,</w:t>
      </w:r>
    </w:p>
    <w:p w:rsidR="00C16E0E" w:rsidRPr="00203191" w:rsidRDefault="00C16E0E" w:rsidP="00C16E0E">
      <w:pPr>
        <w:numPr>
          <w:ilvl w:val="0"/>
          <w:numId w:val="38"/>
        </w:numPr>
        <w:rPr>
          <w:rFonts w:asciiTheme="minorHAnsi" w:hAnsiTheme="minorHAnsi"/>
        </w:rPr>
      </w:pPr>
      <w:r w:rsidRPr="00203191">
        <w:rPr>
          <w:rFonts w:asciiTheme="minorHAnsi" w:hAnsiTheme="minorHAnsi"/>
        </w:rPr>
        <w:t>przygotowanie mieszanki z kruszywa, zgodnie z receptą,</w:t>
      </w:r>
    </w:p>
    <w:p w:rsidR="00C16E0E" w:rsidRPr="00203191" w:rsidRDefault="00C16E0E" w:rsidP="00C16E0E">
      <w:pPr>
        <w:numPr>
          <w:ilvl w:val="0"/>
          <w:numId w:val="38"/>
        </w:numPr>
        <w:rPr>
          <w:rFonts w:asciiTheme="minorHAnsi" w:hAnsiTheme="minorHAnsi"/>
        </w:rPr>
      </w:pPr>
      <w:r w:rsidRPr="00203191">
        <w:rPr>
          <w:rFonts w:asciiTheme="minorHAnsi" w:hAnsiTheme="minorHAnsi"/>
        </w:rPr>
        <w:t>dostarczenie mieszanki na miejsce wbudowania,</w:t>
      </w:r>
    </w:p>
    <w:p w:rsidR="00C16E0E" w:rsidRPr="00203191" w:rsidRDefault="00C16E0E" w:rsidP="00C16E0E">
      <w:pPr>
        <w:numPr>
          <w:ilvl w:val="0"/>
          <w:numId w:val="38"/>
        </w:numPr>
        <w:rPr>
          <w:rFonts w:asciiTheme="minorHAnsi" w:hAnsiTheme="minorHAnsi"/>
        </w:rPr>
      </w:pPr>
      <w:r w:rsidRPr="00203191">
        <w:rPr>
          <w:rFonts w:asciiTheme="minorHAnsi" w:hAnsiTheme="minorHAnsi"/>
        </w:rPr>
        <w:t>rozłożenie mieszanki,</w:t>
      </w:r>
    </w:p>
    <w:p w:rsidR="00C16E0E" w:rsidRPr="00203191" w:rsidRDefault="00C16E0E" w:rsidP="00C16E0E">
      <w:pPr>
        <w:numPr>
          <w:ilvl w:val="0"/>
          <w:numId w:val="38"/>
        </w:numPr>
        <w:rPr>
          <w:rFonts w:asciiTheme="minorHAnsi" w:hAnsiTheme="minorHAnsi"/>
        </w:rPr>
      </w:pPr>
      <w:r w:rsidRPr="00203191">
        <w:rPr>
          <w:rFonts w:asciiTheme="minorHAnsi" w:hAnsiTheme="minorHAnsi"/>
        </w:rPr>
        <w:t>zagęszczenie rozłożonej mieszanki,</w:t>
      </w:r>
    </w:p>
    <w:p w:rsidR="00C16E0E" w:rsidRPr="00203191" w:rsidRDefault="00C16E0E" w:rsidP="00C16E0E">
      <w:pPr>
        <w:numPr>
          <w:ilvl w:val="0"/>
          <w:numId w:val="38"/>
        </w:numPr>
        <w:rPr>
          <w:rFonts w:asciiTheme="minorHAnsi" w:hAnsiTheme="minorHAnsi"/>
        </w:rPr>
      </w:pPr>
      <w:r w:rsidRPr="00203191">
        <w:rPr>
          <w:rFonts w:asciiTheme="minorHAnsi" w:hAnsiTheme="minorHAnsi"/>
        </w:rPr>
        <w:t>przeprowadzenie pomiarów i badań laboratoryjnych określonych w specyfikacji technicznej,</w:t>
      </w:r>
    </w:p>
    <w:p w:rsidR="00C16E0E" w:rsidRPr="00203191" w:rsidRDefault="00C16E0E" w:rsidP="00C16E0E">
      <w:pPr>
        <w:numPr>
          <w:ilvl w:val="0"/>
          <w:numId w:val="38"/>
        </w:numPr>
        <w:rPr>
          <w:rFonts w:asciiTheme="minorHAnsi" w:hAnsiTheme="minorHAnsi"/>
        </w:rPr>
      </w:pPr>
      <w:r w:rsidRPr="00203191">
        <w:rPr>
          <w:rFonts w:asciiTheme="minorHAnsi" w:hAnsiTheme="minorHAnsi"/>
        </w:rPr>
        <w:t>utrzymanie podbudowy w czasie robót.</w:t>
      </w:r>
    </w:p>
    <w:p w:rsidR="00656AC1" w:rsidRPr="00203191" w:rsidRDefault="00656AC1" w:rsidP="006C5E54">
      <w:pPr>
        <w:rPr>
          <w:rFonts w:ascii="Calibri" w:hAnsi="Calibri" w:cs="Calibri"/>
        </w:rPr>
      </w:pPr>
    </w:p>
    <w:p w:rsidR="00656AC1" w:rsidRPr="00203191" w:rsidRDefault="00656AC1" w:rsidP="00364E4D">
      <w:pPr>
        <w:pStyle w:val="Nagwek3"/>
        <w:rPr>
          <w:rFonts w:ascii="Calibri" w:hAnsi="Calibri" w:cs="Calibri"/>
        </w:rPr>
      </w:pPr>
      <w:r w:rsidRPr="00203191">
        <w:rPr>
          <w:rFonts w:ascii="Calibri" w:hAnsi="Calibri" w:cs="Calibri"/>
        </w:rPr>
        <w:t>10. PRZEPISY ZWIĄZANE</w:t>
      </w:r>
    </w:p>
    <w:p w:rsidR="00656AC1" w:rsidRPr="00203191" w:rsidRDefault="00656AC1" w:rsidP="00364E4D">
      <w:pPr>
        <w:pStyle w:val="Nagwek4"/>
        <w:rPr>
          <w:rFonts w:ascii="Calibri" w:hAnsi="Calibri" w:cs="Calibri"/>
        </w:rPr>
      </w:pPr>
      <w:r w:rsidRPr="00203191">
        <w:rPr>
          <w:rFonts w:ascii="Calibri" w:hAnsi="Calibri" w:cs="Calibri"/>
        </w:rPr>
        <w:t>10.1. Normy</w:t>
      </w:r>
    </w:p>
    <w:tbl>
      <w:tblPr>
        <w:tblW w:w="9851" w:type="dxa"/>
        <w:tblInd w:w="2" w:type="dxa"/>
        <w:tblLayout w:type="fixed"/>
        <w:tblCellMar>
          <w:left w:w="70" w:type="dxa"/>
          <w:right w:w="70" w:type="dxa"/>
        </w:tblCellMar>
        <w:tblLook w:val="0000"/>
      </w:tblPr>
      <w:tblGrid>
        <w:gridCol w:w="637"/>
        <w:gridCol w:w="1701"/>
        <w:gridCol w:w="7513"/>
      </w:tblGrid>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w:t>
            </w:r>
          </w:p>
        </w:tc>
        <w:tc>
          <w:tcPr>
            <w:tcW w:w="1701" w:type="dxa"/>
          </w:tcPr>
          <w:p w:rsidR="00656AC1" w:rsidRPr="00203191" w:rsidRDefault="00656AC1" w:rsidP="00364E4D">
            <w:pPr>
              <w:rPr>
                <w:rFonts w:ascii="Calibri" w:hAnsi="Calibri" w:cs="Calibri"/>
              </w:rPr>
            </w:pPr>
            <w:r w:rsidRPr="00203191">
              <w:rPr>
                <w:rFonts w:ascii="Calibri" w:hAnsi="Calibri" w:cs="Calibri"/>
              </w:rPr>
              <w:t>PN-B-04481:1988</w:t>
            </w:r>
          </w:p>
        </w:tc>
        <w:tc>
          <w:tcPr>
            <w:tcW w:w="7513" w:type="dxa"/>
          </w:tcPr>
          <w:p w:rsidR="00656AC1" w:rsidRPr="00203191" w:rsidRDefault="00656AC1" w:rsidP="00364E4D">
            <w:pPr>
              <w:rPr>
                <w:rFonts w:ascii="Calibri" w:hAnsi="Calibri" w:cs="Calibri"/>
              </w:rPr>
            </w:pPr>
            <w:r w:rsidRPr="00203191">
              <w:rPr>
                <w:rFonts w:ascii="Calibri" w:hAnsi="Calibri" w:cs="Calibri"/>
              </w:rPr>
              <w:t>Grunty budowlane. Badania próbek gruntu</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2</w:t>
            </w:r>
          </w:p>
        </w:tc>
        <w:tc>
          <w:tcPr>
            <w:tcW w:w="1701" w:type="dxa"/>
          </w:tcPr>
          <w:p w:rsidR="00656AC1" w:rsidRPr="00203191" w:rsidRDefault="00656AC1" w:rsidP="00364E4D">
            <w:pPr>
              <w:rPr>
                <w:rFonts w:ascii="Calibri" w:hAnsi="Calibri" w:cs="Calibri"/>
              </w:rPr>
            </w:pPr>
            <w:r w:rsidRPr="00203191">
              <w:rPr>
                <w:rFonts w:ascii="Calibri" w:hAnsi="Calibri" w:cs="Calibri"/>
              </w:rPr>
              <w:t>PN-B-11111:1996</w:t>
            </w:r>
          </w:p>
        </w:tc>
        <w:tc>
          <w:tcPr>
            <w:tcW w:w="7513" w:type="dxa"/>
          </w:tcPr>
          <w:p w:rsidR="00656AC1" w:rsidRPr="00203191" w:rsidRDefault="00656AC1" w:rsidP="00364E4D">
            <w:pPr>
              <w:rPr>
                <w:rFonts w:ascii="Calibri" w:hAnsi="Calibri" w:cs="Calibri"/>
              </w:rPr>
            </w:pPr>
            <w:r w:rsidRPr="00203191">
              <w:rPr>
                <w:rFonts w:ascii="Calibri" w:hAnsi="Calibri" w:cs="Calibri"/>
              </w:rPr>
              <w:t>Kruszywa mineralne. Kruszywa naturalne do nawierzchni drogowych. Żwir i mieszanka</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3</w:t>
            </w:r>
          </w:p>
        </w:tc>
        <w:tc>
          <w:tcPr>
            <w:tcW w:w="1701" w:type="dxa"/>
          </w:tcPr>
          <w:p w:rsidR="00656AC1" w:rsidRPr="00203191" w:rsidRDefault="00656AC1" w:rsidP="00364E4D">
            <w:pPr>
              <w:rPr>
                <w:rFonts w:ascii="Calibri" w:hAnsi="Calibri" w:cs="Calibri"/>
              </w:rPr>
            </w:pPr>
            <w:r w:rsidRPr="00203191">
              <w:rPr>
                <w:rFonts w:ascii="Calibri" w:hAnsi="Calibri" w:cs="Calibri"/>
              </w:rPr>
              <w:t>PN-B-11112:1996</w:t>
            </w:r>
          </w:p>
        </w:tc>
        <w:tc>
          <w:tcPr>
            <w:tcW w:w="7513" w:type="dxa"/>
          </w:tcPr>
          <w:p w:rsidR="00656AC1" w:rsidRPr="00203191" w:rsidRDefault="00656AC1" w:rsidP="00364E4D">
            <w:pPr>
              <w:rPr>
                <w:rFonts w:ascii="Calibri" w:hAnsi="Calibri" w:cs="Calibri"/>
              </w:rPr>
            </w:pPr>
            <w:r w:rsidRPr="00203191">
              <w:rPr>
                <w:rFonts w:ascii="Calibri" w:hAnsi="Calibri" w:cs="Calibri"/>
              </w:rPr>
              <w:t>Kruszywa mineralne. Kruszywa łamane do nawierzchni drogowych</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4</w:t>
            </w:r>
          </w:p>
        </w:tc>
        <w:tc>
          <w:tcPr>
            <w:tcW w:w="1701" w:type="dxa"/>
          </w:tcPr>
          <w:p w:rsidR="00656AC1" w:rsidRPr="00203191" w:rsidRDefault="00656AC1" w:rsidP="00364E4D">
            <w:pPr>
              <w:rPr>
                <w:rFonts w:ascii="Calibri" w:hAnsi="Calibri" w:cs="Calibri"/>
              </w:rPr>
            </w:pPr>
            <w:r w:rsidRPr="00203191">
              <w:rPr>
                <w:rFonts w:ascii="Calibri" w:hAnsi="Calibri" w:cs="Calibri"/>
              </w:rPr>
              <w:t>PN-EN-1008:2004</w:t>
            </w:r>
          </w:p>
        </w:tc>
        <w:tc>
          <w:tcPr>
            <w:tcW w:w="7513" w:type="dxa"/>
          </w:tcPr>
          <w:p w:rsidR="00656AC1" w:rsidRPr="00203191" w:rsidRDefault="00656AC1" w:rsidP="00364E4D">
            <w:pPr>
              <w:rPr>
                <w:rFonts w:ascii="Calibri" w:hAnsi="Calibri" w:cs="Calibri"/>
              </w:rPr>
            </w:pPr>
            <w:r w:rsidRPr="00203191">
              <w:rPr>
                <w:rFonts w:ascii="Calibri" w:hAnsi="Calibri" w:cs="Calibri"/>
              </w:rPr>
              <w:t>Woda zarobowa do betonu Specyfikacja pobierania próbek, badania i ocena przydatności wody zarobowej do betonu, w tym wody odzyskanej z procesów produkcji betonu</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5</w:t>
            </w:r>
          </w:p>
        </w:tc>
        <w:tc>
          <w:tcPr>
            <w:tcW w:w="1701" w:type="dxa"/>
          </w:tcPr>
          <w:p w:rsidR="00656AC1" w:rsidRPr="00203191" w:rsidRDefault="00656AC1" w:rsidP="00364E4D">
            <w:pPr>
              <w:rPr>
                <w:rFonts w:ascii="Calibri" w:hAnsi="Calibri" w:cs="Calibri"/>
              </w:rPr>
            </w:pPr>
            <w:r w:rsidRPr="00203191">
              <w:rPr>
                <w:rFonts w:ascii="Calibri" w:hAnsi="Calibri" w:cs="Calibri"/>
              </w:rPr>
              <w:t>PN-S-06102:1997</w:t>
            </w:r>
          </w:p>
        </w:tc>
        <w:tc>
          <w:tcPr>
            <w:tcW w:w="7513" w:type="dxa"/>
          </w:tcPr>
          <w:p w:rsidR="00656AC1" w:rsidRPr="00203191" w:rsidRDefault="00656AC1" w:rsidP="00364E4D">
            <w:pPr>
              <w:rPr>
                <w:rFonts w:ascii="Calibri" w:hAnsi="Calibri" w:cs="Calibri"/>
              </w:rPr>
            </w:pPr>
            <w:r w:rsidRPr="00203191">
              <w:rPr>
                <w:rFonts w:ascii="Calibri" w:hAnsi="Calibri" w:cs="Calibri"/>
              </w:rPr>
              <w:t>Drogi samochodowe. Podbudowy z kruszyw stabilizowanych mechanicznie</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6</w:t>
            </w:r>
          </w:p>
        </w:tc>
        <w:tc>
          <w:tcPr>
            <w:tcW w:w="1701" w:type="dxa"/>
          </w:tcPr>
          <w:p w:rsidR="00656AC1" w:rsidRPr="00203191" w:rsidRDefault="00656AC1" w:rsidP="00364E4D">
            <w:pPr>
              <w:rPr>
                <w:rFonts w:ascii="Calibri" w:hAnsi="Calibri" w:cs="Calibri"/>
              </w:rPr>
            </w:pPr>
            <w:r w:rsidRPr="00203191">
              <w:rPr>
                <w:rFonts w:ascii="Calibri" w:hAnsi="Calibri" w:cs="Calibri"/>
              </w:rPr>
              <w:t>PN-S-96023:1984</w:t>
            </w:r>
          </w:p>
        </w:tc>
        <w:tc>
          <w:tcPr>
            <w:tcW w:w="7513" w:type="dxa"/>
          </w:tcPr>
          <w:p w:rsidR="00656AC1" w:rsidRPr="00203191" w:rsidRDefault="00656AC1" w:rsidP="00364E4D">
            <w:pPr>
              <w:rPr>
                <w:rFonts w:ascii="Calibri" w:hAnsi="Calibri" w:cs="Calibri"/>
              </w:rPr>
            </w:pPr>
            <w:r w:rsidRPr="00203191">
              <w:rPr>
                <w:rFonts w:ascii="Calibri" w:hAnsi="Calibri" w:cs="Calibri"/>
              </w:rPr>
              <w:t>Konstrukcje drogowe. Podbudowa i nawierzchnia z tłucznia kamiennego</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7</w:t>
            </w:r>
          </w:p>
        </w:tc>
        <w:tc>
          <w:tcPr>
            <w:tcW w:w="1701" w:type="dxa"/>
          </w:tcPr>
          <w:p w:rsidR="00656AC1" w:rsidRPr="00203191" w:rsidRDefault="00656AC1" w:rsidP="00364E4D">
            <w:pPr>
              <w:rPr>
                <w:rFonts w:ascii="Calibri" w:hAnsi="Calibri" w:cs="Calibri"/>
              </w:rPr>
            </w:pPr>
            <w:r w:rsidRPr="00203191">
              <w:rPr>
                <w:rFonts w:ascii="Calibri" w:hAnsi="Calibri" w:cs="Calibri"/>
              </w:rPr>
              <w:t>PN-S-96035:1997</w:t>
            </w:r>
          </w:p>
        </w:tc>
        <w:tc>
          <w:tcPr>
            <w:tcW w:w="7513" w:type="dxa"/>
          </w:tcPr>
          <w:p w:rsidR="00656AC1" w:rsidRPr="00203191" w:rsidRDefault="00656AC1" w:rsidP="00364E4D">
            <w:pPr>
              <w:rPr>
                <w:rFonts w:ascii="Calibri" w:hAnsi="Calibri" w:cs="Calibri"/>
              </w:rPr>
            </w:pPr>
            <w:r w:rsidRPr="00203191">
              <w:rPr>
                <w:rFonts w:ascii="Calibri" w:hAnsi="Calibri" w:cs="Calibri"/>
              </w:rPr>
              <w:t>Popioły lotne</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8</w:t>
            </w:r>
          </w:p>
        </w:tc>
        <w:tc>
          <w:tcPr>
            <w:tcW w:w="1701" w:type="dxa"/>
          </w:tcPr>
          <w:p w:rsidR="00656AC1" w:rsidRPr="00203191" w:rsidRDefault="00656AC1" w:rsidP="00364E4D">
            <w:pPr>
              <w:rPr>
                <w:rFonts w:ascii="Calibri" w:hAnsi="Calibri" w:cs="Calibri"/>
              </w:rPr>
            </w:pPr>
            <w:r w:rsidRPr="00203191">
              <w:rPr>
                <w:rFonts w:ascii="Calibri" w:hAnsi="Calibri" w:cs="Calibri"/>
              </w:rPr>
              <w:t>PN-EN 13242:2004</w:t>
            </w:r>
          </w:p>
        </w:tc>
        <w:tc>
          <w:tcPr>
            <w:tcW w:w="7513" w:type="dxa"/>
          </w:tcPr>
          <w:p w:rsidR="00656AC1" w:rsidRPr="00203191" w:rsidRDefault="00656AC1" w:rsidP="00364E4D">
            <w:pPr>
              <w:rPr>
                <w:rFonts w:ascii="Calibri" w:hAnsi="Calibri" w:cs="Calibri"/>
              </w:rPr>
            </w:pPr>
            <w:r w:rsidRPr="00203191">
              <w:rPr>
                <w:rFonts w:ascii="Calibri" w:hAnsi="Calibri" w:cs="Calibri"/>
              </w:rPr>
              <w:t>Kruszywa do niezwiązanych i związanych hydraulicznie materiałów stosowanych w obiektach budowlanych i budownictwie drogowym</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9</w:t>
            </w:r>
          </w:p>
        </w:tc>
        <w:tc>
          <w:tcPr>
            <w:tcW w:w="1701" w:type="dxa"/>
          </w:tcPr>
          <w:p w:rsidR="00656AC1" w:rsidRPr="00203191" w:rsidRDefault="00656AC1" w:rsidP="00364E4D">
            <w:pPr>
              <w:rPr>
                <w:rFonts w:ascii="Calibri" w:hAnsi="Calibri" w:cs="Calibri"/>
              </w:rPr>
            </w:pPr>
            <w:r w:rsidRPr="00203191">
              <w:rPr>
                <w:rFonts w:ascii="Calibri" w:hAnsi="Calibri" w:cs="Calibri"/>
              </w:rPr>
              <w:t>BN-88/6731-08</w:t>
            </w:r>
          </w:p>
        </w:tc>
        <w:tc>
          <w:tcPr>
            <w:tcW w:w="7513" w:type="dxa"/>
          </w:tcPr>
          <w:p w:rsidR="00656AC1" w:rsidRPr="00203191" w:rsidRDefault="00656AC1" w:rsidP="00364E4D">
            <w:pPr>
              <w:rPr>
                <w:rFonts w:ascii="Calibri" w:hAnsi="Calibri" w:cs="Calibri"/>
              </w:rPr>
            </w:pPr>
            <w:r w:rsidRPr="00203191">
              <w:rPr>
                <w:rFonts w:ascii="Calibri" w:hAnsi="Calibri" w:cs="Calibri"/>
              </w:rPr>
              <w:t>Cement. Transport i przechowywanie</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10</w:t>
            </w:r>
          </w:p>
        </w:tc>
        <w:tc>
          <w:tcPr>
            <w:tcW w:w="1701" w:type="dxa"/>
          </w:tcPr>
          <w:p w:rsidR="00656AC1" w:rsidRPr="00203191" w:rsidRDefault="00656AC1" w:rsidP="00364E4D">
            <w:pPr>
              <w:rPr>
                <w:rFonts w:ascii="Calibri" w:hAnsi="Calibri" w:cs="Calibri"/>
              </w:rPr>
            </w:pPr>
            <w:r w:rsidRPr="00203191">
              <w:rPr>
                <w:rFonts w:ascii="Calibri" w:hAnsi="Calibri" w:cs="Calibri"/>
              </w:rPr>
              <w:t>BN-84/6774-02</w:t>
            </w:r>
          </w:p>
        </w:tc>
        <w:tc>
          <w:tcPr>
            <w:tcW w:w="7513" w:type="dxa"/>
          </w:tcPr>
          <w:p w:rsidR="00656AC1" w:rsidRPr="00203191" w:rsidRDefault="00656AC1" w:rsidP="00364E4D">
            <w:pPr>
              <w:rPr>
                <w:rFonts w:ascii="Calibri" w:hAnsi="Calibri" w:cs="Calibri"/>
              </w:rPr>
            </w:pPr>
            <w:r w:rsidRPr="00203191">
              <w:rPr>
                <w:rFonts w:ascii="Calibri" w:hAnsi="Calibri" w:cs="Calibri"/>
              </w:rPr>
              <w:t>Kruszywo mineralne. Kruszywo kamienne łamane do nawierzchni drogowych</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11</w:t>
            </w:r>
          </w:p>
        </w:tc>
        <w:tc>
          <w:tcPr>
            <w:tcW w:w="1701" w:type="dxa"/>
          </w:tcPr>
          <w:p w:rsidR="00656AC1" w:rsidRPr="00203191" w:rsidRDefault="00656AC1" w:rsidP="00364E4D">
            <w:pPr>
              <w:rPr>
                <w:rFonts w:ascii="Calibri" w:hAnsi="Calibri" w:cs="Calibri"/>
              </w:rPr>
            </w:pPr>
            <w:r w:rsidRPr="00203191">
              <w:rPr>
                <w:rFonts w:ascii="Calibri" w:hAnsi="Calibri" w:cs="Calibri"/>
              </w:rPr>
              <w:t>BN-64/8931-01</w:t>
            </w:r>
          </w:p>
        </w:tc>
        <w:tc>
          <w:tcPr>
            <w:tcW w:w="7513" w:type="dxa"/>
          </w:tcPr>
          <w:p w:rsidR="00656AC1" w:rsidRPr="00203191" w:rsidRDefault="00656AC1" w:rsidP="00364E4D">
            <w:pPr>
              <w:rPr>
                <w:rFonts w:ascii="Calibri" w:hAnsi="Calibri" w:cs="Calibri"/>
              </w:rPr>
            </w:pPr>
            <w:r w:rsidRPr="00203191">
              <w:rPr>
                <w:rFonts w:ascii="Calibri" w:hAnsi="Calibri" w:cs="Calibri"/>
              </w:rPr>
              <w:t>Drogi samochodowe. Oznaczanie wskaźnika piaskowego</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12</w:t>
            </w:r>
          </w:p>
        </w:tc>
        <w:tc>
          <w:tcPr>
            <w:tcW w:w="1701" w:type="dxa"/>
          </w:tcPr>
          <w:p w:rsidR="00656AC1" w:rsidRPr="00203191" w:rsidRDefault="00656AC1" w:rsidP="00364E4D">
            <w:pPr>
              <w:rPr>
                <w:rFonts w:ascii="Calibri" w:hAnsi="Calibri" w:cs="Calibri"/>
              </w:rPr>
            </w:pPr>
            <w:r w:rsidRPr="00203191">
              <w:rPr>
                <w:rFonts w:ascii="Calibri" w:hAnsi="Calibri" w:cs="Calibri"/>
              </w:rPr>
              <w:t>BN-64/8931-02</w:t>
            </w:r>
          </w:p>
        </w:tc>
        <w:tc>
          <w:tcPr>
            <w:tcW w:w="7513" w:type="dxa"/>
          </w:tcPr>
          <w:p w:rsidR="00656AC1" w:rsidRPr="00203191" w:rsidRDefault="00656AC1" w:rsidP="00364E4D">
            <w:pPr>
              <w:rPr>
                <w:rFonts w:ascii="Calibri" w:hAnsi="Calibri" w:cs="Calibri"/>
              </w:rPr>
            </w:pPr>
            <w:r w:rsidRPr="00203191">
              <w:rPr>
                <w:rFonts w:ascii="Calibri" w:hAnsi="Calibri" w:cs="Calibri"/>
              </w:rPr>
              <w:t>Drogi samochodowe. Oznaczanie modułu odkształcenia nawierzchni podatnych i podłoża przez obciążenie płytą</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13</w:t>
            </w:r>
          </w:p>
        </w:tc>
        <w:tc>
          <w:tcPr>
            <w:tcW w:w="1701" w:type="dxa"/>
          </w:tcPr>
          <w:p w:rsidR="00656AC1" w:rsidRPr="00203191" w:rsidRDefault="00656AC1" w:rsidP="00364E4D">
            <w:pPr>
              <w:rPr>
                <w:rFonts w:ascii="Calibri" w:hAnsi="Calibri" w:cs="Calibri"/>
              </w:rPr>
            </w:pPr>
            <w:r w:rsidRPr="00203191">
              <w:rPr>
                <w:rFonts w:ascii="Calibri" w:hAnsi="Calibri" w:cs="Calibri"/>
              </w:rPr>
              <w:t>BN-68/8931-04</w:t>
            </w:r>
          </w:p>
        </w:tc>
        <w:tc>
          <w:tcPr>
            <w:tcW w:w="7513" w:type="dxa"/>
          </w:tcPr>
          <w:p w:rsidR="00656AC1" w:rsidRPr="00203191" w:rsidRDefault="00656AC1" w:rsidP="00364E4D">
            <w:pPr>
              <w:rPr>
                <w:rFonts w:ascii="Calibri" w:hAnsi="Calibri" w:cs="Calibri"/>
              </w:rPr>
            </w:pPr>
            <w:r w:rsidRPr="00203191">
              <w:rPr>
                <w:rFonts w:ascii="Calibri" w:hAnsi="Calibri" w:cs="Calibri"/>
              </w:rPr>
              <w:t>Drogi samochodowe. Pomiar równości nawierzchni planografem i łatą</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14</w:t>
            </w:r>
          </w:p>
        </w:tc>
        <w:tc>
          <w:tcPr>
            <w:tcW w:w="1701" w:type="dxa"/>
          </w:tcPr>
          <w:p w:rsidR="00656AC1" w:rsidRPr="00203191" w:rsidRDefault="00656AC1" w:rsidP="00364E4D">
            <w:pPr>
              <w:rPr>
                <w:rFonts w:ascii="Calibri" w:hAnsi="Calibri" w:cs="Calibri"/>
              </w:rPr>
            </w:pPr>
            <w:r w:rsidRPr="00203191">
              <w:rPr>
                <w:rFonts w:ascii="Calibri" w:hAnsi="Calibri" w:cs="Calibri"/>
              </w:rPr>
              <w:t>BN-70/8931-06</w:t>
            </w:r>
          </w:p>
        </w:tc>
        <w:tc>
          <w:tcPr>
            <w:tcW w:w="7513" w:type="dxa"/>
          </w:tcPr>
          <w:p w:rsidR="00656AC1" w:rsidRPr="00203191" w:rsidRDefault="00656AC1" w:rsidP="00364E4D">
            <w:pPr>
              <w:rPr>
                <w:rFonts w:ascii="Calibri" w:hAnsi="Calibri" w:cs="Calibri"/>
              </w:rPr>
            </w:pPr>
            <w:r w:rsidRPr="00203191">
              <w:rPr>
                <w:rFonts w:ascii="Calibri" w:hAnsi="Calibri" w:cs="Calibri"/>
              </w:rPr>
              <w:t>Drogi samochodowe. Pomiar ugięć podatnych ugięciomierzem belkowym</w:t>
            </w:r>
          </w:p>
        </w:tc>
      </w:tr>
      <w:tr w:rsidR="00656AC1" w:rsidRPr="00203191">
        <w:tc>
          <w:tcPr>
            <w:tcW w:w="637" w:type="dxa"/>
          </w:tcPr>
          <w:p w:rsidR="00656AC1" w:rsidRPr="00203191" w:rsidRDefault="00656AC1" w:rsidP="00364E4D">
            <w:pPr>
              <w:rPr>
                <w:rFonts w:ascii="Calibri" w:hAnsi="Calibri" w:cs="Calibri"/>
              </w:rPr>
            </w:pPr>
            <w:r w:rsidRPr="00203191">
              <w:rPr>
                <w:rFonts w:ascii="Calibri" w:hAnsi="Calibri" w:cs="Calibri"/>
              </w:rPr>
              <w:t xml:space="preserve"> 15</w:t>
            </w:r>
          </w:p>
        </w:tc>
        <w:tc>
          <w:tcPr>
            <w:tcW w:w="1701" w:type="dxa"/>
          </w:tcPr>
          <w:p w:rsidR="00656AC1" w:rsidRPr="00203191" w:rsidRDefault="00656AC1" w:rsidP="00364E4D">
            <w:pPr>
              <w:rPr>
                <w:rFonts w:ascii="Calibri" w:hAnsi="Calibri" w:cs="Calibri"/>
              </w:rPr>
            </w:pPr>
            <w:r w:rsidRPr="00203191">
              <w:rPr>
                <w:rFonts w:ascii="Calibri" w:hAnsi="Calibri" w:cs="Calibri"/>
              </w:rPr>
              <w:t>BN-77/8931-12</w:t>
            </w:r>
          </w:p>
        </w:tc>
        <w:tc>
          <w:tcPr>
            <w:tcW w:w="7513" w:type="dxa"/>
          </w:tcPr>
          <w:p w:rsidR="00656AC1" w:rsidRPr="00203191" w:rsidRDefault="00656AC1" w:rsidP="00364E4D">
            <w:pPr>
              <w:rPr>
                <w:rFonts w:ascii="Calibri" w:hAnsi="Calibri" w:cs="Calibri"/>
              </w:rPr>
            </w:pPr>
            <w:r w:rsidRPr="00203191">
              <w:rPr>
                <w:rFonts w:ascii="Calibri" w:hAnsi="Calibri" w:cs="Calibri"/>
              </w:rPr>
              <w:t>Oznaczanie wskaźnika zagęszczenia gruntu</w:t>
            </w:r>
          </w:p>
        </w:tc>
      </w:tr>
    </w:tbl>
    <w:p w:rsidR="00656AC1" w:rsidRPr="00203191" w:rsidRDefault="00656AC1" w:rsidP="00364E4D">
      <w:pPr>
        <w:pStyle w:val="Nagwek4"/>
        <w:rPr>
          <w:rFonts w:ascii="Calibri" w:hAnsi="Calibri" w:cs="Calibri"/>
        </w:rPr>
      </w:pPr>
      <w:r w:rsidRPr="00203191">
        <w:rPr>
          <w:rFonts w:ascii="Calibri" w:hAnsi="Calibri" w:cs="Calibri"/>
        </w:rPr>
        <w:t>10.2. Inne dokumenty</w:t>
      </w:r>
    </w:p>
    <w:p w:rsidR="00656AC1" w:rsidRPr="00203191" w:rsidRDefault="00656AC1" w:rsidP="00954A11">
      <w:pPr>
        <w:numPr>
          <w:ilvl w:val="0"/>
          <w:numId w:val="17"/>
        </w:numPr>
        <w:rPr>
          <w:rFonts w:ascii="Calibri" w:hAnsi="Calibri" w:cs="Calibri"/>
        </w:rPr>
      </w:pPr>
      <w:r w:rsidRPr="00203191">
        <w:rPr>
          <w:rFonts w:ascii="Calibri" w:hAnsi="Calibri" w:cs="Calibri"/>
        </w:rPr>
        <w:t>Katalog typowych konstrukcji nawierzchni podatnych i półsztywnych, IBDiM - Warszawa 1997.</w:t>
      </w:r>
    </w:p>
    <w:p w:rsidR="00656AC1" w:rsidRPr="00203191" w:rsidRDefault="00656AC1" w:rsidP="00954A11">
      <w:pPr>
        <w:numPr>
          <w:ilvl w:val="0"/>
          <w:numId w:val="17"/>
        </w:numPr>
        <w:rPr>
          <w:rFonts w:ascii="Calibri" w:hAnsi="Calibri" w:cs="Calibri"/>
        </w:rPr>
      </w:pPr>
      <w:r w:rsidRPr="00203191">
        <w:rPr>
          <w:rFonts w:ascii="Calibri" w:hAnsi="Calibri" w:cs="Calibri"/>
        </w:rPr>
        <w:lastRenderedPageBreak/>
        <w:t>Instrukcja Badań podłoża gruntowego budowli drogowych i mostowych IBDiM Warszawa 1998</w:t>
      </w:r>
    </w:p>
    <w:p w:rsidR="00656AC1" w:rsidRPr="00203191" w:rsidRDefault="00656AC1" w:rsidP="00954A11">
      <w:pPr>
        <w:numPr>
          <w:ilvl w:val="0"/>
          <w:numId w:val="17"/>
        </w:numPr>
        <w:rPr>
          <w:rFonts w:ascii="Calibri" w:hAnsi="Calibri" w:cs="Calibri"/>
        </w:rPr>
      </w:pPr>
      <w:r w:rsidRPr="00203191">
        <w:rPr>
          <w:rFonts w:ascii="Calibri" w:hAnsi="Calibri" w:cs="Calibri"/>
        </w:rPr>
        <w:t>WT-4 2010 Mieszanki niezwiązane do dróg krajowych Wymagania techniczne</w:t>
      </w:r>
    </w:p>
    <w:p w:rsidR="00656AC1" w:rsidRPr="00203191" w:rsidRDefault="00656AC1" w:rsidP="00364E4D">
      <w:pPr>
        <w:jc w:val="center"/>
        <w:rPr>
          <w:rFonts w:ascii="Calibri" w:hAnsi="Calibri" w:cs="Calibri"/>
          <w:b/>
          <w:bCs/>
          <w:sz w:val="28"/>
          <w:szCs w:val="28"/>
        </w:rPr>
      </w:pPr>
    </w:p>
    <w:p w:rsidR="00656AC1" w:rsidRPr="00203191" w:rsidRDefault="00656AC1" w:rsidP="00364E4D">
      <w:pPr>
        <w:jc w:val="center"/>
        <w:rPr>
          <w:rFonts w:ascii="Calibri" w:hAnsi="Calibri" w:cs="Calibri"/>
          <w:b/>
          <w:bCs/>
          <w:sz w:val="28"/>
          <w:szCs w:val="28"/>
        </w:rPr>
      </w:pPr>
    </w:p>
    <w:p w:rsidR="00656AC1" w:rsidRPr="00203191" w:rsidRDefault="00656AC1" w:rsidP="00364E4D">
      <w:pPr>
        <w:jc w:val="center"/>
        <w:rPr>
          <w:rFonts w:ascii="Calibri" w:hAnsi="Calibri" w:cs="Calibri"/>
          <w:b/>
          <w:bCs/>
          <w:sz w:val="28"/>
          <w:szCs w:val="28"/>
        </w:rPr>
      </w:pPr>
    </w:p>
    <w:p w:rsidR="00656AC1" w:rsidRPr="006C5E54" w:rsidRDefault="005B48CA" w:rsidP="006C5E54">
      <w:pPr>
        <w:pStyle w:val="Nagwek2"/>
      </w:pPr>
      <w:r w:rsidRPr="006C5E54">
        <w:lastRenderedPageBreak/>
        <w:t>SPECYFIKACJE TECHNICZNE</w:t>
      </w:r>
      <w:r w:rsidR="00413511" w:rsidRPr="006C5E54">
        <w:t xml:space="preserve"> WYKONYWANIA I ODBIORU ROBÓT BUDOWLANYCH</w:t>
      </w:r>
    </w:p>
    <w:p w:rsidR="00656AC1" w:rsidRPr="006C5E54" w:rsidRDefault="00656AC1" w:rsidP="006C5E54">
      <w:pPr>
        <w:pStyle w:val="Nagwek1"/>
      </w:pPr>
      <w:bookmarkStart w:id="1040" w:name="_Toc296923102"/>
      <w:bookmarkStart w:id="1041" w:name="_Toc333441668"/>
      <w:bookmarkStart w:id="1042" w:name="_Toc333657245"/>
      <w:bookmarkStart w:id="1043" w:name="_Toc334095430"/>
      <w:bookmarkStart w:id="1044" w:name="_Toc352837488"/>
      <w:bookmarkStart w:id="1045" w:name="_Toc427178273"/>
      <w:bookmarkStart w:id="1046" w:name="_Toc459929672"/>
      <w:r w:rsidRPr="006C5E54">
        <w:t>D-04.05.01 ULEPSZONE PODŁOŻE Z GRUNTÓW STABILIZOWANYCH CEMENTEM</w:t>
      </w:r>
      <w:bookmarkEnd w:id="1040"/>
      <w:bookmarkEnd w:id="1041"/>
      <w:bookmarkEnd w:id="1042"/>
      <w:bookmarkEnd w:id="1043"/>
      <w:bookmarkEnd w:id="1044"/>
      <w:bookmarkEnd w:id="1045"/>
      <w:bookmarkEnd w:id="1046"/>
    </w:p>
    <w:p w:rsidR="00656AC1" w:rsidRPr="00203191" w:rsidRDefault="00656AC1" w:rsidP="00364E4D">
      <w:pPr>
        <w:pStyle w:val="Nagwek3"/>
        <w:tabs>
          <w:tab w:val="left" w:pos="9914"/>
        </w:tabs>
        <w:rPr>
          <w:rFonts w:ascii="Calibri" w:hAnsi="Calibri" w:cs="Calibri"/>
        </w:rPr>
      </w:pPr>
      <w:r w:rsidRPr="00203191">
        <w:rPr>
          <w:rFonts w:ascii="Calibri" w:hAnsi="Calibri" w:cs="Calibri"/>
        </w:rPr>
        <w:t>1. WSTĘP</w:t>
      </w:r>
    </w:p>
    <w:p w:rsidR="00656AC1" w:rsidRPr="00203191" w:rsidRDefault="00656AC1" w:rsidP="00364E4D">
      <w:pPr>
        <w:pStyle w:val="Nagwek4"/>
        <w:tabs>
          <w:tab w:val="left" w:pos="9914"/>
        </w:tabs>
        <w:rPr>
          <w:rFonts w:ascii="Calibri" w:hAnsi="Calibri" w:cs="Calibri"/>
        </w:rPr>
      </w:pPr>
      <w:bookmarkStart w:id="1047" w:name="_Toc405780134"/>
      <w:r w:rsidRPr="00203191">
        <w:rPr>
          <w:rFonts w:ascii="Calibri" w:hAnsi="Calibri" w:cs="Calibri"/>
        </w:rPr>
        <w:t xml:space="preserve">1.1. Przedmiot </w:t>
      </w:r>
      <w:bookmarkEnd w:id="1047"/>
      <w:r w:rsidR="005B48CA">
        <w:rPr>
          <w:rFonts w:ascii="Calibri" w:hAnsi="Calibri" w:cs="Calibri"/>
        </w:rPr>
        <w:t>STWiORB</w:t>
      </w:r>
    </w:p>
    <w:p w:rsidR="00656AC1" w:rsidRPr="00203191" w:rsidRDefault="00656AC1" w:rsidP="00364E4D">
      <w:pPr>
        <w:tabs>
          <w:tab w:val="left" w:pos="9914"/>
        </w:tabs>
        <w:rPr>
          <w:rFonts w:ascii="Calibri" w:hAnsi="Calibri" w:cs="Calibri"/>
        </w:rPr>
      </w:pPr>
      <w:bookmarkStart w:id="1048" w:name="_Toc405780135"/>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technicznej wykonania i odbioru robót budowlanych (</w:t>
      </w:r>
      <w:r w:rsidR="005B48CA">
        <w:rPr>
          <w:rFonts w:ascii="Calibri" w:hAnsi="Calibri" w:cs="Calibri"/>
        </w:rPr>
        <w:t>STWiORB</w:t>
      </w:r>
      <w:r w:rsidRPr="00203191">
        <w:rPr>
          <w:rFonts w:ascii="Calibri" w:hAnsi="Calibri" w:cs="Calibri"/>
        </w:rPr>
        <w:t>) są wymagania ogólne dotyczące wykonania i odbioru robót związanych z wykonywaniem ulepszonego podłoża z gruntu lub kruszywa stabilizowanego cementem.</w:t>
      </w:r>
      <w:bookmarkEnd w:id="1048"/>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5E0A24">
      <w:pPr>
        <w:rPr>
          <w:rFonts w:ascii="Calibri" w:hAnsi="Calibri" w:cs="Calibri"/>
        </w:rPr>
      </w:pPr>
      <w:bookmarkStart w:id="1049" w:name="_Toc405780136"/>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1.3. Zakres robót objętych </w:t>
      </w:r>
      <w:bookmarkEnd w:id="1049"/>
      <w:r w:rsidR="005B48CA">
        <w:rPr>
          <w:rFonts w:ascii="Calibri" w:hAnsi="Calibri" w:cs="Calibri"/>
        </w:rPr>
        <w:t>STWiORB</w:t>
      </w:r>
    </w:p>
    <w:p w:rsidR="00656AC1" w:rsidRPr="00203191" w:rsidRDefault="00656AC1" w:rsidP="00364E4D">
      <w:pPr>
        <w:tabs>
          <w:tab w:val="left" w:pos="9914"/>
        </w:tabs>
        <w:rPr>
          <w:rFonts w:ascii="Calibri" w:hAnsi="Calibri" w:cs="Calibri"/>
        </w:rPr>
      </w:pPr>
      <w:bookmarkStart w:id="1050" w:name="_Toc405780137"/>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 wykonaniem ulepszonego podłoża z gruntu lub kruszywa stabilizowanego cementem wg PN-EN-13242:2004 oraz WT-5 2010 Mieszanki związane spoiwem hydraulicznym do dróg krajowych Wymagania Techniczne..</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1.4. Określenia podstawowe</w:t>
      </w:r>
      <w:bookmarkEnd w:id="1050"/>
    </w:p>
    <w:p w:rsidR="00656AC1" w:rsidRPr="00203191" w:rsidRDefault="00656AC1" w:rsidP="00364E4D">
      <w:pPr>
        <w:tabs>
          <w:tab w:val="left" w:pos="9914"/>
        </w:tabs>
        <w:spacing w:before="120"/>
        <w:rPr>
          <w:rFonts w:ascii="Calibri" w:hAnsi="Calibri" w:cs="Calibri"/>
        </w:rPr>
      </w:pPr>
      <w:bookmarkStart w:id="1051" w:name="_Toc405780138"/>
      <w:r w:rsidRPr="00203191">
        <w:rPr>
          <w:rFonts w:ascii="Calibri" w:hAnsi="Calibri" w:cs="Calibri"/>
          <w:b/>
          <w:bCs/>
          <w:i/>
          <w:iCs/>
        </w:rPr>
        <w:t>1.4.1.</w:t>
      </w:r>
      <w:r w:rsidRPr="00203191">
        <w:rPr>
          <w:rFonts w:ascii="Calibri" w:hAnsi="Calibri" w:cs="Calibri"/>
          <w:b/>
          <w:bCs/>
        </w:rPr>
        <w:t xml:space="preserve"> </w:t>
      </w:r>
      <w:r w:rsidRPr="00203191">
        <w:rPr>
          <w:rFonts w:ascii="Calibri" w:hAnsi="Calibri" w:cs="Calibri"/>
        </w:rPr>
        <w:t>Grunt stabilizowany cementem - mieszanka cementowo-gruntowa zagęszczona i stwardniała w wyniku ukończenia procesu wiązania cementu.</w:t>
      </w:r>
    </w:p>
    <w:p w:rsidR="00656AC1" w:rsidRPr="00203191" w:rsidRDefault="00656AC1" w:rsidP="00364E4D">
      <w:pPr>
        <w:tabs>
          <w:tab w:val="left" w:pos="9914"/>
        </w:tabs>
        <w:spacing w:before="120"/>
        <w:rPr>
          <w:rFonts w:ascii="Calibri" w:hAnsi="Calibri" w:cs="Calibri"/>
        </w:rPr>
      </w:pPr>
      <w:r w:rsidRPr="00203191">
        <w:rPr>
          <w:rFonts w:ascii="Calibri" w:hAnsi="Calibri" w:cs="Calibri"/>
          <w:b/>
          <w:bCs/>
          <w:i/>
          <w:iCs/>
        </w:rPr>
        <w:t>1.4.2.</w:t>
      </w:r>
      <w:r w:rsidRPr="00203191">
        <w:rPr>
          <w:rFonts w:ascii="Calibri" w:hAnsi="Calibri" w:cs="Calibri"/>
          <w:b/>
          <w:bCs/>
        </w:rPr>
        <w:t xml:space="preserve"> </w:t>
      </w:r>
      <w:r w:rsidRPr="00203191">
        <w:rPr>
          <w:rFonts w:ascii="Calibri" w:hAnsi="Calibri" w:cs="Calibri"/>
        </w:rPr>
        <w:t>Kruszywo stabilizowane cementem - mieszanka kruszywa naturalnego, cementu i wody, a w razie potrzeby dodatków ulepszających, np. popiołów lotnych lub chlorku wapniowego, dobranych w optymalnych ilościach, zagęszczona i stwardniała w wyniku ukończenia procesu wiązania cementu.</w:t>
      </w:r>
    </w:p>
    <w:p w:rsidR="00656AC1" w:rsidRPr="00203191" w:rsidRDefault="00656AC1" w:rsidP="00364E4D">
      <w:pPr>
        <w:tabs>
          <w:tab w:val="left" w:pos="9914"/>
        </w:tabs>
        <w:spacing w:before="120"/>
        <w:rPr>
          <w:rFonts w:ascii="Calibri" w:hAnsi="Calibri" w:cs="Calibri"/>
        </w:rPr>
      </w:pPr>
      <w:r w:rsidRPr="00203191">
        <w:rPr>
          <w:rFonts w:ascii="Calibri" w:hAnsi="Calibri" w:cs="Calibri"/>
          <w:b/>
          <w:bCs/>
          <w:i/>
          <w:iCs/>
        </w:rPr>
        <w:t>1.4.3.</w:t>
      </w:r>
      <w:r w:rsidRPr="00203191">
        <w:rPr>
          <w:rFonts w:ascii="Calibri" w:hAnsi="Calibri" w:cs="Calibri"/>
          <w:b/>
          <w:bCs/>
        </w:rPr>
        <w:t xml:space="preserve"> </w:t>
      </w:r>
      <w:r w:rsidRPr="00203191">
        <w:rPr>
          <w:rFonts w:ascii="Calibri" w:hAnsi="Calibri" w:cs="Calibri"/>
        </w:rPr>
        <w:t>Mieszanka cementowo-gruntowa - mieszanka gruntu, cementu i wody, a w razie potrzeby również dodatków ulepszających, np. popiołów lotnych lub chlorku wapniowego, dobranych w optymalnych ilościach.</w:t>
      </w:r>
    </w:p>
    <w:p w:rsidR="00656AC1" w:rsidRPr="00203191" w:rsidRDefault="00656AC1" w:rsidP="00364E4D">
      <w:pPr>
        <w:tabs>
          <w:tab w:val="left" w:pos="9914"/>
        </w:tabs>
        <w:rPr>
          <w:rFonts w:ascii="Calibri" w:hAnsi="Calibri" w:cs="Calibri"/>
        </w:rPr>
      </w:pPr>
      <w:r w:rsidRPr="00203191">
        <w:rPr>
          <w:rFonts w:ascii="Calibri" w:hAnsi="Calibri" w:cs="Calibri"/>
          <w:b/>
          <w:bCs/>
          <w:i/>
          <w:iCs/>
        </w:rPr>
        <w:t>1.4.4.</w:t>
      </w:r>
      <w:r w:rsidRPr="00203191">
        <w:rPr>
          <w:rFonts w:ascii="Calibri" w:hAnsi="Calibri" w:cs="Calibri"/>
          <w:b/>
          <w:bCs/>
        </w:rPr>
        <w:t xml:space="preserve"> </w:t>
      </w:r>
      <w:r w:rsidRPr="00203191">
        <w:rPr>
          <w:rFonts w:ascii="Calibri" w:hAnsi="Calibri" w:cs="Calibri"/>
        </w:rPr>
        <w:t>Podbudowa z gruntu stabilizowanego cementem - warstwa zagęszczonej mieszanki cementowo-gruntowej, która po osiągnięciu właściwej wytrzymałości na ściskanie, stanowi fragment nośnej części nawierzchni drogowej.</w:t>
      </w:r>
    </w:p>
    <w:p w:rsidR="00656AC1" w:rsidRPr="00203191" w:rsidRDefault="00656AC1" w:rsidP="00364E4D">
      <w:pPr>
        <w:tabs>
          <w:tab w:val="left" w:pos="9914"/>
        </w:tabs>
        <w:spacing w:before="120"/>
        <w:rPr>
          <w:rFonts w:ascii="Calibri" w:hAnsi="Calibri" w:cs="Calibri"/>
        </w:rPr>
      </w:pPr>
      <w:r w:rsidRPr="00203191">
        <w:rPr>
          <w:rFonts w:ascii="Calibri" w:hAnsi="Calibri" w:cs="Calibri"/>
          <w:b/>
          <w:bCs/>
          <w:i/>
          <w:iCs/>
        </w:rPr>
        <w:t>1.4.5.</w:t>
      </w:r>
      <w:r w:rsidRPr="00203191">
        <w:rPr>
          <w:rFonts w:ascii="Calibri" w:hAnsi="Calibri" w:cs="Calibri"/>
          <w:b/>
          <w:bCs/>
        </w:rPr>
        <w:t xml:space="preserve"> </w:t>
      </w:r>
      <w:r w:rsidRPr="00203191">
        <w:rPr>
          <w:rFonts w:ascii="Calibri" w:hAnsi="Calibri" w:cs="Calibri"/>
        </w:rPr>
        <w:t>Podłoże gruntowe ulepszone cementem - warstwa zagęszczonej mieszanki cementowo-gruntowej, na której układana jest warstwa podbudowy.</w:t>
      </w:r>
    </w:p>
    <w:p w:rsidR="00656AC1" w:rsidRPr="00203191" w:rsidRDefault="00656AC1" w:rsidP="00364E4D">
      <w:pPr>
        <w:tabs>
          <w:tab w:val="left" w:pos="9914"/>
        </w:tabs>
        <w:spacing w:before="120"/>
        <w:rPr>
          <w:rFonts w:ascii="Calibri" w:hAnsi="Calibri" w:cs="Calibri"/>
        </w:rPr>
      </w:pPr>
      <w:r w:rsidRPr="00203191">
        <w:rPr>
          <w:rFonts w:ascii="Calibri" w:hAnsi="Calibri" w:cs="Calibri"/>
          <w:b/>
          <w:bCs/>
          <w:i/>
          <w:iCs/>
        </w:rPr>
        <w:t>1.4.6.</w:t>
      </w:r>
      <w:r w:rsidRPr="00203191">
        <w:rPr>
          <w:rFonts w:ascii="Calibri" w:hAnsi="Calibri" w:cs="Calibri"/>
          <w:b/>
          <w:bCs/>
        </w:rPr>
        <w:t xml:space="preserve"> </w:t>
      </w:r>
      <w:r w:rsidRPr="00203191">
        <w:rPr>
          <w:rFonts w:ascii="Calibri" w:hAnsi="Calibri" w:cs="Calibri"/>
        </w:rPr>
        <w:t xml:space="preserve">Pozostałe określenia są zgodne z obowiązującymi, odpowiednimi polskimi normami i z definicjami podanymi w </w:t>
      </w:r>
      <w:r w:rsidR="005B48CA">
        <w:rPr>
          <w:rFonts w:ascii="Calibri" w:hAnsi="Calibri" w:cs="Calibri"/>
        </w:rPr>
        <w:t>STWiORB</w:t>
      </w:r>
      <w:r w:rsidRPr="00203191">
        <w:rPr>
          <w:rFonts w:ascii="Calibri" w:hAnsi="Calibri" w:cs="Calibri"/>
        </w:rPr>
        <w:t xml:space="preserve"> D-M-00.00.00 „Wymagania ogólne” pkt 1.4.</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1.5. Ogólne wymagania dotyczące robót</w:t>
      </w:r>
      <w:bookmarkEnd w:id="1051"/>
    </w:p>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 xml:space="preserve">2. </w:t>
      </w:r>
      <w:r w:rsidR="00A95FEE">
        <w:rPr>
          <w:rFonts w:ascii="Calibri" w:hAnsi="Calibri" w:cs="Calibri"/>
        </w:rPr>
        <w:t>WYROBY BUDOWLANE</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2.1. Ogólne wymagania dotyczące materiałów</w:t>
      </w:r>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lastRenderedPageBreak/>
        <w:t>2.2. Cement</w:t>
      </w:r>
    </w:p>
    <w:p w:rsidR="00656AC1" w:rsidRPr="00203191" w:rsidRDefault="00656AC1" w:rsidP="00364E4D">
      <w:pPr>
        <w:tabs>
          <w:tab w:val="left" w:pos="9914"/>
        </w:tabs>
        <w:rPr>
          <w:rFonts w:ascii="Calibri" w:hAnsi="Calibri" w:cs="Calibri"/>
        </w:rPr>
      </w:pPr>
      <w:r w:rsidRPr="00203191">
        <w:rPr>
          <w:rFonts w:ascii="Calibri" w:hAnsi="Calibri" w:cs="Calibri"/>
        </w:rPr>
        <w:t xml:space="preserve">Należy stosować cement CEM </w:t>
      </w:r>
      <w:r w:rsidR="00F435E3">
        <w:rPr>
          <w:rFonts w:ascii="Calibri" w:hAnsi="Calibri" w:cs="Calibri"/>
        </w:rPr>
        <w:t>II/A 42,5 LH/HSR</w:t>
      </w:r>
      <w:r w:rsidRPr="00203191">
        <w:rPr>
          <w:rFonts w:ascii="Calibri" w:hAnsi="Calibri" w:cs="Calibri"/>
        </w:rPr>
        <w:t xml:space="preserve"> wg PN-EN-197-1:2002</w:t>
      </w:r>
    </w:p>
    <w:p w:rsidR="00656AC1" w:rsidRPr="00203191" w:rsidRDefault="00656AC1" w:rsidP="00364E4D">
      <w:pPr>
        <w:tabs>
          <w:tab w:val="left" w:pos="9914"/>
        </w:tabs>
        <w:rPr>
          <w:rFonts w:ascii="Calibri" w:hAnsi="Calibri" w:cs="Calibri"/>
        </w:rPr>
      </w:pPr>
      <w:r w:rsidRPr="00203191">
        <w:rPr>
          <w:rFonts w:ascii="Calibri" w:hAnsi="Calibri" w:cs="Calibri"/>
        </w:rPr>
        <w:t>Wymagania dla cementu zestawiono w tablicy 1.</w:t>
      </w:r>
    </w:p>
    <w:p w:rsidR="00656AC1" w:rsidRPr="00203191" w:rsidRDefault="00656AC1" w:rsidP="00364E4D">
      <w:pPr>
        <w:tabs>
          <w:tab w:val="left" w:pos="9914"/>
        </w:tabs>
        <w:spacing w:before="120" w:after="120"/>
        <w:rPr>
          <w:rFonts w:ascii="Calibri" w:hAnsi="Calibri" w:cs="Calibri"/>
        </w:rPr>
      </w:pPr>
      <w:r w:rsidRPr="00203191">
        <w:rPr>
          <w:rFonts w:ascii="Calibri" w:hAnsi="Calibri" w:cs="Calibri"/>
        </w:rPr>
        <w:t>Tablica 1. Właściwości mechaniczne i fizyczne cementu wg PN-EN-197-1:2002</w:t>
      </w:r>
    </w:p>
    <w:tbl>
      <w:tblPr>
        <w:tblW w:w="0" w:type="auto"/>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7134"/>
        <w:gridCol w:w="1770"/>
      </w:tblGrid>
      <w:tr w:rsidR="00656AC1" w:rsidRPr="00203191">
        <w:tc>
          <w:tcPr>
            <w:tcW w:w="496" w:type="dxa"/>
            <w:tcBorders>
              <w:bottom w:val="double" w:sz="6" w:space="0" w:color="auto"/>
            </w:tcBorders>
          </w:tcPr>
          <w:p w:rsidR="00656AC1" w:rsidRPr="00203191" w:rsidRDefault="00656AC1" w:rsidP="00364E4D">
            <w:pPr>
              <w:tabs>
                <w:tab w:val="left" w:pos="9914"/>
              </w:tabs>
              <w:spacing w:before="120"/>
              <w:jc w:val="center"/>
              <w:rPr>
                <w:rFonts w:ascii="Calibri" w:hAnsi="Calibri" w:cs="Calibri"/>
              </w:rPr>
            </w:pPr>
            <w:r w:rsidRPr="00203191">
              <w:rPr>
                <w:rFonts w:ascii="Calibri" w:hAnsi="Calibri" w:cs="Calibri"/>
              </w:rPr>
              <w:t>Lp.</w:t>
            </w:r>
          </w:p>
        </w:tc>
        <w:tc>
          <w:tcPr>
            <w:tcW w:w="7134" w:type="dxa"/>
            <w:tcBorders>
              <w:bottom w:val="double" w:sz="6" w:space="0" w:color="auto"/>
            </w:tcBorders>
          </w:tcPr>
          <w:p w:rsidR="00656AC1" w:rsidRPr="00203191" w:rsidRDefault="00656AC1" w:rsidP="00364E4D">
            <w:pPr>
              <w:tabs>
                <w:tab w:val="left" w:pos="9914"/>
              </w:tabs>
              <w:spacing w:before="120"/>
              <w:jc w:val="center"/>
              <w:rPr>
                <w:rFonts w:ascii="Calibri" w:hAnsi="Calibri" w:cs="Calibri"/>
              </w:rPr>
            </w:pPr>
            <w:r w:rsidRPr="00203191">
              <w:rPr>
                <w:rFonts w:ascii="Calibri" w:hAnsi="Calibri" w:cs="Calibri"/>
              </w:rPr>
              <w:t>Właściwości</w:t>
            </w:r>
          </w:p>
        </w:tc>
        <w:tc>
          <w:tcPr>
            <w:tcW w:w="1770" w:type="dxa"/>
            <w:tcBorders>
              <w:bottom w:val="double" w:sz="6" w:space="0" w:color="auto"/>
            </w:tcBorders>
          </w:tcPr>
          <w:p w:rsidR="00656AC1" w:rsidRPr="00203191" w:rsidRDefault="00656AC1" w:rsidP="00364E4D">
            <w:pPr>
              <w:tabs>
                <w:tab w:val="left" w:pos="9914"/>
              </w:tabs>
              <w:jc w:val="center"/>
              <w:rPr>
                <w:rFonts w:ascii="Calibri" w:hAnsi="Calibri" w:cs="Calibri"/>
              </w:rPr>
            </w:pPr>
            <w:r w:rsidRPr="00203191">
              <w:rPr>
                <w:rFonts w:ascii="Calibri" w:hAnsi="Calibri" w:cs="Calibri"/>
              </w:rPr>
              <w:t>Wymagania</w:t>
            </w:r>
          </w:p>
        </w:tc>
      </w:tr>
      <w:tr w:rsidR="00656AC1" w:rsidRPr="00203191">
        <w:tc>
          <w:tcPr>
            <w:tcW w:w="496" w:type="dxa"/>
            <w:tcBorders>
              <w:top w:val="nil"/>
            </w:tcBorders>
          </w:tcPr>
          <w:p w:rsidR="00656AC1" w:rsidRPr="00203191" w:rsidRDefault="00656AC1" w:rsidP="00364E4D">
            <w:pPr>
              <w:tabs>
                <w:tab w:val="left" w:pos="9914"/>
              </w:tabs>
              <w:spacing w:before="60"/>
              <w:jc w:val="center"/>
              <w:rPr>
                <w:rFonts w:ascii="Calibri" w:hAnsi="Calibri" w:cs="Calibri"/>
              </w:rPr>
            </w:pPr>
            <w:r w:rsidRPr="00203191">
              <w:rPr>
                <w:rFonts w:ascii="Calibri" w:hAnsi="Calibri" w:cs="Calibri"/>
              </w:rPr>
              <w:t>1</w:t>
            </w:r>
          </w:p>
        </w:tc>
        <w:tc>
          <w:tcPr>
            <w:tcW w:w="7134" w:type="dxa"/>
            <w:tcBorders>
              <w:top w:val="nil"/>
            </w:tcBorders>
          </w:tcPr>
          <w:p w:rsidR="00656AC1" w:rsidRPr="00203191" w:rsidRDefault="00656AC1" w:rsidP="00364E4D">
            <w:pPr>
              <w:tabs>
                <w:tab w:val="left" w:pos="9914"/>
              </w:tabs>
              <w:spacing w:before="60"/>
              <w:rPr>
                <w:rFonts w:ascii="Calibri" w:hAnsi="Calibri" w:cs="Calibri"/>
              </w:rPr>
            </w:pPr>
            <w:r w:rsidRPr="00203191">
              <w:rPr>
                <w:rFonts w:ascii="Calibri" w:hAnsi="Calibri" w:cs="Calibri"/>
              </w:rPr>
              <w:t>Wytrzymałość na ściskanie (MPa), po 7 dniach, nie mniej niż:</w:t>
            </w:r>
          </w:p>
        </w:tc>
        <w:tc>
          <w:tcPr>
            <w:tcW w:w="1770" w:type="dxa"/>
            <w:tcBorders>
              <w:top w:val="nil"/>
            </w:tcBorders>
          </w:tcPr>
          <w:p w:rsidR="00656AC1" w:rsidRPr="00203191" w:rsidRDefault="006509EE" w:rsidP="00364E4D">
            <w:pPr>
              <w:tabs>
                <w:tab w:val="left" w:pos="9914"/>
              </w:tabs>
              <w:jc w:val="center"/>
              <w:rPr>
                <w:rFonts w:ascii="Calibri" w:hAnsi="Calibri" w:cs="Calibri"/>
              </w:rPr>
            </w:pPr>
            <w:r>
              <w:rPr>
                <w:rFonts w:ascii="Calibri" w:hAnsi="Calibri" w:cs="Calibri"/>
              </w:rPr>
              <w:t>20</w:t>
            </w:r>
          </w:p>
        </w:tc>
      </w:tr>
      <w:tr w:rsidR="00656AC1" w:rsidRPr="00203191">
        <w:tc>
          <w:tcPr>
            <w:tcW w:w="496" w:type="dxa"/>
          </w:tcPr>
          <w:p w:rsidR="00656AC1" w:rsidRPr="00203191" w:rsidRDefault="00656AC1" w:rsidP="00364E4D">
            <w:pPr>
              <w:tabs>
                <w:tab w:val="left" w:pos="9914"/>
              </w:tabs>
              <w:spacing w:before="60" w:after="60"/>
              <w:jc w:val="center"/>
              <w:rPr>
                <w:rFonts w:ascii="Calibri" w:hAnsi="Calibri" w:cs="Calibri"/>
              </w:rPr>
            </w:pPr>
            <w:r w:rsidRPr="00203191">
              <w:rPr>
                <w:rFonts w:ascii="Calibri" w:hAnsi="Calibri" w:cs="Calibri"/>
              </w:rPr>
              <w:t>2</w:t>
            </w:r>
          </w:p>
        </w:tc>
        <w:tc>
          <w:tcPr>
            <w:tcW w:w="7134" w:type="dxa"/>
          </w:tcPr>
          <w:p w:rsidR="00656AC1" w:rsidRPr="00203191" w:rsidRDefault="00656AC1" w:rsidP="00364E4D">
            <w:pPr>
              <w:tabs>
                <w:tab w:val="left" w:pos="9914"/>
              </w:tabs>
              <w:spacing w:before="60" w:after="60"/>
              <w:rPr>
                <w:rFonts w:ascii="Calibri" w:hAnsi="Calibri" w:cs="Calibri"/>
              </w:rPr>
            </w:pPr>
            <w:r w:rsidRPr="00203191">
              <w:rPr>
                <w:rFonts w:ascii="Calibri" w:hAnsi="Calibri" w:cs="Calibri"/>
              </w:rPr>
              <w:t>Wytrzymałość na ściskanie (MPa), po 28 dniach, nie mniej niż:</w:t>
            </w:r>
          </w:p>
        </w:tc>
        <w:tc>
          <w:tcPr>
            <w:tcW w:w="1770" w:type="dxa"/>
          </w:tcPr>
          <w:p w:rsidR="00656AC1" w:rsidRPr="00203191" w:rsidRDefault="006509EE" w:rsidP="00364E4D">
            <w:pPr>
              <w:tabs>
                <w:tab w:val="left" w:pos="9914"/>
              </w:tabs>
              <w:spacing w:before="60" w:after="60"/>
              <w:jc w:val="center"/>
              <w:rPr>
                <w:rFonts w:ascii="Calibri" w:hAnsi="Calibri" w:cs="Calibri"/>
              </w:rPr>
            </w:pPr>
            <w:r>
              <w:rPr>
                <w:rFonts w:ascii="Calibri" w:hAnsi="Calibri" w:cs="Calibri"/>
              </w:rPr>
              <w:t>42,5 – 6</w:t>
            </w:r>
            <w:r w:rsidR="00656AC1" w:rsidRPr="00203191">
              <w:rPr>
                <w:rFonts w:ascii="Calibri" w:hAnsi="Calibri" w:cs="Calibri"/>
              </w:rPr>
              <w:t>2,5</w:t>
            </w:r>
          </w:p>
        </w:tc>
      </w:tr>
      <w:tr w:rsidR="00656AC1" w:rsidRPr="00203191">
        <w:tc>
          <w:tcPr>
            <w:tcW w:w="496" w:type="dxa"/>
          </w:tcPr>
          <w:p w:rsidR="00656AC1" w:rsidRPr="00203191" w:rsidRDefault="00656AC1" w:rsidP="00364E4D">
            <w:pPr>
              <w:tabs>
                <w:tab w:val="left" w:pos="9914"/>
              </w:tabs>
              <w:spacing w:before="60"/>
              <w:jc w:val="center"/>
              <w:rPr>
                <w:rFonts w:ascii="Calibri" w:hAnsi="Calibri" w:cs="Calibri"/>
              </w:rPr>
            </w:pPr>
            <w:r w:rsidRPr="00203191">
              <w:rPr>
                <w:rFonts w:ascii="Calibri" w:hAnsi="Calibri" w:cs="Calibri"/>
              </w:rPr>
              <w:t>3</w:t>
            </w:r>
          </w:p>
        </w:tc>
        <w:tc>
          <w:tcPr>
            <w:tcW w:w="7134" w:type="dxa"/>
          </w:tcPr>
          <w:p w:rsidR="00656AC1" w:rsidRPr="00203191" w:rsidRDefault="00656AC1" w:rsidP="00364E4D">
            <w:pPr>
              <w:tabs>
                <w:tab w:val="left" w:pos="9914"/>
              </w:tabs>
              <w:spacing w:before="60"/>
              <w:rPr>
                <w:rFonts w:ascii="Calibri" w:hAnsi="Calibri" w:cs="Calibri"/>
              </w:rPr>
            </w:pPr>
            <w:r w:rsidRPr="00203191">
              <w:rPr>
                <w:rFonts w:ascii="Calibri" w:hAnsi="Calibri" w:cs="Calibri"/>
              </w:rPr>
              <w:t>Czas wiązania:</w:t>
            </w:r>
          </w:p>
          <w:p w:rsidR="00656AC1" w:rsidRPr="00203191" w:rsidRDefault="00656AC1" w:rsidP="00364E4D">
            <w:pPr>
              <w:pBdr>
                <w:bottom w:val="single" w:sz="6" w:space="1" w:color="auto"/>
              </w:pBdr>
              <w:tabs>
                <w:tab w:val="left" w:pos="9914"/>
              </w:tabs>
              <w:rPr>
                <w:rFonts w:ascii="Calibri" w:hAnsi="Calibri" w:cs="Calibri"/>
              </w:rPr>
            </w:pPr>
            <w:r w:rsidRPr="00203191">
              <w:rPr>
                <w:rFonts w:ascii="Calibri" w:hAnsi="Calibri" w:cs="Calibri"/>
              </w:rPr>
              <w:t>- początek wiązania, najwcześniej po upływie, min.</w:t>
            </w:r>
          </w:p>
          <w:p w:rsidR="00656AC1" w:rsidRPr="00203191" w:rsidRDefault="00656AC1" w:rsidP="00364E4D">
            <w:pPr>
              <w:tabs>
                <w:tab w:val="left" w:pos="9914"/>
              </w:tabs>
              <w:spacing w:after="60"/>
              <w:rPr>
                <w:rFonts w:ascii="Calibri" w:hAnsi="Calibri" w:cs="Calibri"/>
              </w:rPr>
            </w:pPr>
            <w:r w:rsidRPr="00203191">
              <w:rPr>
                <w:rFonts w:ascii="Calibri" w:hAnsi="Calibri" w:cs="Calibri"/>
              </w:rPr>
              <w:t>- koniec wiązania, najpóźniej po upływie, h</w:t>
            </w:r>
          </w:p>
        </w:tc>
        <w:tc>
          <w:tcPr>
            <w:tcW w:w="1770" w:type="dxa"/>
          </w:tcPr>
          <w:p w:rsidR="00656AC1" w:rsidRPr="00203191" w:rsidRDefault="00656AC1" w:rsidP="00364E4D">
            <w:pPr>
              <w:tabs>
                <w:tab w:val="left" w:pos="9914"/>
              </w:tabs>
              <w:jc w:val="center"/>
              <w:rPr>
                <w:rFonts w:ascii="Calibri" w:hAnsi="Calibri" w:cs="Calibri"/>
              </w:rPr>
            </w:pPr>
          </w:p>
          <w:p w:rsidR="00656AC1" w:rsidRPr="00203191" w:rsidRDefault="00656AC1" w:rsidP="00364E4D">
            <w:pPr>
              <w:pBdr>
                <w:bottom w:val="single" w:sz="6" w:space="1" w:color="auto"/>
              </w:pBdr>
              <w:tabs>
                <w:tab w:val="left" w:pos="9914"/>
              </w:tabs>
              <w:spacing w:before="60"/>
              <w:jc w:val="center"/>
              <w:rPr>
                <w:rFonts w:ascii="Calibri" w:hAnsi="Calibri" w:cs="Calibri"/>
              </w:rPr>
            </w:pPr>
            <w:r w:rsidRPr="00203191">
              <w:rPr>
                <w:rFonts w:ascii="Calibri" w:hAnsi="Calibri" w:cs="Calibri"/>
              </w:rPr>
              <w:t>60</w:t>
            </w:r>
          </w:p>
          <w:p w:rsidR="00656AC1" w:rsidRPr="00203191" w:rsidRDefault="00656AC1" w:rsidP="00364E4D">
            <w:pPr>
              <w:tabs>
                <w:tab w:val="left" w:pos="9914"/>
              </w:tabs>
              <w:jc w:val="center"/>
              <w:rPr>
                <w:rFonts w:ascii="Calibri" w:hAnsi="Calibri" w:cs="Calibri"/>
              </w:rPr>
            </w:pPr>
            <w:r w:rsidRPr="00203191">
              <w:rPr>
                <w:rFonts w:ascii="Calibri" w:hAnsi="Calibri" w:cs="Calibri"/>
              </w:rPr>
              <w:t>12</w:t>
            </w:r>
          </w:p>
        </w:tc>
      </w:tr>
      <w:tr w:rsidR="00656AC1" w:rsidRPr="00203191">
        <w:tc>
          <w:tcPr>
            <w:tcW w:w="496" w:type="dxa"/>
          </w:tcPr>
          <w:p w:rsidR="00656AC1" w:rsidRPr="00203191" w:rsidRDefault="00656AC1" w:rsidP="00364E4D">
            <w:pPr>
              <w:tabs>
                <w:tab w:val="left" w:pos="9914"/>
              </w:tabs>
              <w:spacing w:before="60" w:after="60"/>
              <w:jc w:val="center"/>
              <w:rPr>
                <w:rFonts w:ascii="Calibri" w:hAnsi="Calibri" w:cs="Calibri"/>
              </w:rPr>
            </w:pPr>
            <w:r w:rsidRPr="00203191">
              <w:rPr>
                <w:rFonts w:ascii="Calibri" w:hAnsi="Calibri" w:cs="Calibri"/>
              </w:rPr>
              <w:t>4</w:t>
            </w:r>
          </w:p>
        </w:tc>
        <w:tc>
          <w:tcPr>
            <w:tcW w:w="7134" w:type="dxa"/>
          </w:tcPr>
          <w:p w:rsidR="00656AC1" w:rsidRPr="00203191" w:rsidRDefault="00656AC1" w:rsidP="00364E4D">
            <w:pPr>
              <w:tabs>
                <w:tab w:val="left" w:pos="9914"/>
              </w:tabs>
              <w:spacing w:before="60" w:after="60"/>
              <w:rPr>
                <w:rFonts w:ascii="Calibri" w:hAnsi="Calibri" w:cs="Calibri"/>
              </w:rPr>
            </w:pPr>
            <w:r w:rsidRPr="00203191">
              <w:rPr>
                <w:rFonts w:ascii="Calibri" w:hAnsi="Calibri" w:cs="Calibri"/>
              </w:rPr>
              <w:t>Stałość objętości, mm, nie więcej niż</w:t>
            </w:r>
          </w:p>
        </w:tc>
        <w:tc>
          <w:tcPr>
            <w:tcW w:w="1770" w:type="dxa"/>
          </w:tcPr>
          <w:p w:rsidR="00656AC1" w:rsidRPr="00203191" w:rsidRDefault="00656AC1" w:rsidP="00364E4D">
            <w:pPr>
              <w:tabs>
                <w:tab w:val="left" w:pos="9914"/>
              </w:tabs>
              <w:spacing w:before="60" w:after="60"/>
              <w:jc w:val="center"/>
              <w:rPr>
                <w:rFonts w:ascii="Calibri" w:hAnsi="Calibri" w:cs="Calibri"/>
              </w:rPr>
            </w:pPr>
            <w:r w:rsidRPr="00203191">
              <w:rPr>
                <w:rFonts w:ascii="Calibri" w:hAnsi="Calibri" w:cs="Calibri"/>
              </w:rPr>
              <w:t>10</w:t>
            </w:r>
          </w:p>
        </w:tc>
      </w:tr>
    </w:tbl>
    <w:p w:rsidR="00656AC1" w:rsidRPr="00203191" w:rsidRDefault="00656AC1" w:rsidP="00364E4D">
      <w:pPr>
        <w:tabs>
          <w:tab w:val="left" w:pos="9914"/>
        </w:tabs>
        <w:rPr>
          <w:rFonts w:ascii="Calibri" w:hAnsi="Calibri" w:cs="Calibri"/>
        </w:rPr>
      </w:pPr>
    </w:p>
    <w:p w:rsidR="00656AC1" w:rsidRPr="00203191" w:rsidRDefault="00656AC1" w:rsidP="00364E4D">
      <w:pPr>
        <w:tabs>
          <w:tab w:val="left" w:pos="9914"/>
        </w:tabs>
        <w:rPr>
          <w:rFonts w:ascii="Calibri" w:hAnsi="Calibri" w:cs="Calibri"/>
        </w:rPr>
      </w:pPr>
      <w:r w:rsidRPr="00203191">
        <w:rPr>
          <w:rFonts w:ascii="Calibri" w:hAnsi="Calibri" w:cs="Calibri"/>
        </w:rPr>
        <w:t>Badania cementu należy wykonać zgodnie z PN-EN-196-3:2009, PN-EN 196-1:2006.</w:t>
      </w:r>
    </w:p>
    <w:p w:rsidR="00656AC1" w:rsidRPr="00203191" w:rsidRDefault="00656AC1" w:rsidP="00364E4D">
      <w:pPr>
        <w:tabs>
          <w:tab w:val="left" w:pos="9914"/>
        </w:tabs>
        <w:rPr>
          <w:rFonts w:ascii="Calibri" w:hAnsi="Calibri" w:cs="Calibri"/>
        </w:rPr>
      </w:pPr>
      <w:r w:rsidRPr="00203191">
        <w:rPr>
          <w:rFonts w:ascii="Calibri" w:hAnsi="Calibri" w:cs="Calibri"/>
        </w:rPr>
        <w:t>Przechowywanie cementu powinno odbywać się zgodnie z BN-88/6731-08.</w:t>
      </w:r>
    </w:p>
    <w:p w:rsidR="00656AC1" w:rsidRPr="00203191" w:rsidRDefault="00656AC1" w:rsidP="00364E4D">
      <w:pPr>
        <w:tabs>
          <w:tab w:val="left" w:pos="9914"/>
        </w:tabs>
        <w:rPr>
          <w:rFonts w:ascii="Calibri" w:hAnsi="Calibri" w:cs="Calibri"/>
        </w:rPr>
      </w:pPr>
      <w:r w:rsidRPr="00203191">
        <w:rPr>
          <w:rFonts w:ascii="Calibri" w:hAnsi="Calibri" w:cs="Calibri"/>
        </w:rPr>
        <w:t>W przypadku, gdy czas przechowywania cementu będzie dłuższy od trzech miesięcy, można go stosować za zgodą Inżyniera tylko wtedy, gdy badania laboratoryjne wykażą jego przydatność do robót.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2.3. Kruszywa</w:t>
      </w:r>
    </w:p>
    <w:p w:rsidR="00656AC1" w:rsidRPr="00203191" w:rsidRDefault="00656AC1" w:rsidP="00364E4D">
      <w:pPr>
        <w:tabs>
          <w:tab w:val="left" w:pos="9914"/>
        </w:tabs>
        <w:rPr>
          <w:rFonts w:ascii="Calibri" w:hAnsi="Calibri" w:cs="Calibri"/>
        </w:rPr>
      </w:pPr>
      <w:r w:rsidRPr="00203191">
        <w:rPr>
          <w:rFonts w:ascii="Calibri" w:hAnsi="Calibri" w:cs="Calibri"/>
        </w:rPr>
        <w:t xml:space="preserve">Przydatność kruszywa przeznaczonych do stabilizacji cementem należy ocenić na podstawie wymagań zawartych w WT-5 2010 Mieszanki związane spoiwem hydraulicznym do dróg krajowych Wymagania Techniczne – rozdział </w:t>
      </w:r>
      <w:r w:rsidR="00954909">
        <w:rPr>
          <w:rFonts w:ascii="Calibri" w:hAnsi="Calibri" w:cs="Calibri"/>
        </w:rPr>
        <w:t>4</w:t>
      </w:r>
      <w:r w:rsidRPr="00203191">
        <w:rPr>
          <w:rFonts w:ascii="Calibri" w:hAnsi="Calibri" w:cs="Calibri"/>
        </w:rPr>
        <w:t xml:space="preserve"> – podrozdział </w:t>
      </w:r>
      <w:r w:rsidR="00954909">
        <w:rPr>
          <w:rFonts w:ascii="Calibri" w:hAnsi="Calibri" w:cs="Calibri"/>
        </w:rPr>
        <w:t>4</w:t>
      </w:r>
      <w:r w:rsidRPr="00203191">
        <w:rPr>
          <w:rFonts w:ascii="Calibri" w:hAnsi="Calibri" w:cs="Calibri"/>
        </w:rPr>
        <w:t xml:space="preserve">.1.1, tablica </w:t>
      </w:r>
      <w:r w:rsidR="00954909">
        <w:rPr>
          <w:rFonts w:ascii="Calibri" w:hAnsi="Calibri" w:cs="Calibri"/>
        </w:rPr>
        <w:t>5</w:t>
      </w:r>
      <w:r w:rsidRPr="00203191">
        <w:rPr>
          <w:rFonts w:ascii="Calibri" w:hAnsi="Calibri" w:cs="Calibri"/>
        </w:rPr>
        <w:t>.1 kolumna 3 (podbudowa pomocnicza i podłoże ulepszone dla dróg KR1 – KR6)</w:t>
      </w:r>
    </w:p>
    <w:p w:rsidR="00656AC1" w:rsidRDefault="00656AC1" w:rsidP="00364E4D">
      <w:pPr>
        <w:tabs>
          <w:tab w:val="left" w:pos="9914"/>
        </w:tabs>
        <w:rPr>
          <w:rFonts w:ascii="Calibri" w:hAnsi="Calibri" w:cs="Calibri"/>
        </w:rPr>
      </w:pPr>
      <w:r w:rsidRPr="00203191">
        <w:rPr>
          <w:rFonts w:ascii="Calibri" w:hAnsi="Calibri" w:cs="Calibri"/>
        </w:rPr>
        <w:t>Decydującym sprawdzianem przydatności gruntu do stabilizacji cementem są wyniki wytrzymałości na ściskanie próbek gruntu stabilizowanego cementem.</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Kruszywa winny spełnia</w:t>
      </w:r>
      <w:r w:rsidRPr="006C5E54">
        <w:rPr>
          <w:rFonts w:asciiTheme="minorHAnsi" w:eastAsia="TimesNewRoman" w:hAnsiTheme="minorHAnsi" w:cs="TimesNewRoman"/>
        </w:rPr>
        <w:t xml:space="preserve">ć </w:t>
      </w:r>
      <w:r w:rsidRPr="006C5E54">
        <w:rPr>
          <w:rFonts w:asciiTheme="minorHAnsi" w:hAnsiTheme="minorHAnsi"/>
        </w:rPr>
        <w:t xml:space="preserve">wymagania tablicy </w:t>
      </w:r>
      <w:r>
        <w:rPr>
          <w:rFonts w:asciiTheme="minorHAnsi" w:hAnsiTheme="minorHAnsi"/>
        </w:rPr>
        <w:t>2</w:t>
      </w:r>
    </w:p>
    <w:p w:rsid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 xml:space="preserve">Tablica </w:t>
      </w:r>
      <w:r>
        <w:rPr>
          <w:rFonts w:asciiTheme="minorHAnsi" w:hAnsiTheme="minorHAnsi"/>
        </w:rPr>
        <w:t>2</w:t>
      </w:r>
      <w:r w:rsidRPr="006C5E54">
        <w:rPr>
          <w:rFonts w:asciiTheme="minorHAnsi" w:hAnsiTheme="minorHAnsi"/>
        </w:rPr>
        <w:t>. Wymagane wła</w:t>
      </w:r>
      <w:r w:rsidRPr="006C5E54">
        <w:rPr>
          <w:rFonts w:asciiTheme="minorHAnsi" w:eastAsia="TimesNewRoman" w:hAnsiTheme="minorHAnsi" w:cs="TimesNewRoman"/>
        </w:rPr>
        <w:t>ś</w:t>
      </w:r>
      <w:r w:rsidRPr="006C5E54">
        <w:rPr>
          <w:rFonts w:asciiTheme="minorHAnsi" w:hAnsiTheme="minorHAnsi"/>
        </w:rPr>
        <w:t>ciwo</w:t>
      </w:r>
      <w:r w:rsidRPr="006C5E54">
        <w:rPr>
          <w:rFonts w:asciiTheme="minorHAnsi" w:eastAsia="TimesNewRoman" w:hAnsiTheme="minorHAnsi" w:cs="TimesNewRoman"/>
        </w:rPr>
        <w:t>ś</w:t>
      </w:r>
      <w:r w:rsidRPr="006C5E54">
        <w:rPr>
          <w:rFonts w:asciiTheme="minorHAnsi" w:hAnsiTheme="minorHAnsi"/>
        </w:rPr>
        <w:t>ci kruszywa do warstw podbudowy i podło</w:t>
      </w:r>
      <w:r w:rsidRPr="006C5E54">
        <w:rPr>
          <w:rFonts w:asciiTheme="minorHAnsi" w:eastAsia="TimesNewRoman" w:hAnsiTheme="minorHAnsi" w:cs="TimesNewRoman"/>
        </w:rPr>
        <w:t>ż</w:t>
      </w:r>
      <w:r w:rsidRPr="006C5E54">
        <w:rPr>
          <w:rFonts w:asciiTheme="minorHAnsi" w:hAnsiTheme="minorHAnsi"/>
        </w:rPr>
        <w:t>a ulepszonego z mieszanek zwi</w:t>
      </w:r>
      <w:r w:rsidRPr="006C5E54">
        <w:rPr>
          <w:rFonts w:asciiTheme="minorHAnsi" w:eastAsia="TimesNewRoman" w:hAnsiTheme="minorHAnsi" w:cs="TimesNewRoman"/>
        </w:rPr>
        <w:t>ą</w:t>
      </w:r>
      <w:r w:rsidRPr="006C5E54">
        <w:rPr>
          <w:rFonts w:asciiTheme="minorHAnsi" w:hAnsiTheme="minorHAnsi"/>
        </w:rPr>
        <w:t>zanych cementem</w:t>
      </w:r>
    </w:p>
    <w:p w:rsidR="006C5E54" w:rsidRPr="006C5E54" w:rsidRDefault="006C5E54" w:rsidP="006C5E54">
      <w:pPr>
        <w:rPr>
          <w:rFonts w:asciiTheme="minorHAnsi" w:hAnsiTheme="minorHAnsi"/>
        </w:rPr>
      </w:pPr>
      <w:r w:rsidRPr="006C5E54">
        <w:rPr>
          <w:rFonts w:asciiTheme="minorHAnsi" w:hAnsiTheme="minorHAnsi"/>
        </w:rPr>
        <w:t>Skróty u</w:t>
      </w:r>
      <w:r w:rsidRPr="006C5E54">
        <w:rPr>
          <w:rFonts w:asciiTheme="minorHAnsi" w:eastAsia="TimesNewRoman" w:hAnsiTheme="minorHAnsi" w:cs="TimesNewRoman"/>
        </w:rPr>
        <w:t>ż</w:t>
      </w:r>
      <w:r w:rsidRPr="006C5E54">
        <w:rPr>
          <w:rFonts w:asciiTheme="minorHAnsi" w:hAnsiTheme="minorHAnsi"/>
        </w:rPr>
        <w:t>yte w tablicy: Kat. – kategoria wła</w:t>
      </w:r>
      <w:r w:rsidRPr="006C5E54">
        <w:rPr>
          <w:rFonts w:asciiTheme="minorHAnsi" w:eastAsia="TimesNewRoman" w:hAnsiTheme="minorHAnsi" w:cs="TimesNewRoman"/>
        </w:rPr>
        <w:t>ś</w:t>
      </w:r>
      <w:r w:rsidRPr="006C5E54">
        <w:rPr>
          <w:rFonts w:asciiTheme="minorHAnsi" w:hAnsiTheme="minorHAnsi"/>
        </w:rPr>
        <w:t>ciwo</w:t>
      </w:r>
      <w:r w:rsidRPr="006C5E54">
        <w:rPr>
          <w:rFonts w:asciiTheme="minorHAnsi" w:eastAsia="TimesNewRoman" w:hAnsiTheme="minorHAnsi" w:cs="TimesNewRoman"/>
        </w:rPr>
        <w:t>ś</w:t>
      </w:r>
      <w:r w:rsidRPr="006C5E54">
        <w:rPr>
          <w:rFonts w:asciiTheme="minorHAnsi" w:hAnsiTheme="minorHAnsi"/>
        </w:rPr>
        <w:t>ci, Dekl – deklarowana, wsk. – wska</w:t>
      </w:r>
      <w:r w:rsidRPr="006C5E54">
        <w:rPr>
          <w:rFonts w:asciiTheme="minorHAnsi" w:eastAsia="TimesNewRoman" w:hAnsiTheme="minorHAnsi" w:cs="TimesNewRoman"/>
        </w:rPr>
        <w:t>ź</w:t>
      </w:r>
      <w:r w:rsidRPr="006C5E54">
        <w:rPr>
          <w:rFonts w:asciiTheme="minorHAnsi" w:hAnsiTheme="minorHAnsi"/>
        </w:rPr>
        <w:t>nik, wsp. – współczynnik, roz. -rozdział</w:t>
      </w:r>
    </w:p>
    <w:p w:rsidR="006C5E54" w:rsidRPr="006C5E54" w:rsidRDefault="006C5E54" w:rsidP="006C5E54">
      <w:pPr>
        <w:rPr>
          <w:rFonts w:asciiTheme="minorHAnsi" w:hAnsiTheme="minorHAnsi"/>
        </w:rPr>
      </w:pPr>
      <w:r w:rsidRPr="006C5E54">
        <w:rPr>
          <w:rFonts w:asciiTheme="minorHAnsi" w:hAnsiTheme="minorHAns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077"/>
        <w:gridCol w:w="1124"/>
        <w:gridCol w:w="1121"/>
        <w:gridCol w:w="5250"/>
      </w:tblGrid>
      <w:tr w:rsidR="006C5E54" w:rsidRPr="006C5E54" w:rsidTr="00AF470B">
        <w:tc>
          <w:tcPr>
            <w:tcW w:w="2093" w:type="dxa"/>
            <w:shd w:val="clear" w:color="auto" w:fill="auto"/>
          </w:tcPr>
          <w:p w:rsidR="006C5E54" w:rsidRPr="006C5E54" w:rsidRDefault="006C5E54" w:rsidP="00AF470B">
            <w:pPr>
              <w:overflowPunct/>
              <w:jc w:val="center"/>
              <w:textAlignment w:val="auto"/>
              <w:rPr>
                <w:rFonts w:asciiTheme="minorHAnsi" w:hAnsiTheme="minorHAnsi"/>
              </w:rPr>
            </w:pPr>
            <w:r w:rsidRPr="006C5E54">
              <w:rPr>
                <w:rFonts w:asciiTheme="minorHAnsi" w:hAnsiTheme="minorHAnsi"/>
              </w:rPr>
              <w:t>Wła</w:t>
            </w:r>
            <w:r w:rsidRPr="006C5E54">
              <w:rPr>
                <w:rFonts w:asciiTheme="minorHAnsi" w:eastAsia="TimesNewRoman" w:hAnsiTheme="minorHAnsi" w:cs="TimesNewRoman"/>
              </w:rPr>
              <w:t>ś</w:t>
            </w:r>
            <w:r w:rsidRPr="006C5E54">
              <w:rPr>
                <w:rFonts w:asciiTheme="minorHAnsi" w:hAnsiTheme="minorHAnsi"/>
              </w:rPr>
              <w:t>ciwo</w:t>
            </w:r>
            <w:r w:rsidRPr="006C5E54">
              <w:rPr>
                <w:rFonts w:asciiTheme="minorHAnsi" w:eastAsia="TimesNewRoman" w:hAnsiTheme="minorHAnsi" w:cs="TimesNewRoman"/>
              </w:rPr>
              <w:t xml:space="preserve">ść </w:t>
            </w:r>
            <w:r w:rsidRPr="006C5E54">
              <w:rPr>
                <w:rFonts w:asciiTheme="minorHAnsi" w:hAnsiTheme="minorHAnsi"/>
              </w:rPr>
              <w:t>kruszywa</w:t>
            </w:r>
          </w:p>
        </w:tc>
        <w:tc>
          <w:tcPr>
            <w:tcW w:w="1134" w:type="dxa"/>
            <w:shd w:val="clear" w:color="auto" w:fill="auto"/>
          </w:tcPr>
          <w:p w:rsidR="006C5E54" w:rsidRPr="006C5E54" w:rsidRDefault="006C5E54" w:rsidP="00AF470B">
            <w:pPr>
              <w:overflowPunct/>
              <w:jc w:val="center"/>
              <w:textAlignment w:val="auto"/>
              <w:rPr>
                <w:rFonts w:asciiTheme="minorHAnsi" w:hAnsiTheme="minorHAnsi"/>
              </w:rPr>
            </w:pPr>
            <w:r w:rsidRPr="006C5E54">
              <w:rPr>
                <w:rFonts w:asciiTheme="minorHAnsi" w:hAnsiTheme="minorHAnsi"/>
              </w:rPr>
              <w:t>Metoda badania</w:t>
            </w:r>
          </w:p>
          <w:p w:rsidR="006C5E54" w:rsidRPr="006C5E54" w:rsidRDefault="006C5E54" w:rsidP="00AF470B">
            <w:pPr>
              <w:jc w:val="center"/>
              <w:rPr>
                <w:rFonts w:asciiTheme="minorHAnsi" w:hAnsiTheme="minorHAnsi"/>
              </w:rPr>
            </w:pPr>
            <w:r w:rsidRPr="006C5E54">
              <w:rPr>
                <w:rFonts w:asciiTheme="minorHAnsi" w:hAnsiTheme="minorHAnsi"/>
              </w:rPr>
              <w:t>wg</w:t>
            </w:r>
          </w:p>
        </w:tc>
        <w:tc>
          <w:tcPr>
            <w:tcW w:w="1134" w:type="dxa"/>
            <w:shd w:val="clear" w:color="auto" w:fill="auto"/>
          </w:tcPr>
          <w:p w:rsidR="006C5E54" w:rsidRPr="006C5E54" w:rsidRDefault="006C5E54" w:rsidP="00AF470B">
            <w:pPr>
              <w:overflowPunct/>
              <w:jc w:val="center"/>
              <w:textAlignment w:val="auto"/>
              <w:rPr>
                <w:rFonts w:asciiTheme="minorHAnsi" w:hAnsiTheme="minorHAnsi"/>
              </w:rPr>
            </w:pPr>
            <w:r w:rsidRPr="006C5E54">
              <w:rPr>
                <w:rFonts w:asciiTheme="minorHAnsi" w:hAnsiTheme="minorHAnsi"/>
              </w:rPr>
              <w:t>Punkt</w:t>
            </w:r>
          </w:p>
          <w:p w:rsidR="006C5E54" w:rsidRPr="006C5E54" w:rsidRDefault="006C5E54" w:rsidP="00AF470B">
            <w:pPr>
              <w:overflowPunct/>
              <w:jc w:val="center"/>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13242</w:t>
            </w:r>
          </w:p>
        </w:tc>
        <w:tc>
          <w:tcPr>
            <w:tcW w:w="5386" w:type="dxa"/>
            <w:shd w:val="clear" w:color="auto" w:fill="auto"/>
          </w:tcPr>
          <w:p w:rsidR="006C5E54" w:rsidRPr="006C5E54" w:rsidRDefault="006C5E54" w:rsidP="00AF470B">
            <w:pPr>
              <w:overflowPunct/>
              <w:jc w:val="center"/>
              <w:textAlignment w:val="auto"/>
              <w:rPr>
                <w:rFonts w:asciiTheme="minorHAnsi" w:hAnsiTheme="minorHAnsi"/>
              </w:rPr>
            </w:pPr>
            <w:r w:rsidRPr="006C5E54">
              <w:rPr>
                <w:rFonts w:asciiTheme="minorHAnsi" w:hAnsiTheme="minorHAnsi"/>
              </w:rPr>
              <w:t>Wymagania dla kruszywa zwi</w:t>
            </w:r>
            <w:r w:rsidRPr="006C5E54">
              <w:rPr>
                <w:rFonts w:asciiTheme="minorHAnsi" w:eastAsia="TimesNewRoman" w:hAnsiTheme="minorHAnsi" w:cs="TimesNewRoman"/>
              </w:rPr>
              <w:t>ą</w:t>
            </w:r>
            <w:r w:rsidRPr="006C5E54">
              <w:rPr>
                <w:rFonts w:asciiTheme="minorHAnsi" w:hAnsiTheme="minorHAnsi"/>
              </w:rPr>
              <w:t>zanego cementem w warstwie podło</w:t>
            </w:r>
            <w:r w:rsidRPr="006C5E54">
              <w:rPr>
                <w:rFonts w:asciiTheme="minorHAnsi" w:eastAsia="TimesNewRoman" w:hAnsiTheme="minorHAnsi" w:cs="TimesNewRoman"/>
              </w:rPr>
              <w:t>ż</w:t>
            </w:r>
            <w:r w:rsidRPr="006C5E54">
              <w:rPr>
                <w:rFonts w:asciiTheme="minorHAnsi" w:hAnsiTheme="minorHAnsi"/>
              </w:rPr>
              <w:t>a ulepszonego i podbudowy pomocniczej</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Frakcje/zestaw sit #</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4.1</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Zestaw sit podstawowy plus zestaw 1.</w:t>
            </w:r>
          </w:p>
          <w:p w:rsidR="006C5E54" w:rsidRPr="006C5E54" w:rsidRDefault="006C5E54" w:rsidP="00AF470B">
            <w:pPr>
              <w:jc w:val="left"/>
              <w:rPr>
                <w:rFonts w:asciiTheme="minorHAnsi" w:hAnsiTheme="minorHAnsi"/>
              </w:rPr>
            </w:pPr>
            <w:r w:rsidRPr="006C5E54">
              <w:rPr>
                <w:rFonts w:asciiTheme="minorHAnsi" w:hAnsiTheme="minorHAnsi"/>
              </w:rPr>
              <w:t>Wszystkie frakcje dozwolone</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Uziarnienie</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 933-1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4.3.1</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Kruszywo grube: kat. GC80/20, kruszywo drobne: kat. GF80, kruszywo o ci</w:t>
            </w:r>
            <w:r w:rsidRPr="006C5E54">
              <w:rPr>
                <w:rFonts w:asciiTheme="minorHAnsi" w:eastAsia="TimesNewRoman" w:hAnsiTheme="minorHAnsi" w:cs="TimesNewRoman"/>
              </w:rPr>
              <w:t>ą</w:t>
            </w:r>
            <w:r w:rsidRPr="006C5E54">
              <w:rPr>
                <w:rFonts w:asciiTheme="minorHAnsi" w:hAnsiTheme="minorHAnsi"/>
              </w:rPr>
              <w:t>głym uziarnieniu: kat. GA75.</w:t>
            </w:r>
          </w:p>
          <w:p w:rsidR="006C5E54" w:rsidRPr="006C5E54" w:rsidRDefault="006C5E54" w:rsidP="00AF470B">
            <w:pPr>
              <w:jc w:val="left"/>
              <w:rPr>
                <w:rFonts w:asciiTheme="minorHAnsi" w:hAnsiTheme="minorHAnsi"/>
              </w:rPr>
            </w:pPr>
            <w:r w:rsidRPr="006C5E54">
              <w:rPr>
                <w:rFonts w:asciiTheme="minorHAnsi" w:hAnsiTheme="minorHAnsi"/>
              </w:rPr>
              <w:t>Uziarnienie mieszanek kruszywa wg rysunków 1.1 – 1.4</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Ogólne granice i</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tolerancje uziarnienia</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kruszywa grubego na</w:t>
            </w:r>
          </w:p>
          <w:p w:rsidR="006C5E54" w:rsidRPr="006C5E54" w:rsidRDefault="006C5E54" w:rsidP="00AF470B">
            <w:pPr>
              <w:jc w:val="left"/>
              <w:rPr>
                <w:rFonts w:asciiTheme="minorHAnsi" w:hAnsiTheme="minorHAnsi"/>
              </w:rPr>
            </w:pPr>
            <w:r w:rsidRPr="006C5E54">
              <w:rPr>
                <w:rFonts w:asciiTheme="minorHAnsi" w:hAnsiTheme="minorHAnsi"/>
              </w:rPr>
              <w:t>sitach po</w:t>
            </w:r>
            <w:r w:rsidRPr="006C5E54">
              <w:rPr>
                <w:rFonts w:asciiTheme="minorHAnsi" w:eastAsia="TimesNewRoman" w:hAnsiTheme="minorHAnsi" w:cs="TimesNewRoman"/>
              </w:rPr>
              <w:t>ś</w:t>
            </w:r>
            <w:r w:rsidRPr="006C5E54">
              <w:rPr>
                <w:rFonts w:asciiTheme="minorHAnsi" w:hAnsiTheme="minorHAnsi"/>
              </w:rPr>
              <w:t>rednich</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933-1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4.3.2</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Kat. GTCNR (tj. brak wymagania)</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Tolerancje typowego</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uziarnienia kruszywa</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drobnego i kruszywa o</w:t>
            </w:r>
          </w:p>
          <w:p w:rsidR="006C5E54" w:rsidRPr="006C5E54" w:rsidRDefault="006C5E54" w:rsidP="00AF470B">
            <w:pPr>
              <w:jc w:val="left"/>
              <w:rPr>
                <w:rFonts w:asciiTheme="minorHAnsi" w:hAnsiTheme="minorHAnsi"/>
              </w:rPr>
            </w:pPr>
            <w:r w:rsidRPr="006C5E54">
              <w:rPr>
                <w:rFonts w:asciiTheme="minorHAnsi" w:hAnsiTheme="minorHAnsi"/>
              </w:rPr>
              <w:t>ci</w:t>
            </w:r>
            <w:r w:rsidRPr="006C5E54">
              <w:rPr>
                <w:rFonts w:asciiTheme="minorHAnsi" w:eastAsia="TimesNewRoman" w:hAnsiTheme="minorHAnsi" w:cs="TimesNewRoman"/>
              </w:rPr>
              <w:t>ą</w:t>
            </w:r>
            <w:r w:rsidRPr="006C5E54">
              <w:rPr>
                <w:rFonts w:asciiTheme="minorHAnsi" w:hAnsiTheme="minorHAnsi"/>
              </w:rPr>
              <w:t>głym uziarnieniu</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933-1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4.3.3</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Kruszywo drobne: kat. GTFNR (tj. brak wymagania),</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kruszywo o ci</w:t>
            </w:r>
            <w:r w:rsidRPr="006C5E54">
              <w:rPr>
                <w:rFonts w:asciiTheme="minorHAnsi" w:eastAsia="TimesNewRoman" w:hAnsiTheme="minorHAnsi" w:cs="TimesNewRoman"/>
              </w:rPr>
              <w:t>ą</w:t>
            </w:r>
            <w:r w:rsidRPr="006C5E54">
              <w:rPr>
                <w:rFonts w:asciiTheme="minorHAnsi" w:hAnsiTheme="minorHAnsi"/>
              </w:rPr>
              <w:t>głym uziarnieniu: kat. GTANR (tj. brak wymagania)</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Kształt kruszywa grubego</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 maksymalne warunki</w:t>
            </w:r>
          </w:p>
          <w:p w:rsidR="006C5E54" w:rsidRPr="006C5E54" w:rsidRDefault="006C5E54" w:rsidP="00AF470B">
            <w:pPr>
              <w:jc w:val="left"/>
              <w:rPr>
                <w:rFonts w:asciiTheme="minorHAnsi" w:hAnsiTheme="minorHAnsi"/>
              </w:rPr>
            </w:pPr>
            <w:r w:rsidRPr="006C5E54">
              <w:rPr>
                <w:rFonts w:asciiTheme="minorHAnsi" w:hAnsiTheme="minorHAnsi"/>
              </w:rPr>
              <w:lastRenderedPageBreak/>
              <w:t>wska</w:t>
            </w:r>
            <w:r w:rsidRPr="006C5E54">
              <w:rPr>
                <w:rFonts w:asciiTheme="minorHAnsi" w:eastAsia="TimesNewRoman" w:hAnsiTheme="minorHAnsi" w:cs="TimesNewRoman"/>
              </w:rPr>
              <w:t>ź</w:t>
            </w:r>
            <w:r w:rsidRPr="006C5E54">
              <w:rPr>
                <w:rFonts w:asciiTheme="minorHAnsi" w:hAnsiTheme="minorHAnsi"/>
              </w:rPr>
              <w:t>nika płasko</w:t>
            </w:r>
            <w:r w:rsidRPr="006C5E54">
              <w:rPr>
                <w:rFonts w:asciiTheme="minorHAnsi" w:eastAsia="TimesNewRoman" w:hAnsiTheme="minorHAnsi" w:cs="TimesNewRoman"/>
              </w:rPr>
              <w:t>ś</w:t>
            </w:r>
            <w:r w:rsidRPr="006C5E54">
              <w:rPr>
                <w:rFonts w:asciiTheme="minorHAnsi" w:hAnsiTheme="minorHAnsi"/>
              </w:rPr>
              <w:t>ci</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lastRenderedPageBreak/>
              <w:t>PN-EN</w:t>
            </w:r>
          </w:p>
          <w:p w:rsidR="006C5E54" w:rsidRPr="006C5E54" w:rsidRDefault="006C5E54" w:rsidP="00AF470B">
            <w:pPr>
              <w:jc w:val="center"/>
              <w:rPr>
                <w:rFonts w:asciiTheme="minorHAnsi" w:hAnsiTheme="minorHAnsi"/>
              </w:rPr>
            </w:pPr>
            <w:r w:rsidRPr="006C5E54">
              <w:rPr>
                <w:rFonts w:asciiTheme="minorHAnsi" w:hAnsiTheme="minorHAnsi"/>
              </w:rPr>
              <w:t>933-3</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4.4</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FIDekl (tj. wsk. Płasko</w:t>
            </w:r>
            <w:r w:rsidRPr="006C5E54">
              <w:rPr>
                <w:rFonts w:asciiTheme="minorHAnsi" w:eastAsia="TimesNewRoman" w:hAnsiTheme="minorHAnsi" w:cs="TimesNewRoman"/>
              </w:rPr>
              <w:t>ś</w:t>
            </w:r>
            <w:r w:rsidRPr="006C5E54">
              <w:rPr>
                <w:rFonts w:asciiTheme="minorHAnsi" w:hAnsiTheme="minorHAnsi"/>
              </w:rPr>
              <w:t>ci &gt; 50)</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lastRenderedPageBreak/>
              <w:t>Kształt kruszywa grubego</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 maksymalne warto</w:t>
            </w:r>
            <w:r w:rsidRPr="006C5E54">
              <w:rPr>
                <w:rFonts w:asciiTheme="minorHAnsi" w:eastAsia="TimesNewRoman" w:hAnsiTheme="minorHAnsi" w:cs="TimesNewRoman"/>
              </w:rPr>
              <w:t>ś</w:t>
            </w:r>
            <w:r w:rsidRPr="006C5E54">
              <w:rPr>
                <w:rFonts w:asciiTheme="minorHAnsi" w:hAnsiTheme="minorHAnsi"/>
              </w:rPr>
              <w:t>ci</w:t>
            </w:r>
          </w:p>
          <w:p w:rsidR="006C5E54" w:rsidRPr="006C5E54" w:rsidRDefault="006C5E54" w:rsidP="00AF470B">
            <w:pPr>
              <w:jc w:val="left"/>
              <w:rPr>
                <w:rFonts w:asciiTheme="minorHAnsi" w:hAnsiTheme="minorHAnsi"/>
              </w:rPr>
            </w:pPr>
            <w:r w:rsidRPr="006C5E54">
              <w:rPr>
                <w:rFonts w:asciiTheme="minorHAnsi" w:hAnsiTheme="minorHAnsi"/>
              </w:rPr>
              <w:t>wska</w:t>
            </w:r>
            <w:r w:rsidRPr="006C5E54">
              <w:rPr>
                <w:rFonts w:asciiTheme="minorHAnsi" w:eastAsia="TimesNewRoman" w:hAnsiTheme="minorHAnsi" w:cs="TimesNewRoman"/>
              </w:rPr>
              <w:t>ź</w:t>
            </w:r>
            <w:r w:rsidRPr="006C5E54">
              <w:rPr>
                <w:rFonts w:asciiTheme="minorHAnsi" w:hAnsiTheme="minorHAnsi"/>
              </w:rPr>
              <w:t>nika kształtu</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933-4</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4.4</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SIDekl (tj. wsk. Kształtu &gt;55)</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Kategorie procentowych</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zawarto</w:t>
            </w:r>
            <w:r w:rsidRPr="006C5E54">
              <w:rPr>
                <w:rFonts w:asciiTheme="minorHAnsi" w:eastAsia="TimesNewRoman" w:hAnsiTheme="minorHAnsi" w:cs="TimesNewRoman"/>
              </w:rPr>
              <w:t>ś</w:t>
            </w:r>
            <w:r w:rsidRPr="006C5E54">
              <w:rPr>
                <w:rFonts w:asciiTheme="minorHAnsi" w:hAnsiTheme="minorHAnsi"/>
              </w:rPr>
              <w:t>ci ziaren o</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powierzchniach</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przekruszonych lub</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łamanych oraz ziaren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całkowicie zaokr</w:t>
            </w:r>
            <w:r w:rsidRPr="006C5E54">
              <w:rPr>
                <w:rFonts w:asciiTheme="minorHAnsi" w:eastAsia="TimesNewRoman" w:hAnsiTheme="minorHAnsi" w:cs="TimesNewRoman"/>
              </w:rPr>
              <w:t>ą</w:t>
            </w:r>
            <w:r w:rsidRPr="006C5E54">
              <w:rPr>
                <w:rFonts w:asciiTheme="minorHAnsi" w:hAnsiTheme="minorHAnsi"/>
              </w:rPr>
              <w:t>glonych</w:t>
            </w:r>
          </w:p>
          <w:p w:rsidR="006C5E54" w:rsidRPr="006C5E54" w:rsidRDefault="006C5E54" w:rsidP="00AF470B">
            <w:pPr>
              <w:jc w:val="left"/>
              <w:rPr>
                <w:rFonts w:asciiTheme="minorHAnsi" w:hAnsiTheme="minorHAnsi"/>
              </w:rPr>
            </w:pPr>
            <w:r w:rsidRPr="006C5E54">
              <w:rPr>
                <w:rFonts w:asciiTheme="minorHAnsi" w:hAnsiTheme="minorHAnsi"/>
              </w:rPr>
              <w:t>w kruszywie grubym</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933-5</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4.5</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Kat. CNR (tj. brak wymagania)</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Zawarto</w:t>
            </w:r>
            <w:r w:rsidRPr="006C5E54">
              <w:rPr>
                <w:rFonts w:asciiTheme="minorHAnsi" w:eastAsia="TimesNewRoman" w:hAnsiTheme="minorHAnsi" w:cs="TimesNewRoman"/>
              </w:rPr>
              <w:t xml:space="preserve">ść </w:t>
            </w:r>
            <w:r w:rsidRPr="006C5E54">
              <w:rPr>
                <w:rFonts w:asciiTheme="minorHAnsi" w:hAnsiTheme="minorHAnsi"/>
              </w:rPr>
              <w:t>pyłów**) w kruszywie grubym</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933-1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4.6</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fDekl (tj. masa frakcji przechodz</w:t>
            </w:r>
            <w:r w:rsidRPr="006C5E54">
              <w:rPr>
                <w:rFonts w:asciiTheme="minorHAnsi" w:eastAsia="TimesNewRoman" w:hAnsiTheme="minorHAnsi" w:cs="TimesNewRoman"/>
              </w:rPr>
              <w:t>ą</w:t>
            </w:r>
            <w:r w:rsidRPr="006C5E54">
              <w:rPr>
                <w:rFonts w:asciiTheme="minorHAnsi" w:hAnsiTheme="minorHAnsi"/>
              </w:rPr>
              <w:t>cej przez sito 0,063</w:t>
            </w:r>
          </w:p>
          <w:p w:rsidR="006C5E54" w:rsidRPr="006C5E54" w:rsidRDefault="006C5E54" w:rsidP="00AF470B">
            <w:pPr>
              <w:jc w:val="left"/>
              <w:rPr>
                <w:rFonts w:asciiTheme="minorHAnsi" w:hAnsiTheme="minorHAnsi"/>
              </w:rPr>
            </w:pPr>
            <w:r w:rsidRPr="006C5E54">
              <w:rPr>
                <w:rFonts w:asciiTheme="minorHAnsi" w:hAnsiTheme="minorHAnsi"/>
              </w:rPr>
              <w:t>mm jest &gt; 4)</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Zawarto</w:t>
            </w:r>
            <w:r w:rsidRPr="006C5E54">
              <w:rPr>
                <w:rFonts w:asciiTheme="minorHAnsi" w:eastAsia="TimesNewRoman" w:hAnsiTheme="minorHAnsi" w:cs="TimesNewRoman"/>
              </w:rPr>
              <w:t xml:space="preserve">ść </w:t>
            </w:r>
            <w:r w:rsidRPr="006C5E54">
              <w:rPr>
                <w:rFonts w:asciiTheme="minorHAnsi" w:hAnsiTheme="minorHAnsi"/>
              </w:rPr>
              <w:t>pyłów**) w</w:t>
            </w:r>
          </w:p>
          <w:p w:rsidR="006C5E54" w:rsidRPr="006C5E54" w:rsidRDefault="006C5E54" w:rsidP="00AF470B">
            <w:pPr>
              <w:jc w:val="left"/>
              <w:rPr>
                <w:rFonts w:asciiTheme="minorHAnsi" w:hAnsiTheme="minorHAnsi"/>
              </w:rPr>
            </w:pPr>
            <w:r w:rsidRPr="006C5E54">
              <w:rPr>
                <w:rFonts w:asciiTheme="minorHAnsi" w:hAnsiTheme="minorHAnsi"/>
              </w:rPr>
              <w:t>kruszywie drobnym</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933-1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4.6</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fDekl (tj. masa frakcji przechodz</w:t>
            </w:r>
            <w:r w:rsidRPr="006C5E54">
              <w:rPr>
                <w:rFonts w:asciiTheme="minorHAnsi" w:eastAsia="TimesNewRoman" w:hAnsiTheme="minorHAnsi" w:cs="TimesNewRoman"/>
              </w:rPr>
              <w:t>ą</w:t>
            </w:r>
            <w:r w:rsidRPr="006C5E54">
              <w:rPr>
                <w:rFonts w:asciiTheme="minorHAnsi" w:hAnsiTheme="minorHAnsi"/>
              </w:rPr>
              <w:t>cej przez sito 0,063</w:t>
            </w:r>
          </w:p>
          <w:p w:rsidR="006C5E54" w:rsidRPr="006C5E54" w:rsidRDefault="006C5E54" w:rsidP="00AF470B">
            <w:pPr>
              <w:jc w:val="left"/>
              <w:rPr>
                <w:rFonts w:asciiTheme="minorHAnsi" w:hAnsiTheme="minorHAnsi"/>
              </w:rPr>
            </w:pPr>
            <w:r w:rsidRPr="006C5E54">
              <w:rPr>
                <w:rFonts w:asciiTheme="minorHAnsi" w:hAnsiTheme="minorHAnsi"/>
              </w:rPr>
              <w:t>mm jest &gt; 22)</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Jako</w:t>
            </w:r>
            <w:r w:rsidRPr="006C5E54">
              <w:rPr>
                <w:rFonts w:asciiTheme="minorHAnsi" w:eastAsia="TimesNewRoman" w:hAnsiTheme="minorHAnsi" w:cs="TimesNewRoman"/>
              </w:rPr>
              <w:t xml:space="preserve">ść </w:t>
            </w:r>
            <w:r w:rsidRPr="006C5E54">
              <w:rPr>
                <w:rFonts w:asciiTheme="minorHAnsi" w:hAnsiTheme="minorHAnsi"/>
              </w:rPr>
              <w:t>pyłów</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4.7</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Brak wymaga</w:t>
            </w:r>
            <w:r w:rsidRPr="006C5E54">
              <w:rPr>
                <w:rFonts w:asciiTheme="minorHAnsi" w:eastAsia="TimesNewRoman" w:hAnsiTheme="minorHAnsi" w:cs="TimesNewRoman"/>
              </w:rPr>
              <w:t>ń</w:t>
            </w:r>
          </w:p>
        </w:tc>
      </w:tr>
      <w:tr w:rsidR="006C5E54" w:rsidRPr="00845716"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Odporno</w:t>
            </w:r>
            <w:r w:rsidRPr="006C5E54">
              <w:rPr>
                <w:rFonts w:asciiTheme="minorHAnsi" w:eastAsia="TimesNewRoman" w:hAnsiTheme="minorHAnsi" w:cs="TimesNewRoman"/>
              </w:rPr>
              <w:t xml:space="preserve">ść </w:t>
            </w:r>
            <w:r w:rsidRPr="006C5E54">
              <w:rPr>
                <w:rFonts w:asciiTheme="minorHAnsi" w:hAnsiTheme="minorHAnsi"/>
              </w:rPr>
              <w:t>na rozdrabnianie  kruszywa grubego</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1097-2</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5.2</w:t>
            </w:r>
          </w:p>
        </w:tc>
        <w:tc>
          <w:tcPr>
            <w:tcW w:w="5386" w:type="dxa"/>
            <w:shd w:val="clear" w:color="auto" w:fill="auto"/>
          </w:tcPr>
          <w:p w:rsidR="006C5E54" w:rsidRPr="00845716" w:rsidRDefault="006C5E54" w:rsidP="00AF470B">
            <w:pPr>
              <w:overflowPunct/>
              <w:jc w:val="left"/>
              <w:textAlignment w:val="auto"/>
              <w:rPr>
                <w:rFonts w:asciiTheme="minorHAnsi" w:hAnsiTheme="minorHAnsi"/>
                <w:lang w:val="en-US"/>
              </w:rPr>
            </w:pPr>
            <w:r w:rsidRPr="00845716">
              <w:rPr>
                <w:rFonts w:asciiTheme="minorHAnsi" w:hAnsiTheme="minorHAnsi"/>
                <w:lang w:val="en-US"/>
              </w:rPr>
              <w:t xml:space="preserve">Kat. LA60 (tj. wsp. Los Angeles jest </w:t>
            </w:r>
            <w:r w:rsidRPr="00845716">
              <w:rPr>
                <w:rFonts w:asciiTheme="minorHAnsi" w:eastAsia="TimesNewRoman" w:hAnsiTheme="minorHAnsi" w:cs="TimesNewRoman"/>
                <w:lang w:val="en-US"/>
              </w:rPr>
              <w:t xml:space="preserve">≤ </w:t>
            </w:r>
            <w:r w:rsidRPr="00845716">
              <w:rPr>
                <w:rFonts w:asciiTheme="minorHAnsi" w:hAnsiTheme="minorHAnsi"/>
                <w:lang w:val="en-US"/>
              </w:rPr>
              <w:t>60)</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Odporno</w:t>
            </w:r>
            <w:r w:rsidRPr="006C5E54">
              <w:rPr>
                <w:rFonts w:asciiTheme="minorHAnsi" w:eastAsia="TimesNewRoman" w:hAnsiTheme="minorHAnsi" w:cs="TimesNewRoman"/>
              </w:rPr>
              <w:t xml:space="preserve">ść </w:t>
            </w:r>
            <w:r w:rsidRPr="006C5E54">
              <w:rPr>
                <w:rFonts w:asciiTheme="minorHAnsi" w:hAnsiTheme="minorHAnsi"/>
              </w:rPr>
              <w:t xml:space="preserve">na </w:t>
            </w:r>
            <w:r w:rsidRPr="006C5E54">
              <w:rPr>
                <w:rFonts w:asciiTheme="minorHAnsi" w:eastAsia="TimesNewRoman" w:hAnsiTheme="minorHAnsi" w:cs="TimesNewRoman"/>
              </w:rPr>
              <w:t>ś</w:t>
            </w:r>
            <w:r w:rsidRPr="006C5E54">
              <w:rPr>
                <w:rFonts w:asciiTheme="minorHAnsi" w:hAnsiTheme="minorHAnsi"/>
              </w:rPr>
              <w:t>cieranie</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1097-1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5.3</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Kat. MDENR (tj. brak wymagania)</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Gęstość ziaren</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1097-6, roz. 7, 8 i 9</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5.4</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Deklarowana</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Siarczany rozpuszczalne w</w:t>
            </w:r>
          </w:p>
          <w:p w:rsidR="006C5E54" w:rsidRPr="006C5E54" w:rsidRDefault="006C5E54" w:rsidP="00AF470B">
            <w:pPr>
              <w:jc w:val="left"/>
              <w:rPr>
                <w:rFonts w:asciiTheme="minorHAnsi" w:hAnsiTheme="minorHAnsi"/>
              </w:rPr>
            </w:pPr>
            <w:r w:rsidRPr="006C5E54">
              <w:rPr>
                <w:rFonts w:asciiTheme="minorHAnsi" w:hAnsiTheme="minorHAnsi"/>
              </w:rPr>
              <w:t>kwasie</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1744-1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6.2</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Kruszywo kamienne: kat. AS0,2 (tj. zawarto</w:t>
            </w:r>
            <w:r w:rsidRPr="006C5E54">
              <w:rPr>
                <w:rFonts w:asciiTheme="minorHAnsi" w:eastAsia="TimesNewRoman" w:hAnsiTheme="minorHAnsi" w:cs="TimesNewRoman"/>
              </w:rPr>
              <w:t xml:space="preserve">ść </w:t>
            </w:r>
            <w:r w:rsidRPr="006C5E54">
              <w:rPr>
                <w:rFonts w:asciiTheme="minorHAnsi" w:hAnsiTheme="minorHAnsi"/>
              </w:rPr>
              <w:t>siarczanów</w:t>
            </w:r>
          </w:p>
          <w:p w:rsidR="006C5E54" w:rsidRPr="006C5E54" w:rsidRDefault="006C5E54" w:rsidP="00AF470B">
            <w:pPr>
              <w:overflowPunct/>
              <w:jc w:val="left"/>
              <w:textAlignment w:val="auto"/>
              <w:rPr>
                <w:rFonts w:asciiTheme="minorHAnsi" w:hAnsiTheme="minorHAnsi"/>
              </w:rPr>
            </w:pPr>
            <w:r w:rsidRPr="006C5E54">
              <w:rPr>
                <w:rFonts w:asciiTheme="minorHAnsi" w:eastAsia="TimesNewRoman" w:hAnsiTheme="minorHAnsi" w:cs="TimesNewRoman"/>
              </w:rPr>
              <w:t xml:space="preserve">≤ </w:t>
            </w:r>
            <w:r w:rsidRPr="006C5E54">
              <w:rPr>
                <w:rFonts w:asciiTheme="minorHAnsi" w:hAnsiTheme="minorHAnsi"/>
              </w:rPr>
              <w:t xml:space="preserve">0,2%), </w:t>
            </w:r>
            <w:r w:rsidRPr="006C5E54">
              <w:rPr>
                <w:rFonts w:asciiTheme="minorHAnsi" w:eastAsia="TimesNewRoman" w:hAnsiTheme="minorHAnsi" w:cs="TimesNewRoman"/>
              </w:rPr>
              <w:t>ż</w:t>
            </w:r>
            <w:r w:rsidRPr="006C5E54">
              <w:rPr>
                <w:rFonts w:asciiTheme="minorHAnsi" w:hAnsiTheme="minorHAnsi"/>
              </w:rPr>
              <w:t>u</w:t>
            </w:r>
            <w:r w:rsidRPr="006C5E54">
              <w:rPr>
                <w:rFonts w:asciiTheme="minorHAnsi" w:eastAsia="TimesNewRoman" w:hAnsiTheme="minorHAnsi" w:cs="TimesNewRoman"/>
              </w:rPr>
              <w:t>ż</w:t>
            </w:r>
            <w:r w:rsidRPr="006C5E54">
              <w:rPr>
                <w:rFonts w:asciiTheme="minorHAnsi" w:hAnsiTheme="minorHAnsi"/>
              </w:rPr>
              <w:t>el kawałkowy wielkopiecowy: kat. AS1,0 (tj.</w:t>
            </w:r>
          </w:p>
          <w:p w:rsidR="006C5E54" w:rsidRPr="006C5E54" w:rsidRDefault="006C5E54" w:rsidP="00AF470B">
            <w:pPr>
              <w:jc w:val="left"/>
              <w:rPr>
                <w:rFonts w:asciiTheme="minorHAnsi" w:hAnsiTheme="minorHAnsi"/>
              </w:rPr>
            </w:pPr>
            <w:r w:rsidRPr="006C5E54">
              <w:rPr>
                <w:rFonts w:asciiTheme="minorHAnsi" w:hAnsiTheme="minorHAnsi"/>
              </w:rPr>
              <w:t>zawarto</w:t>
            </w:r>
            <w:r w:rsidRPr="006C5E54">
              <w:rPr>
                <w:rFonts w:asciiTheme="minorHAnsi" w:eastAsia="TimesNewRoman" w:hAnsiTheme="minorHAnsi" w:cs="TimesNewRoman"/>
              </w:rPr>
              <w:t xml:space="preserve">ść </w:t>
            </w:r>
            <w:r w:rsidRPr="006C5E54">
              <w:rPr>
                <w:rFonts w:asciiTheme="minorHAnsi" w:hAnsiTheme="minorHAnsi"/>
              </w:rPr>
              <w:t xml:space="preserve">siarczanów </w:t>
            </w:r>
            <w:r w:rsidRPr="006C5E54">
              <w:rPr>
                <w:rFonts w:asciiTheme="minorHAnsi" w:eastAsia="TimesNewRoman" w:hAnsiTheme="minorHAnsi" w:cs="TimesNewRoman"/>
              </w:rPr>
              <w:t xml:space="preserve">≤ </w:t>
            </w:r>
            <w:r w:rsidRPr="006C5E54">
              <w:rPr>
                <w:rFonts w:asciiTheme="minorHAnsi" w:hAnsiTheme="minorHAnsi"/>
              </w:rPr>
              <w:t>1,0%)</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Całkowita zawarto</w:t>
            </w:r>
            <w:r w:rsidRPr="006C5E54">
              <w:rPr>
                <w:rFonts w:asciiTheme="minorHAnsi" w:eastAsia="TimesNewRoman" w:hAnsiTheme="minorHAnsi" w:cs="TimesNewRoman"/>
              </w:rPr>
              <w:t xml:space="preserve">ść </w:t>
            </w:r>
            <w:r w:rsidRPr="006C5E54">
              <w:rPr>
                <w:rFonts w:asciiTheme="minorHAnsi" w:hAnsiTheme="minorHAnsi"/>
              </w:rPr>
              <w:t>siarki</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1744-1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6.3</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 xml:space="preserve">Kruszywo kamienne: kat. SNR (tj. brak wymagania), </w:t>
            </w:r>
            <w:r w:rsidRPr="006C5E54">
              <w:rPr>
                <w:rFonts w:asciiTheme="minorHAnsi" w:eastAsia="TimesNewRoman" w:hAnsiTheme="minorHAnsi" w:cs="TimesNewRoman"/>
              </w:rPr>
              <w:t>ż</w:t>
            </w:r>
            <w:r w:rsidRPr="006C5E54">
              <w:rPr>
                <w:rFonts w:asciiTheme="minorHAnsi" w:hAnsiTheme="minorHAnsi"/>
              </w:rPr>
              <w:t>u</w:t>
            </w:r>
            <w:r w:rsidRPr="006C5E54">
              <w:rPr>
                <w:rFonts w:asciiTheme="minorHAnsi" w:eastAsia="TimesNewRoman" w:hAnsiTheme="minorHAnsi" w:cs="TimesNewRoman"/>
              </w:rPr>
              <w:t>ż</w:t>
            </w:r>
            <w:r w:rsidRPr="006C5E54">
              <w:rPr>
                <w:rFonts w:asciiTheme="minorHAnsi" w:hAnsiTheme="minorHAnsi"/>
              </w:rPr>
              <w:t>el</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kawałkowy wielkopiecowy: kat. S2 (tj. zawarto</w:t>
            </w:r>
            <w:r w:rsidRPr="006C5E54">
              <w:rPr>
                <w:rFonts w:asciiTheme="minorHAnsi" w:eastAsia="TimesNewRoman" w:hAnsiTheme="minorHAnsi" w:cs="TimesNewRoman"/>
              </w:rPr>
              <w:t xml:space="preserve">ść </w:t>
            </w:r>
            <w:r w:rsidRPr="006C5E54">
              <w:rPr>
                <w:rFonts w:asciiTheme="minorHAnsi" w:hAnsiTheme="minorHAnsi"/>
              </w:rPr>
              <w:t>siarki</w:t>
            </w:r>
          </w:p>
          <w:p w:rsidR="006C5E54" w:rsidRPr="006C5E54" w:rsidRDefault="006C5E54" w:rsidP="00AF470B">
            <w:pPr>
              <w:jc w:val="left"/>
              <w:rPr>
                <w:rFonts w:asciiTheme="minorHAnsi" w:hAnsiTheme="minorHAnsi"/>
              </w:rPr>
            </w:pPr>
            <w:r w:rsidRPr="006C5E54">
              <w:rPr>
                <w:rFonts w:asciiTheme="minorHAnsi" w:hAnsiTheme="minorHAnsi"/>
              </w:rPr>
              <w:t xml:space="preserve">całkowitej </w:t>
            </w:r>
            <w:r w:rsidRPr="006C5E54">
              <w:rPr>
                <w:rFonts w:asciiTheme="minorHAnsi" w:eastAsia="TimesNewRoman" w:hAnsiTheme="minorHAnsi" w:cs="TimesNewRoman"/>
              </w:rPr>
              <w:t xml:space="preserve">≤ </w:t>
            </w:r>
            <w:r w:rsidRPr="006C5E54">
              <w:rPr>
                <w:rFonts w:asciiTheme="minorHAnsi" w:hAnsiTheme="minorHAnsi"/>
              </w:rPr>
              <w:t>2%)</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Składniki wpływaj</w:t>
            </w:r>
            <w:r w:rsidRPr="006C5E54">
              <w:rPr>
                <w:rFonts w:asciiTheme="minorHAnsi" w:eastAsia="TimesNewRoman" w:hAnsiTheme="minorHAnsi" w:cs="TimesNewRoman"/>
              </w:rPr>
              <w:t>ą</w:t>
            </w:r>
            <w:r w:rsidRPr="006C5E54">
              <w:rPr>
                <w:rFonts w:asciiTheme="minorHAnsi" w:hAnsiTheme="minorHAnsi"/>
              </w:rPr>
              <w:t>ce na szybko</w:t>
            </w:r>
            <w:r w:rsidRPr="006C5E54">
              <w:rPr>
                <w:rFonts w:asciiTheme="minorHAnsi" w:eastAsia="TimesNewRoman" w:hAnsiTheme="minorHAnsi" w:cs="TimesNewRoman"/>
              </w:rPr>
              <w:t xml:space="preserve">ść </w:t>
            </w:r>
            <w:r w:rsidRPr="006C5E54">
              <w:rPr>
                <w:rFonts w:asciiTheme="minorHAnsi" w:hAnsiTheme="minorHAnsi"/>
              </w:rPr>
              <w:t>wi</w:t>
            </w:r>
            <w:r w:rsidRPr="006C5E54">
              <w:rPr>
                <w:rFonts w:asciiTheme="minorHAnsi" w:eastAsia="TimesNewRoman" w:hAnsiTheme="minorHAnsi" w:cs="TimesNewRoman"/>
              </w:rPr>
              <w:t>ą</w:t>
            </w:r>
            <w:r w:rsidRPr="006C5E54">
              <w:rPr>
                <w:rFonts w:asciiTheme="minorHAnsi" w:hAnsiTheme="minorHAnsi"/>
              </w:rPr>
              <w:t>zania i</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twardnienia mieszanek</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zwi</w:t>
            </w:r>
            <w:r w:rsidRPr="006C5E54">
              <w:rPr>
                <w:rFonts w:asciiTheme="minorHAnsi" w:eastAsia="TimesNewRoman" w:hAnsiTheme="minorHAnsi" w:cs="TimesNewRoman"/>
              </w:rPr>
              <w:t>ą</w:t>
            </w:r>
            <w:r w:rsidRPr="006C5E54">
              <w:rPr>
                <w:rFonts w:asciiTheme="minorHAnsi" w:hAnsiTheme="minorHAnsi"/>
              </w:rPr>
              <w:t>zanych</w:t>
            </w:r>
          </w:p>
          <w:p w:rsidR="006C5E54" w:rsidRPr="006C5E54" w:rsidRDefault="006C5E54" w:rsidP="00AF470B">
            <w:pPr>
              <w:jc w:val="left"/>
              <w:rPr>
                <w:rFonts w:asciiTheme="minorHAnsi" w:hAnsiTheme="minorHAnsi"/>
              </w:rPr>
            </w:pPr>
            <w:r w:rsidRPr="006C5E54">
              <w:rPr>
                <w:rFonts w:asciiTheme="minorHAnsi" w:hAnsiTheme="minorHAnsi"/>
              </w:rPr>
              <w:t>hydraulicznie</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1744-1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6.4.1</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Deklarowana</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Stało</w:t>
            </w:r>
            <w:r w:rsidRPr="006C5E54">
              <w:rPr>
                <w:rFonts w:asciiTheme="minorHAnsi" w:eastAsia="TimesNewRoman" w:hAnsiTheme="minorHAnsi" w:cs="TimesNewRoman"/>
              </w:rPr>
              <w:t xml:space="preserve">ść </w:t>
            </w:r>
            <w:r w:rsidRPr="006C5E54">
              <w:rPr>
                <w:rFonts w:asciiTheme="minorHAnsi" w:hAnsiTheme="minorHAnsi"/>
              </w:rPr>
              <w:t>obj</w:t>
            </w:r>
            <w:r w:rsidRPr="006C5E54">
              <w:rPr>
                <w:rFonts w:asciiTheme="minorHAnsi" w:eastAsia="TimesNewRoman" w:hAnsiTheme="minorHAnsi" w:cs="TimesNewRoman"/>
              </w:rPr>
              <w:t>ę</w:t>
            </w:r>
            <w:r w:rsidRPr="006C5E54">
              <w:rPr>
                <w:rFonts w:asciiTheme="minorHAnsi" w:hAnsiTheme="minorHAnsi"/>
              </w:rPr>
              <w:t>to</w:t>
            </w:r>
            <w:r w:rsidRPr="006C5E54">
              <w:rPr>
                <w:rFonts w:asciiTheme="minorHAnsi" w:eastAsia="TimesNewRoman" w:hAnsiTheme="minorHAnsi" w:cs="TimesNewRoman"/>
              </w:rPr>
              <w:t>ś</w:t>
            </w:r>
            <w:r w:rsidRPr="006C5E54">
              <w:rPr>
                <w:rFonts w:asciiTheme="minorHAnsi" w:hAnsiTheme="minorHAnsi"/>
              </w:rPr>
              <w:t xml:space="preserve">ci </w:t>
            </w:r>
            <w:r w:rsidRPr="006C5E54">
              <w:rPr>
                <w:rFonts w:asciiTheme="minorHAnsi" w:eastAsia="TimesNewRoman" w:hAnsiTheme="minorHAnsi" w:cs="TimesNewRoman"/>
              </w:rPr>
              <w:t>ż</w:t>
            </w:r>
            <w:r w:rsidRPr="006C5E54">
              <w:rPr>
                <w:rFonts w:asciiTheme="minorHAnsi" w:hAnsiTheme="minorHAnsi"/>
              </w:rPr>
              <w:t>u</w:t>
            </w:r>
            <w:r w:rsidRPr="006C5E54">
              <w:rPr>
                <w:rFonts w:asciiTheme="minorHAnsi" w:eastAsia="TimesNewRoman" w:hAnsiTheme="minorHAnsi" w:cs="TimesNewRoman"/>
              </w:rPr>
              <w:t>ż</w:t>
            </w:r>
            <w:r w:rsidRPr="006C5E54">
              <w:rPr>
                <w:rFonts w:asciiTheme="minorHAnsi" w:hAnsiTheme="minorHAnsi"/>
              </w:rPr>
              <w:t>la</w:t>
            </w:r>
          </w:p>
          <w:p w:rsidR="006C5E54" w:rsidRPr="006C5E54" w:rsidRDefault="006C5E54" w:rsidP="00AF470B">
            <w:pPr>
              <w:jc w:val="left"/>
              <w:rPr>
                <w:rFonts w:asciiTheme="minorHAnsi" w:hAnsiTheme="minorHAnsi"/>
              </w:rPr>
            </w:pPr>
            <w:r w:rsidRPr="006C5E54">
              <w:rPr>
                <w:rFonts w:asciiTheme="minorHAnsi" w:hAnsiTheme="minorHAnsi"/>
              </w:rPr>
              <w:t>stalowniczego</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1744-1, roz. 19.3</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6.4.2.1</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V5 (tj. p</w:t>
            </w:r>
            <w:r w:rsidRPr="006C5E54">
              <w:rPr>
                <w:rFonts w:asciiTheme="minorHAnsi" w:eastAsia="TimesNewRoman" w:hAnsiTheme="minorHAnsi" w:cs="TimesNewRoman"/>
              </w:rPr>
              <w:t>ę</w:t>
            </w:r>
            <w:r w:rsidRPr="006C5E54">
              <w:rPr>
                <w:rFonts w:asciiTheme="minorHAnsi" w:hAnsiTheme="minorHAnsi"/>
              </w:rPr>
              <w:t xml:space="preserve">cznienie </w:t>
            </w:r>
            <w:r w:rsidRPr="006C5E54">
              <w:rPr>
                <w:rFonts w:asciiTheme="minorHAnsi" w:eastAsia="TimesNewRoman" w:hAnsiTheme="minorHAnsi" w:cs="TimesNewRoman"/>
              </w:rPr>
              <w:t xml:space="preserve">≤ </w:t>
            </w:r>
            <w:r w:rsidRPr="006C5E54">
              <w:rPr>
                <w:rFonts w:asciiTheme="minorHAnsi" w:hAnsiTheme="minorHAnsi"/>
              </w:rPr>
              <w:t>5 % obj</w:t>
            </w:r>
            <w:r w:rsidRPr="006C5E54">
              <w:rPr>
                <w:rFonts w:asciiTheme="minorHAnsi" w:eastAsia="TimesNewRoman" w:hAnsiTheme="minorHAnsi" w:cs="TimesNewRoman"/>
              </w:rPr>
              <w:t>ę</w:t>
            </w:r>
            <w:r w:rsidRPr="006C5E54">
              <w:rPr>
                <w:rFonts w:asciiTheme="minorHAnsi" w:hAnsiTheme="minorHAnsi"/>
              </w:rPr>
              <w:t>to</w:t>
            </w:r>
            <w:r w:rsidRPr="006C5E54">
              <w:rPr>
                <w:rFonts w:asciiTheme="minorHAnsi" w:eastAsia="TimesNewRoman" w:hAnsiTheme="minorHAnsi" w:cs="TimesNewRoman"/>
              </w:rPr>
              <w:t>ś</w:t>
            </w:r>
            <w:r w:rsidRPr="006C5E54">
              <w:rPr>
                <w:rFonts w:asciiTheme="minorHAnsi" w:hAnsiTheme="minorHAnsi"/>
              </w:rPr>
              <w:t xml:space="preserve">ci). Dotyczy </w:t>
            </w:r>
            <w:r w:rsidRPr="006C5E54">
              <w:rPr>
                <w:rFonts w:asciiTheme="minorHAnsi" w:eastAsia="TimesNewRoman" w:hAnsiTheme="minorHAnsi" w:cs="TimesNewRoman"/>
              </w:rPr>
              <w:t>ż</w:t>
            </w:r>
            <w:r w:rsidRPr="006C5E54">
              <w:rPr>
                <w:rFonts w:asciiTheme="minorHAnsi" w:hAnsiTheme="minorHAnsi"/>
              </w:rPr>
              <w:t>u</w:t>
            </w:r>
            <w:r w:rsidRPr="006C5E54">
              <w:rPr>
                <w:rFonts w:asciiTheme="minorHAnsi" w:eastAsia="TimesNewRoman" w:hAnsiTheme="minorHAnsi" w:cs="TimesNewRoman"/>
              </w:rPr>
              <w:t>ż</w:t>
            </w:r>
            <w:r w:rsidRPr="006C5E54">
              <w:rPr>
                <w:rFonts w:asciiTheme="minorHAnsi" w:hAnsiTheme="minorHAnsi"/>
              </w:rPr>
              <w:t>la z</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klasycznego pieca tlenowego i elektrycznego pieca</w:t>
            </w:r>
          </w:p>
          <w:p w:rsidR="006C5E54" w:rsidRPr="006C5E54" w:rsidRDefault="006C5E54" w:rsidP="00AF470B">
            <w:pPr>
              <w:jc w:val="left"/>
              <w:rPr>
                <w:rFonts w:asciiTheme="minorHAnsi" w:hAnsiTheme="minorHAnsi"/>
              </w:rPr>
            </w:pPr>
            <w:r w:rsidRPr="006C5E54">
              <w:rPr>
                <w:rFonts w:asciiTheme="minorHAnsi" w:hAnsiTheme="minorHAnsi"/>
              </w:rPr>
              <w:t>łukowego</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 xml:space="preserve">Rozpad krzemianowy w </w:t>
            </w:r>
            <w:r w:rsidRPr="006C5E54">
              <w:rPr>
                <w:rFonts w:asciiTheme="minorHAnsi" w:eastAsia="TimesNewRoman" w:hAnsiTheme="minorHAnsi" w:cs="TimesNewRoman"/>
              </w:rPr>
              <w:t>ż</w:t>
            </w:r>
            <w:r w:rsidRPr="006C5E54">
              <w:rPr>
                <w:rFonts w:asciiTheme="minorHAnsi" w:hAnsiTheme="minorHAnsi"/>
              </w:rPr>
              <w:t>u</w:t>
            </w:r>
            <w:r w:rsidRPr="006C5E54">
              <w:rPr>
                <w:rFonts w:asciiTheme="minorHAnsi" w:eastAsia="TimesNewRoman" w:hAnsiTheme="minorHAnsi" w:cs="TimesNewRoman"/>
              </w:rPr>
              <w:t>ż</w:t>
            </w:r>
            <w:r w:rsidRPr="006C5E54">
              <w:rPr>
                <w:rFonts w:asciiTheme="minorHAnsi" w:hAnsiTheme="minorHAnsi"/>
              </w:rPr>
              <w:t>lu wielkopiec.</w:t>
            </w:r>
          </w:p>
          <w:p w:rsidR="006C5E54" w:rsidRPr="006C5E54" w:rsidRDefault="006C5E54" w:rsidP="00AF470B">
            <w:pPr>
              <w:jc w:val="left"/>
              <w:rPr>
                <w:rFonts w:asciiTheme="minorHAnsi" w:hAnsiTheme="minorHAnsi"/>
              </w:rPr>
            </w:pPr>
            <w:r w:rsidRPr="006C5E54">
              <w:rPr>
                <w:rFonts w:asciiTheme="minorHAnsi" w:hAnsiTheme="minorHAnsi"/>
              </w:rPr>
              <w:t>kawałkowym</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1744-1, p.</w:t>
            </w:r>
          </w:p>
          <w:p w:rsidR="006C5E54" w:rsidRPr="006C5E54" w:rsidRDefault="006C5E54" w:rsidP="00AF470B">
            <w:pPr>
              <w:jc w:val="center"/>
              <w:rPr>
                <w:rFonts w:asciiTheme="minorHAnsi" w:hAnsiTheme="minorHAnsi"/>
              </w:rPr>
            </w:pPr>
            <w:r w:rsidRPr="006C5E54">
              <w:rPr>
                <w:rFonts w:asciiTheme="minorHAnsi" w:hAnsiTheme="minorHAnsi"/>
              </w:rPr>
              <w:t>19.1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6.4.2.2</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Brak rozpadu</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 xml:space="preserve">Rozpad </w:t>
            </w:r>
            <w:r w:rsidRPr="006C5E54">
              <w:rPr>
                <w:rFonts w:asciiTheme="minorHAnsi" w:eastAsia="TimesNewRoman" w:hAnsiTheme="minorHAnsi" w:cs="TimesNewRoman"/>
              </w:rPr>
              <w:t>ż</w:t>
            </w:r>
            <w:r w:rsidRPr="006C5E54">
              <w:rPr>
                <w:rFonts w:asciiTheme="minorHAnsi" w:hAnsiTheme="minorHAnsi"/>
              </w:rPr>
              <w:t xml:space="preserve">elazawy w </w:t>
            </w:r>
            <w:r w:rsidRPr="006C5E54">
              <w:rPr>
                <w:rFonts w:asciiTheme="minorHAnsi" w:eastAsia="TimesNewRoman" w:hAnsiTheme="minorHAnsi" w:cs="TimesNewRoman"/>
              </w:rPr>
              <w:t>ż</w:t>
            </w:r>
            <w:r w:rsidRPr="006C5E54">
              <w:rPr>
                <w:rFonts w:asciiTheme="minorHAnsi" w:hAnsiTheme="minorHAnsi"/>
              </w:rPr>
              <w:t>u</w:t>
            </w:r>
            <w:r w:rsidRPr="006C5E54">
              <w:rPr>
                <w:rFonts w:asciiTheme="minorHAnsi" w:eastAsia="TimesNewRoman" w:hAnsiTheme="minorHAnsi" w:cs="TimesNewRoman"/>
              </w:rPr>
              <w:t>ż</w:t>
            </w:r>
            <w:r w:rsidRPr="006C5E54">
              <w:rPr>
                <w:rFonts w:asciiTheme="minorHAnsi" w:hAnsiTheme="minorHAnsi"/>
              </w:rPr>
              <w:t>lu wielkopiec. kawałkowym</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1744-1,</w:t>
            </w:r>
          </w:p>
          <w:p w:rsidR="006C5E54" w:rsidRPr="006C5E54" w:rsidRDefault="006C5E54" w:rsidP="00AF470B">
            <w:pPr>
              <w:jc w:val="center"/>
              <w:rPr>
                <w:rFonts w:asciiTheme="minorHAnsi" w:hAnsiTheme="minorHAnsi"/>
              </w:rPr>
            </w:pPr>
            <w:r w:rsidRPr="006C5E54">
              <w:rPr>
                <w:rFonts w:asciiTheme="minorHAnsi" w:hAnsiTheme="minorHAnsi"/>
              </w:rPr>
              <w:t>p.19.2</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6.4.2.3</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Brak rozpadu</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Składniki  rozpuszczalne w</w:t>
            </w:r>
          </w:p>
          <w:p w:rsidR="006C5E54" w:rsidRDefault="006C5E54" w:rsidP="00AF470B">
            <w:pPr>
              <w:jc w:val="left"/>
              <w:rPr>
                <w:rFonts w:asciiTheme="minorHAnsi" w:hAnsiTheme="minorHAnsi"/>
              </w:rPr>
            </w:pPr>
            <w:r w:rsidRPr="006C5E54">
              <w:rPr>
                <w:rFonts w:asciiTheme="minorHAnsi" w:hAnsiTheme="minorHAnsi"/>
              </w:rPr>
              <w:t>Wodzie</w:t>
            </w:r>
          </w:p>
          <w:p w:rsidR="006C5E54" w:rsidRPr="006C5E54" w:rsidRDefault="006C5E54" w:rsidP="006C5E54">
            <w:pPr>
              <w:jc w:val="left"/>
              <w:rPr>
                <w:rFonts w:asciiTheme="minorHAnsi" w:hAnsiTheme="minorHAnsi"/>
              </w:rPr>
            </w:pP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1744-3</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6.4.3</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 xml:space="preserve">Brak substancji szkodliwych dla </w:t>
            </w:r>
            <w:r w:rsidRPr="006C5E54">
              <w:rPr>
                <w:rFonts w:asciiTheme="minorHAnsi" w:eastAsia="TimesNewRoman" w:hAnsiTheme="minorHAnsi" w:cs="TimesNewRoman"/>
              </w:rPr>
              <w:t>ś</w:t>
            </w:r>
            <w:r w:rsidRPr="006C5E54">
              <w:rPr>
                <w:rFonts w:asciiTheme="minorHAnsi" w:hAnsiTheme="minorHAnsi"/>
              </w:rPr>
              <w:t>rodowiska wg odr</w:t>
            </w:r>
            <w:r w:rsidRPr="006C5E54">
              <w:rPr>
                <w:rFonts w:asciiTheme="minorHAnsi" w:eastAsia="TimesNewRoman" w:hAnsiTheme="minorHAnsi" w:cs="TimesNewRoman"/>
              </w:rPr>
              <w:t>ę</w:t>
            </w:r>
            <w:r w:rsidRPr="006C5E54">
              <w:rPr>
                <w:rFonts w:asciiTheme="minorHAnsi" w:hAnsiTheme="minorHAnsi"/>
              </w:rPr>
              <w:t>bnych</w:t>
            </w:r>
          </w:p>
          <w:p w:rsidR="006C5E54" w:rsidRPr="006C5E54" w:rsidRDefault="006C5E54" w:rsidP="00AF470B">
            <w:pPr>
              <w:jc w:val="left"/>
              <w:rPr>
                <w:rFonts w:asciiTheme="minorHAnsi" w:hAnsiTheme="minorHAnsi"/>
              </w:rPr>
            </w:pPr>
            <w:r w:rsidRPr="006C5E54">
              <w:rPr>
                <w:rFonts w:asciiTheme="minorHAnsi" w:hAnsiTheme="minorHAnsi"/>
              </w:rPr>
              <w:t>przepisów</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Zanieczyszczenia</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6.4.4</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Brak ciał obcych takich jak drewno, szkło i plastik,</w:t>
            </w:r>
          </w:p>
          <w:p w:rsidR="006C5E54" w:rsidRPr="006C5E54" w:rsidRDefault="006C5E54" w:rsidP="00AF470B">
            <w:pPr>
              <w:jc w:val="left"/>
              <w:rPr>
                <w:rFonts w:asciiTheme="minorHAnsi" w:hAnsiTheme="minorHAnsi"/>
              </w:rPr>
            </w:pPr>
            <w:r w:rsidRPr="006C5E54">
              <w:rPr>
                <w:rFonts w:asciiTheme="minorHAnsi" w:hAnsiTheme="minorHAnsi"/>
              </w:rPr>
              <w:lastRenderedPageBreak/>
              <w:t>mog</w:t>
            </w:r>
            <w:r w:rsidRPr="006C5E54">
              <w:rPr>
                <w:rFonts w:asciiTheme="minorHAnsi" w:eastAsia="TimesNewRoman" w:hAnsiTheme="minorHAnsi" w:cs="TimesNewRoman"/>
              </w:rPr>
              <w:t>ą</w:t>
            </w:r>
            <w:r w:rsidRPr="006C5E54">
              <w:rPr>
                <w:rFonts w:asciiTheme="minorHAnsi" w:hAnsiTheme="minorHAnsi"/>
              </w:rPr>
              <w:t>cych pogorszy</w:t>
            </w:r>
            <w:r w:rsidRPr="006C5E54">
              <w:rPr>
                <w:rFonts w:asciiTheme="minorHAnsi" w:eastAsia="TimesNewRoman" w:hAnsiTheme="minorHAnsi" w:cs="TimesNewRoman"/>
              </w:rPr>
              <w:t xml:space="preserve">ć </w:t>
            </w:r>
            <w:r w:rsidRPr="006C5E54">
              <w:rPr>
                <w:rFonts w:asciiTheme="minorHAnsi" w:hAnsiTheme="minorHAnsi"/>
              </w:rPr>
              <w:t>wyrób ko</w:t>
            </w:r>
            <w:r w:rsidRPr="006C5E54">
              <w:rPr>
                <w:rFonts w:asciiTheme="minorHAnsi" w:eastAsia="TimesNewRoman" w:hAnsiTheme="minorHAnsi" w:cs="TimesNewRoman"/>
              </w:rPr>
              <w:t>ń</w:t>
            </w:r>
            <w:r w:rsidRPr="006C5E54">
              <w:rPr>
                <w:rFonts w:asciiTheme="minorHAnsi" w:hAnsiTheme="minorHAnsi"/>
              </w:rPr>
              <w:t>cowy</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lastRenderedPageBreak/>
              <w:t>Zgorzel słoneczna bazaltu</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1367-3 i</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 1097-2</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7.2</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SBLA (tj. wzrost współczynnika Los Angeles po</w:t>
            </w:r>
          </w:p>
          <w:p w:rsidR="006C5E54" w:rsidRPr="006C5E54" w:rsidRDefault="006C5E54" w:rsidP="00AF470B">
            <w:pPr>
              <w:jc w:val="left"/>
              <w:rPr>
                <w:rFonts w:asciiTheme="minorHAnsi" w:hAnsiTheme="minorHAnsi"/>
              </w:rPr>
            </w:pPr>
            <w:r w:rsidRPr="006C5E54">
              <w:rPr>
                <w:rFonts w:asciiTheme="minorHAnsi" w:hAnsiTheme="minorHAnsi"/>
              </w:rPr>
              <w:t xml:space="preserve">gotowaniu </w:t>
            </w:r>
            <w:r w:rsidRPr="006C5E54">
              <w:rPr>
                <w:rFonts w:asciiTheme="minorHAnsi" w:eastAsia="TimesNewRoman" w:hAnsiTheme="minorHAnsi" w:cs="TimesNewRoman"/>
              </w:rPr>
              <w:t xml:space="preserve">≤ </w:t>
            </w:r>
            <w:r w:rsidRPr="006C5E54">
              <w:rPr>
                <w:rFonts w:asciiTheme="minorHAnsi" w:hAnsiTheme="minorHAnsi"/>
              </w:rPr>
              <w:t>8%)</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eastAsia="TimesNewRoman" w:hAnsiTheme="minorHAnsi" w:cs="TimesNewRoman"/>
              </w:rPr>
            </w:pPr>
            <w:r w:rsidRPr="006C5E54">
              <w:rPr>
                <w:rFonts w:asciiTheme="minorHAnsi" w:hAnsiTheme="minorHAnsi"/>
              </w:rPr>
              <w:t>Nasi</w:t>
            </w:r>
            <w:r w:rsidRPr="006C5E54">
              <w:rPr>
                <w:rFonts w:asciiTheme="minorHAnsi" w:eastAsia="TimesNewRoman" w:hAnsiTheme="minorHAnsi" w:cs="TimesNewRoman"/>
              </w:rPr>
              <w:t>ą</w:t>
            </w:r>
            <w:r w:rsidRPr="006C5E54">
              <w:rPr>
                <w:rFonts w:asciiTheme="minorHAnsi" w:hAnsiTheme="minorHAnsi"/>
              </w:rPr>
              <w:t>kliwo</w:t>
            </w:r>
            <w:r w:rsidRPr="006C5E54">
              <w:rPr>
                <w:rFonts w:asciiTheme="minorHAnsi" w:eastAsia="TimesNewRoman" w:hAnsiTheme="minorHAnsi" w:cs="TimesNewRoman"/>
              </w:rPr>
              <w:t>ść</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(Je</w:t>
            </w:r>
            <w:r w:rsidRPr="006C5E54">
              <w:rPr>
                <w:rFonts w:asciiTheme="minorHAnsi" w:eastAsia="TimesNewRoman" w:hAnsiTheme="minorHAnsi" w:cs="TimesNewRoman"/>
              </w:rPr>
              <w:t>ś</w:t>
            </w:r>
            <w:r w:rsidRPr="006C5E54">
              <w:rPr>
                <w:rFonts w:asciiTheme="minorHAnsi" w:hAnsiTheme="minorHAnsi"/>
              </w:rPr>
              <w:t>li kruszywo nie spełni warunku W242, to nale</w:t>
            </w:r>
            <w:r w:rsidRPr="006C5E54">
              <w:rPr>
                <w:rFonts w:asciiTheme="minorHAnsi" w:eastAsia="TimesNewRoman" w:hAnsiTheme="minorHAnsi" w:cs="TimesNewRoman"/>
              </w:rPr>
              <w:t>ż</w:t>
            </w:r>
            <w:r w:rsidRPr="006C5E54">
              <w:rPr>
                <w:rFonts w:asciiTheme="minorHAnsi" w:hAnsiTheme="minorHAnsi"/>
              </w:rPr>
              <w:t>y zbada</w:t>
            </w:r>
            <w:r w:rsidRPr="006C5E54">
              <w:rPr>
                <w:rFonts w:asciiTheme="minorHAnsi" w:eastAsia="TimesNewRoman" w:hAnsiTheme="minorHAnsi" w:cs="TimesNewRoman"/>
              </w:rPr>
              <w:t xml:space="preserve">ć </w:t>
            </w:r>
            <w:r w:rsidRPr="006C5E54">
              <w:rPr>
                <w:rFonts w:asciiTheme="minorHAnsi" w:hAnsiTheme="minorHAnsi"/>
              </w:rPr>
              <w:t>jego</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mrozoodporno</w:t>
            </w:r>
            <w:r w:rsidRPr="006C5E54">
              <w:rPr>
                <w:rFonts w:asciiTheme="minorHAnsi" w:eastAsia="TimesNewRoman" w:hAnsiTheme="minorHAnsi" w:cs="TimesNewRoman"/>
              </w:rPr>
              <w:t xml:space="preserve">ść </w:t>
            </w:r>
            <w:r w:rsidRPr="006C5E54">
              <w:rPr>
                <w:rFonts w:asciiTheme="minorHAnsi" w:hAnsiTheme="minorHAnsi"/>
              </w:rPr>
              <w:t>wg p.</w:t>
            </w:r>
          </w:p>
          <w:p w:rsidR="006C5E54" w:rsidRPr="006C5E54" w:rsidRDefault="006C5E54" w:rsidP="00AF470B">
            <w:pPr>
              <w:jc w:val="left"/>
              <w:rPr>
                <w:rFonts w:asciiTheme="minorHAnsi" w:hAnsiTheme="minorHAnsi"/>
              </w:rPr>
            </w:pPr>
            <w:r w:rsidRPr="006C5E54">
              <w:rPr>
                <w:rFonts w:asciiTheme="minorHAnsi" w:hAnsiTheme="minorHAnsi"/>
              </w:rPr>
              <w:t>7.3.3 – wiersz poni</w:t>
            </w:r>
            <w:r w:rsidRPr="006C5E54">
              <w:rPr>
                <w:rFonts w:asciiTheme="minorHAnsi" w:eastAsia="TimesNewRoman" w:hAnsiTheme="minorHAnsi" w:cs="TimesNewRoman"/>
              </w:rPr>
              <w:t>ż</w:t>
            </w:r>
            <w:r w:rsidRPr="006C5E54">
              <w:rPr>
                <w:rFonts w:asciiTheme="minorHAnsi" w:hAnsiTheme="minorHAnsi"/>
              </w:rPr>
              <w:t>ej)</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1097-6, roz.</w:t>
            </w:r>
          </w:p>
          <w:p w:rsidR="006C5E54" w:rsidRPr="006C5E54" w:rsidRDefault="006C5E54" w:rsidP="00AF470B">
            <w:pPr>
              <w:jc w:val="center"/>
              <w:rPr>
                <w:rFonts w:asciiTheme="minorHAnsi" w:hAnsiTheme="minorHAnsi"/>
              </w:rPr>
            </w:pPr>
            <w:r w:rsidRPr="006C5E54">
              <w:rPr>
                <w:rFonts w:asciiTheme="minorHAnsi" w:hAnsiTheme="minorHAnsi"/>
              </w:rPr>
              <w:t>7</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7.3.2</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Kat. W242 (tj. maksymalna warto</w:t>
            </w:r>
            <w:r w:rsidRPr="006C5E54">
              <w:rPr>
                <w:rFonts w:asciiTheme="minorHAnsi" w:eastAsia="TimesNewRoman" w:hAnsiTheme="minorHAnsi" w:cs="TimesNewRoman"/>
              </w:rPr>
              <w:t xml:space="preserve">ść </w:t>
            </w:r>
            <w:r w:rsidRPr="006C5E54">
              <w:rPr>
                <w:rFonts w:asciiTheme="minorHAnsi" w:hAnsiTheme="minorHAnsi"/>
              </w:rPr>
              <w:t>nasi</w:t>
            </w:r>
            <w:r w:rsidRPr="006C5E54">
              <w:rPr>
                <w:rFonts w:asciiTheme="minorHAnsi" w:eastAsia="TimesNewRoman" w:hAnsiTheme="minorHAnsi" w:cs="TimesNewRoman"/>
              </w:rPr>
              <w:t>ą</w:t>
            </w:r>
            <w:r w:rsidRPr="006C5E54">
              <w:rPr>
                <w:rFonts w:asciiTheme="minorHAnsi" w:hAnsiTheme="minorHAnsi"/>
              </w:rPr>
              <w:t>kliwo</w:t>
            </w:r>
            <w:r w:rsidRPr="006C5E54">
              <w:rPr>
                <w:rFonts w:asciiTheme="minorHAnsi" w:eastAsia="TimesNewRoman" w:hAnsiTheme="minorHAnsi" w:cs="TimesNewRoman"/>
              </w:rPr>
              <w:t>ś</w:t>
            </w:r>
            <w:r w:rsidRPr="006C5E54">
              <w:rPr>
                <w:rFonts w:asciiTheme="minorHAnsi" w:hAnsiTheme="minorHAnsi"/>
              </w:rPr>
              <w:t xml:space="preserve">ci </w:t>
            </w:r>
            <w:r w:rsidRPr="006C5E54">
              <w:rPr>
                <w:rFonts w:asciiTheme="minorHAnsi" w:eastAsia="TimesNewRoman" w:hAnsiTheme="minorHAnsi" w:cs="TimesNewRoman"/>
              </w:rPr>
              <w:t xml:space="preserve">≤ </w:t>
            </w:r>
            <w:r w:rsidRPr="006C5E54">
              <w:rPr>
                <w:rFonts w:asciiTheme="minorHAnsi" w:hAnsiTheme="minorHAnsi"/>
              </w:rPr>
              <w:t>2%</w:t>
            </w:r>
          </w:p>
          <w:p w:rsidR="006C5E54" w:rsidRPr="006C5E54" w:rsidRDefault="006C5E54" w:rsidP="00AF470B">
            <w:pPr>
              <w:jc w:val="left"/>
              <w:rPr>
                <w:rFonts w:asciiTheme="minorHAnsi" w:hAnsiTheme="minorHAnsi"/>
              </w:rPr>
            </w:pPr>
            <w:r w:rsidRPr="006C5E54">
              <w:rPr>
                <w:rFonts w:asciiTheme="minorHAnsi" w:hAnsiTheme="minorHAnsi"/>
              </w:rPr>
              <w:t>masy)</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Mrozoodporno</w:t>
            </w:r>
            <w:r w:rsidRPr="006C5E54">
              <w:rPr>
                <w:rFonts w:asciiTheme="minorHAnsi" w:eastAsia="TimesNewRoman" w:hAnsiTheme="minorHAnsi" w:cs="TimesNewRoman"/>
              </w:rPr>
              <w:t xml:space="preserve">ść </w:t>
            </w:r>
            <w:r w:rsidRPr="006C5E54">
              <w:rPr>
                <w:rFonts w:asciiTheme="minorHAnsi" w:hAnsiTheme="minorHAnsi"/>
              </w:rPr>
              <w:t>na</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kruszywa frakcji 8/16 mm (Badanie wykonywane</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tylko w przypadku, gdy nasi</w:t>
            </w:r>
            <w:r w:rsidRPr="006C5E54">
              <w:rPr>
                <w:rFonts w:asciiTheme="minorHAnsi" w:eastAsia="TimesNewRoman" w:hAnsiTheme="minorHAnsi" w:cs="TimesNewRoman"/>
              </w:rPr>
              <w:t>ą</w:t>
            </w:r>
            <w:r w:rsidRPr="006C5E54">
              <w:rPr>
                <w:rFonts w:asciiTheme="minorHAnsi" w:hAnsiTheme="minorHAnsi"/>
              </w:rPr>
              <w:t>kliwo</w:t>
            </w:r>
            <w:r w:rsidRPr="006C5E54">
              <w:rPr>
                <w:rFonts w:asciiTheme="minorHAnsi" w:eastAsia="TimesNewRoman" w:hAnsiTheme="minorHAnsi" w:cs="TimesNewRoman"/>
              </w:rPr>
              <w:t xml:space="preserve">ść </w:t>
            </w:r>
            <w:r w:rsidRPr="006C5E54">
              <w:rPr>
                <w:rFonts w:asciiTheme="minorHAnsi" w:hAnsiTheme="minorHAnsi"/>
              </w:rPr>
              <w:t>kruszywa przekracza WA242)</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PN-EN</w:t>
            </w:r>
          </w:p>
          <w:p w:rsidR="006C5E54" w:rsidRPr="006C5E54" w:rsidRDefault="006C5E54" w:rsidP="00AF470B">
            <w:pPr>
              <w:jc w:val="center"/>
              <w:rPr>
                <w:rFonts w:asciiTheme="minorHAnsi" w:hAnsiTheme="minorHAnsi"/>
              </w:rPr>
            </w:pPr>
            <w:r w:rsidRPr="006C5E54">
              <w:rPr>
                <w:rFonts w:asciiTheme="minorHAnsi" w:hAnsiTheme="minorHAnsi"/>
              </w:rPr>
              <w:t>1367-1</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7.3.3</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Skały magmowe i przeobra</w:t>
            </w:r>
            <w:r w:rsidRPr="006C5E54">
              <w:rPr>
                <w:rFonts w:asciiTheme="minorHAnsi" w:eastAsia="TimesNewRoman" w:hAnsiTheme="minorHAnsi" w:cs="TimesNewRoman"/>
              </w:rPr>
              <w:t>ż</w:t>
            </w:r>
            <w:r w:rsidRPr="006C5E54">
              <w:rPr>
                <w:rFonts w:asciiTheme="minorHAnsi" w:hAnsiTheme="minorHAnsi"/>
              </w:rPr>
              <w:t>one: kat. F4 (tj. zamra</w:t>
            </w:r>
            <w:r w:rsidRPr="006C5E54">
              <w:rPr>
                <w:rFonts w:asciiTheme="minorHAnsi" w:eastAsia="TimesNewRoman" w:hAnsiTheme="minorHAnsi" w:cs="TimesNewRoman"/>
              </w:rPr>
              <w:t>ż</w:t>
            </w:r>
            <w:r w:rsidRPr="006C5E54">
              <w:rPr>
                <w:rFonts w:asciiTheme="minorHAnsi" w:hAnsiTheme="minorHAnsi"/>
              </w:rPr>
              <w:t>anie-rozmra</w:t>
            </w:r>
            <w:r w:rsidRPr="006C5E54">
              <w:rPr>
                <w:rFonts w:asciiTheme="minorHAnsi" w:eastAsia="TimesNewRoman" w:hAnsiTheme="minorHAnsi" w:cs="TimesNewRoman"/>
              </w:rPr>
              <w:t>ż</w:t>
            </w:r>
            <w:r w:rsidRPr="006C5E54">
              <w:rPr>
                <w:rFonts w:asciiTheme="minorHAnsi" w:hAnsiTheme="minorHAnsi"/>
              </w:rPr>
              <w:t xml:space="preserve">anie </w:t>
            </w:r>
            <w:r w:rsidRPr="006C5E54">
              <w:rPr>
                <w:rFonts w:asciiTheme="minorHAnsi" w:eastAsia="TimesNewRoman" w:hAnsiTheme="minorHAnsi" w:cs="TimesNewRoman"/>
              </w:rPr>
              <w:t xml:space="preserve">≤ </w:t>
            </w:r>
            <w:r w:rsidRPr="006C5E54">
              <w:rPr>
                <w:rFonts w:asciiTheme="minorHAnsi" w:hAnsiTheme="minorHAnsi"/>
              </w:rPr>
              <w:t>4% masy), kruszywa z recyklingu: ze skał magmowych i przeobra</w:t>
            </w:r>
            <w:r w:rsidRPr="006C5E54">
              <w:rPr>
                <w:rFonts w:asciiTheme="minorHAnsi" w:eastAsia="TimesNewRoman" w:hAnsiTheme="minorHAnsi" w:cs="TimesNewRoman"/>
              </w:rPr>
              <w:t>ż</w:t>
            </w:r>
            <w:r w:rsidRPr="006C5E54">
              <w:rPr>
                <w:rFonts w:asciiTheme="minorHAnsi" w:hAnsiTheme="minorHAnsi"/>
              </w:rPr>
              <w:t>onych FNR</w:t>
            </w:r>
          </w:p>
        </w:tc>
      </w:tr>
      <w:tr w:rsidR="006C5E54" w:rsidRPr="006C5E54" w:rsidTr="00AF470B">
        <w:tc>
          <w:tcPr>
            <w:tcW w:w="2093"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Skład mineralogiczny</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Zał. C</w:t>
            </w:r>
          </w:p>
          <w:p w:rsidR="006C5E54" w:rsidRPr="006C5E54" w:rsidRDefault="006C5E54" w:rsidP="00AF470B">
            <w:pPr>
              <w:jc w:val="center"/>
              <w:rPr>
                <w:rFonts w:asciiTheme="minorHAnsi" w:hAnsiTheme="minorHAnsi"/>
              </w:rPr>
            </w:pPr>
            <w:r w:rsidRPr="006C5E54">
              <w:rPr>
                <w:rFonts w:asciiTheme="minorHAnsi" w:hAnsiTheme="minorHAnsi"/>
              </w:rPr>
              <w:t>p.C3.4</w:t>
            </w:r>
          </w:p>
        </w:tc>
        <w:tc>
          <w:tcPr>
            <w:tcW w:w="5386" w:type="dxa"/>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Deklarowany</w:t>
            </w:r>
          </w:p>
        </w:tc>
      </w:tr>
      <w:tr w:rsidR="006C5E54" w:rsidRPr="006C5E54" w:rsidTr="00AF470B">
        <w:tc>
          <w:tcPr>
            <w:tcW w:w="2093"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Istotne cechy</w:t>
            </w:r>
          </w:p>
          <w:p w:rsidR="006C5E54" w:rsidRPr="006C5E54" w:rsidRDefault="006C5E54" w:rsidP="00AF470B">
            <w:pPr>
              <w:jc w:val="left"/>
              <w:rPr>
                <w:rFonts w:asciiTheme="minorHAnsi" w:hAnsiTheme="minorHAnsi"/>
              </w:rPr>
            </w:pPr>
            <w:r w:rsidRPr="006C5E54">
              <w:rPr>
                <w:rFonts w:asciiTheme="minorHAnsi" w:eastAsia="TimesNewRoman" w:hAnsiTheme="minorHAnsi" w:cs="TimesNewRoman"/>
              </w:rPr>
              <w:t>ś</w:t>
            </w:r>
            <w:r w:rsidRPr="006C5E54">
              <w:rPr>
                <w:rFonts w:asciiTheme="minorHAnsi" w:hAnsiTheme="minorHAnsi"/>
              </w:rPr>
              <w:t>rodowiskowe</w:t>
            </w:r>
          </w:p>
        </w:tc>
        <w:tc>
          <w:tcPr>
            <w:tcW w:w="1134" w:type="dxa"/>
            <w:shd w:val="clear" w:color="auto" w:fill="auto"/>
          </w:tcPr>
          <w:p w:rsidR="006C5E54" w:rsidRPr="006C5E54" w:rsidRDefault="006C5E54" w:rsidP="00AF470B">
            <w:pPr>
              <w:jc w:val="center"/>
              <w:rPr>
                <w:rFonts w:asciiTheme="minorHAnsi" w:hAnsiTheme="minorHAnsi"/>
              </w:rPr>
            </w:pPr>
            <w:r w:rsidRPr="006C5E54">
              <w:rPr>
                <w:rFonts w:asciiTheme="minorHAnsi" w:hAnsiTheme="minorHAnsi"/>
              </w:rPr>
              <w:t>-</w:t>
            </w:r>
          </w:p>
        </w:tc>
        <w:tc>
          <w:tcPr>
            <w:tcW w:w="1134"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Zał. C</w:t>
            </w:r>
          </w:p>
          <w:p w:rsidR="006C5E54" w:rsidRPr="006C5E54" w:rsidRDefault="006C5E54" w:rsidP="00AF470B">
            <w:pPr>
              <w:jc w:val="center"/>
              <w:rPr>
                <w:rFonts w:asciiTheme="minorHAnsi" w:hAnsiTheme="minorHAnsi"/>
              </w:rPr>
            </w:pPr>
            <w:r w:rsidRPr="006C5E54">
              <w:rPr>
                <w:rFonts w:asciiTheme="minorHAnsi" w:hAnsiTheme="minorHAnsi"/>
              </w:rPr>
              <w:t>p.C3.4</w:t>
            </w:r>
          </w:p>
        </w:tc>
        <w:tc>
          <w:tcPr>
            <w:tcW w:w="5386"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Wi</w:t>
            </w:r>
            <w:r w:rsidRPr="006C5E54">
              <w:rPr>
                <w:rFonts w:asciiTheme="minorHAnsi" w:eastAsia="TimesNewRoman" w:hAnsiTheme="minorHAnsi" w:cs="TimesNewRoman"/>
              </w:rPr>
              <w:t>ę</w:t>
            </w:r>
            <w:r w:rsidRPr="006C5E54">
              <w:rPr>
                <w:rFonts w:asciiTheme="minorHAnsi" w:hAnsiTheme="minorHAnsi"/>
              </w:rPr>
              <w:t>kszo</w:t>
            </w:r>
            <w:r w:rsidRPr="006C5E54">
              <w:rPr>
                <w:rFonts w:asciiTheme="minorHAnsi" w:eastAsia="TimesNewRoman" w:hAnsiTheme="minorHAnsi" w:cs="TimesNewRoman"/>
              </w:rPr>
              <w:t xml:space="preserve">ść </w:t>
            </w:r>
            <w:r w:rsidRPr="006C5E54">
              <w:rPr>
                <w:rFonts w:asciiTheme="minorHAnsi" w:hAnsiTheme="minorHAnsi"/>
              </w:rPr>
              <w:t>substancji niebezpiecznych okre</w:t>
            </w:r>
            <w:r w:rsidRPr="006C5E54">
              <w:rPr>
                <w:rFonts w:asciiTheme="minorHAnsi" w:eastAsia="TimesNewRoman" w:hAnsiTheme="minorHAnsi" w:cs="TimesNewRoman"/>
              </w:rPr>
              <w:t>ś</w:t>
            </w:r>
            <w:r w:rsidRPr="006C5E54">
              <w:rPr>
                <w:rFonts w:asciiTheme="minorHAnsi" w:hAnsiTheme="minorHAnsi"/>
              </w:rPr>
              <w:t>lonych w</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dyrektywie Rady 76/769/EWG zazwyczaj nie wyst</w:t>
            </w:r>
            <w:r w:rsidRPr="006C5E54">
              <w:rPr>
                <w:rFonts w:asciiTheme="minorHAnsi" w:eastAsia="TimesNewRoman" w:hAnsiTheme="minorHAnsi" w:cs="TimesNewRoman"/>
              </w:rPr>
              <w:t>ę</w:t>
            </w:r>
            <w:r w:rsidRPr="006C5E54">
              <w:rPr>
                <w:rFonts w:asciiTheme="minorHAnsi" w:hAnsiTheme="minorHAnsi"/>
              </w:rPr>
              <w:t>puje w</w:t>
            </w:r>
          </w:p>
          <w:p w:rsidR="006C5E54" w:rsidRPr="006C5E54" w:rsidRDefault="006C5E54" w:rsidP="00AF470B">
            <w:pPr>
              <w:overflowPunct/>
              <w:jc w:val="left"/>
              <w:textAlignment w:val="auto"/>
              <w:rPr>
                <w:rFonts w:asciiTheme="minorHAnsi" w:hAnsiTheme="minorHAnsi"/>
              </w:rPr>
            </w:pPr>
            <w:r w:rsidRPr="006C5E54">
              <w:rPr>
                <w:rFonts w:asciiTheme="minorHAnsi" w:eastAsia="TimesNewRoman" w:hAnsiTheme="minorHAnsi" w:cs="TimesNewRoman"/>
              </w:rPr>
              <w:t>ź</w:t>
            </w:r>
            <w:r w:rsidRPr="006C5E54">
              <w:rPr>
                <w:rFonts w:asciiTheme="minorHAnsi" w:hAnsiTheme="minorHAnsi"/>
              </w:rPr>
              <w:t>ródłach kruszywa pochodzenia mineralnego. Jednak w</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odniesieniu do kruszyw sztucznych i odpadowych nale</w:t>
            </w:r>
            <w:r w:rsidRPr="006C5E54">
              <w:rPr>
                <w:rFonts w:asciiTheme="minorHAnsi" w:eastAsia="TimesNewRoman" w:hAnsiTheme="minorHAnsi" w:cs="TimesNewRoman"/>
              </w:rPr>
              <w:t>ż</w:t>
            </w:r>
            <w:r w:rsidRPr="006C5E54">
              <w:rPr>
                <w:rFonts w:asciiTheme="minorHAnsi" w:hAnsiTheme="minorHAnsi"/>
              </w:rPr>
              <w:t>y</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bada</w:t>
            </w:r>
            <w:r w:rsidRPr="006C5E54">
              <w:rPr>
                <w:rFonts w:asciiTheme="minorHAnsi" w:eastAsia="TimesNewRoman" w:hAnsiTheme="minorHAnsi" w:cs="TimesNewRoman"/>
              </w:rPr>
              <w:t xml:space="preserve">ć </w:t>
            </w:r>
            <w:r w:rsidRPr="006C5E54">
              <w:rPr>
                <w:rFonts w:asciiTheme="minorHAnsi" w:hAnsiTheme="minorHAnsi"/>
              </w:rPr>
              <w:t>czy zawarto</w:t>
            </w:r>
            <w:r w:rsidRPr="006C5E54">
              <w:rPr>
                <w:rFonts w:asciiTheme="minorHAnsi" w:eastAsia="TimesNewRoman" w:hAnsiTheme="minorHAnsi" w:cs="TimesNewRoman"/>
              </w:rPr>
              <w:t xml:space="preserve">ść </w:t>
            </w:r>
            <w:r w:rsidRPr="006C5E54">
              <w:rPr>
                <w:rFonts w:asciiTheme="minorHAnsi" w:hAnsiTheme="minorHAnsi"/>
              </w:rPr>
              <w:t>substancji niebezpiecznych nie</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przekracza warto</w:t>
            </w:r>
            <w:r w:rsidRPr="006C5E54">
              <w:rPr>
                <w:rFonts w:asciiTheme="minorHAnsi" w:eastAsia="TimesNewRoman" w:hAnsiTheme="minorHAnsi" w:cs="TimesNewRoman"/>
              </w:rPr>
              <w:t>ś</w:t>
            </w:r>
            <w:r w:rsidRPr="006C5E54">
              <w:rPr>
                <w:rFonts w:asciiTheme="minorHAnsi" w:hAnsiTheme="minorHAnsi"/>
              </w:rPr>
              <w:t>ci dopuszczalnych wg odr</w:t>
            </w:r>
            <w:r w:rsidRPr="006C5E54">
              <w:rPr>
                <w:rFonts w:asciiTheme="minorHAnsi" w:eastAsia="TimesNewRoman" w:hAnsiTheme="minorHAnsi" w:cs="TimesNewRoman"/>
              </w:rPr>
              <w:t>ę</w:t>
            </w:r>
            <w:r w:rsidRPr="006C5E54">
              <w:rPr>
                <w:rFonts w:asciiTheme="minorHAnsi" w:hAnsiTheme="minorHAnsi"/>
              </w:rPr>
              <w:t>bnych</w:t>
            </w:r>
          </w:p>
          <w:p w:rsidR="006C5E54" w:rsidRPr="006C5E54" w:rsidRDefault="006C5E54" w:rsidP="00AF470B">
            <w:pPr>
              <w:jc w:val="left"/>
              <w:rPr>
                <w:rFonts w:asciiTheme="minorHAnsi" w:hAnsiTheme="minorHAnsi"/>
              </w:rPr>
            </w:pPr>
            <w:r w:rsidRPr="006C5E54">
              <w:rPr>
                <w:rFonts w:asciiTheme="minorHAnsi" w:hAnsiTheme="minorHAnsi"/>
              </w:rPr>
              <w:t>przepisów</w:t>
            </w:r>
          </w:p>
        </w:tc>
      </w:tr>
      <w:tr w:rsidR="006C5E54" w:rsidRPr="006C5E54" w:rsidTr="00AF470B">
        <w:tc>
          <w:tcPr>
            <w:tcW w:w="9747" w:type="dxa"/>
            <w:gridSpan w:val="4"/>
            <w:shd w:val="clear" w:color="auto" w:fill="auto"/>
          </w:tcPr>
          <w:p w:rsidR="006C5E54" w:rsidRPr="006C5E54" w:rsidRDefault="006C5E54" w:rsidP="00AF470B">
            <w:pPr>
              <w:jc w:val="left"/>
              <w:rPr>
                <w:rFonts w:asciiTheme="minorHAnsi" w:hAnsiTheme="minorHAnsi"/>
              </w:rPr>
            </w:pPr>
            <w:r w:rsidRPr="006C5E54">
              <w:rPr>
                <w:rFonts w:asciiTheme="minorHAnsi" w:hAnsiTheme="minorHAnsi"/>
              </w:rPr>
              <w:t>**) Ł</w:t>
            </w:r>
            <w:r w:rsidRPr="006C5E54">
              <w:rPr>
                <w:rFonts w:asciiTheme="minorHAnsi" w:eastAsia="TimesNewRoman" w:hAnsiTheme="minorHAnsi" w:cs="TimesNewRoman"/>
              </w:rPr>
              <w:t>ą</w:t>
            </w:r>
            <w:r w:rsidRPr="006C5E54">
              <w:rPr>
                <w:rFonts w:asciiTheme="minorHAnsi" w:hAnsiTheme="minorHAnsi"/>
              </w:rPr>
              <w:t>czna zawarto</w:t>
            </w:r>
            <w:r w:rsidRPr="006C5E54">
              <w:rPr>
                <w:rFonts w:asciiTheme="minorHAnsi" w:eastAsia="TimesNewRoman" w:hAnsiTheme="minorHAnsi" w:cs="TimesNewRoman"/>
              </w:rPr>
              <w:t xml:space="preserve">ść </w:t>
            </w:r>
            <w:r w:rsidRPr="006C5E54">
              <w:rPr>
                <w:rFonts w:asciiTheme="minorHAnsi" w:hAnsiTheme="minorHAnsi"/>
              </w:rPr>
              <w:t>pyłów w mieszance powinna si</w:t>
            </w:r>
            <w:r w:rsidRPr="006C5E54">
              <w:rPr>
                <w:rFonts w:asciiTheme="minorHAnsi" w:eastAsia="TimesNewRoman" w:hAnsiTheme="minorHAnsi" w:cs="TimesNewRoman"/>
              </w:rPr>
              <w:t xml:space="preserve">ę </w:t>
            </w:r>
            <w:r w:rsidRPr="006C5E54">
              <w:rPr>
                <w:rFonts w:asciiTheme="minorHAnsi" w:hAnsiTheme="minorHAnsi"/>
              </w:rPr>
              <w:t>mie</w:t>
            </w:r>
            <w:r w:rsidRPr="006C5E54">
              <w:rPr>
                <w:rFonts w:asciiTheme="minorHAnsi" w:eastAsia="TimesNewRoman" w:hAnsiTheme="minorHAnsi" w:cs="TimesNewRoman"/>
              </w:rPr>
              <w:t>ś</w:t>
            </w:r>
            <w:r w:rsidRPr="006C5E54">
              <w:rPr>
                <w:rFonts w:asciiTheme="minorHAnsi" w:hAnsiTheme="minorHAnsi"/>
              </w:rPr>
              <w:t>ci</w:t>
            </w:r>
            <w:r w:rsidRPr="006C5E54">
              <w:rPr>
                <w:rFonts w:asciiTheme="minorHAnsi" w:eastAsia="TimesNewRoman" w:hAnsiTheme="minorHAnsi" w:cs="TimesNewRoman"/>
              </w:rPr>
              <w:t xml:space="preserve">ć </w:t>
            </w:r>
            <w:r w:rsidRPr="006C5E54">
              <w:rPr>
                <w:rFonts w:asciiTheme="minorHAnsi" w:hAnsiTheme="minorHAnsi"/>
              </w:rPr>
              <w:t>w wybranych krzywych granicznych</w:t>
            </w:r>
          </w:p>
        </w:tc>
      </w:tr>
    </w:tbl>
    <w:p w:rsidR="006C5E54" w:rsidRPr="006C5E54" w:rsidRDefault="006C5E54" w:rsidP="00364E4D">
      <w:pPr>
        <w:tabs>
          <w:tab w:val="left" w:pos="9914"/>
        </w:tabs>
        <w:rPr>
          <w:rFonts w:asciiTheme="minorHAnsi" w:hAnsiTheme="minorHAnsi" w:cs="Calibri"/>
        </w:rPr>
      </w:pPr>
    </w:p>
    <w:p w:rsidR="00656AC1" w:rsidRPr="00203191" w:rsidRDefault="00656AC1" w:rsidP="00364E4D">
      <w:pPr>
        <w:pStyle w:val="Nagwek4"/>
        <w:tabs>
          <w:tab w:val="left" w:pos="9914"/>
        </w:tabs>
        <w:rPr>
          <w:rFonts w:ascii="Calibri" w:hAnsi="Calibri" w:cs="Calibri"/>
        </w:rPr>
      </w:pPr>
      <w:r w:rsidRPr="00203191">
        <w:rPr>
          <w:rFonts w:ascii="Calibri" w:hAnsi="Calibri" w:cs="Calibri"/>
        </w:rPr>
        <w:t>2.5. Woda</w:t>
      </w:r>
    </w:p>
    <w:p w:rsidR="00656AC1" w:rsidRPr="00203191" w:rsidRDefault="00656AC1" w:rsidP="00364E4D">
      <w:pPr>
        <w:tabs>
          <w:tab w:val="left" w:pos="9914"/>
        </w:tabs>
        <w:rPr>
          <w:rFonts w:ascii="Calibri" w:hAnsi="Calibri" w:cs="Calibri"/>
        </w:rPr>
      </w:pPr>
      <w:r w:rsidRPr="00203191">
        <w:rPr>
          <w:rFonts w:ascii="Calibri" w:hAnsi="Calibri" w:cs="Calibri"/>
        </w:rPr>
        <w:t>Woda stosowana do stabilizacji gruntu lub kruszywa cementem i ewentualnie do pielęgnacji wykonanej warstwy powinna odpowiadać wymaganiom PN-EN-1008:2004. Bez badań laboratoryjnych można stosować wodociągową wodę pitną. Gdy woda pochodzi z wątpliwych źródeł nie może być użyta do momentu jej przebadania, zgodnie z wyżej podaną normą lub do momentu porównania wyników wytrzymałości na ściskanie próbek gruntowo-cementowych wykonanych z wodą wątpliwą i z wodą wodociągową. Brak różnic potwierdza przydatność wody do stabilizacji gruntu lub kruszywa cementem.</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2.6. Dodatki ulepszające</w:t>
      </w:r>
    </w:p>
    <w:p w:rsidR="00656AC1" w:rsidRPr="00203191" w:rsidRDefault="00656AC1" w:rsidP="00364E4D">
      <w:pPr>
        <w:tabs>
          <w:tab w:val="left" w:pos="9914"/>
        </w:tabs>
        <w:rPr>
          <w:rFonts w:ascii="Calibri" w:hAnsi="Calibri" w:cs="Calibri"/>
        </w:rPr>
      </w:pPr>
      <w:r w:rsidRPr="00203191">
        <w:rPr>
          <w:rFonts w:ascii="Calibri" w:hAnsi="Calibri" w:cs="Calibri"/>
        </w:rPr>
        <w:t>Przy stabilizacji gruntów cementem, w przypadkach uzasadnionych, stosuje się następujące dodatki ulepszające:</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wapno wg PN-B-30020:1999,</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popioły lotne wg PN-S-96035:1997,</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chlorek wapniowy wg PN-C-84127.</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Za zgodą Inżyniera mogą być stosowane inne dodatki o sprawdzonym działaniu, posiadające aprobatę techniczną wydaną przez uprawnioną jednostkę.</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2.7. Kruszywo stabilizowane cementem</w:t>
      </w:r>
    </w:p>
    <w:p w:rsidR="00656AC1" w:rsidRPr="00203191" w:rsidRDefault="00656AC1" w:rsidP="00364E4D">
      <w:pPr>
        <w:tabs>
          <w:tab w:val="left" w:pos="9914"/>
        </w:tabs>
        <w:rPr>
          <w:rFonts w:ascii="Calibri" w:hAnsi="Calibri" w:cs="Calibri"/>
        </w:rPr>
      </w:pPr>
      <w:r w:rsidRPr="00203191">
        <w:rPr>
          <w:rFonts w:ascii="Calibri" w:hAnsi="Calibri" w:cs="Calibri"/>
        </w:rPr>
        <w:t>Wymagania dla kruszywa stabilizowanego cementem określają WT-5 mieszanki związane spoiwem hydraulicznym do dróg krajowych wymagania techniczne – rozdział 5 podrozdział 5.3.3 , tablica 5.5</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lastRenderedPageBreak/>
        <w:t>3. SPRZĘT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3.1. Ogólne wymagania dotyczące sprzętu</w:t>
      </w:r>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3.2. Sprzęt do wykonania robót</w:t>
      </w:r>
    </w:p>
    <w:p w:rsidR="00656AC1" w:rsidRPr="00203191" w:rsidRDefault="00656AC1" w:rsidP="00364E4D">
      <w:pPr>
        <w:tabs>
          <w:tab w:val="left" w:pos="9914"/>
        </w:tabs>
        <w:rPr>
          <w:rFonts w:ascii="Calibri" w:hAnsi="Calibri" w:cs="Calibri"/>
        </w:rPr>
      </w:pPr>
      <w:r w:rsidRPr="00203191">
        <w:rPr>
          <w:rFonts w:ascii="Calibri" w:hAnsi="Calibri" w:cs="Calibri"/>
        </w:rPr>
        <w:t>Wykonawca przystępujący do wykonania podbudowy lub ulepszonego podłoża stabilizowanego spoiwami powinien wykazać się możliwością korzystania z następującego sprzętu:</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mieszarek stacjonarnych,</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układarek lub równiarek do rozkładania mieszanki,</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walców ogumionych i stalowych wibracyjnych lub statycznych do zagęszczania,</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zagęszczarek płytowych, ubijaków mechanicznych lub małych walców wibracyjnych do zagęszczania w miejscach trudnodostępnych,</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4. TRANSPORT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4.1. Ogólne wymagania dotyczące transportu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4.2. Transport materiałów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Transport cementu powinien odbywać się zgodnie z BN-88/6731-08.</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Transport wapna powinien odbywać się zgodnie z PN-B-30020:1999.</w:t>
      </w:r>
    </w:p>
    <w:p w:rsidR="00656AC1" w:rsidRPr="00203191" w:rsidRDefault="00656AC1" w:rsidP="00364E4D">
      <w:pPr>
        <w:pStyle w:val="tekstost"/>
        <w:numPr>
          <w:ilvl w:val="12"/>
          <w:numId w:val="0"/>
        </w:numPr>
        <w:tabs>
          <w:tab w:val="left" w:pos="9914"/>
        </w:tabs>
        <w:rPr>
          <w:rFonts w:ascii="Calibri" w:hAnsi="Calibri" w:cs="Calibri"/>
        </w:rPr>
      </w:pPr>
      <w:r w:rsidRPr="00203191">
        <w:rPr>
          <w:rFonts w:ascii="Calibri" w:hAnsi="Calibri" w:cs="Calibri"/>
        </w:rPr>
        <w:t>Transport popiołów lotnych powinien odbywać się zgodnie z PN-S-96035:1997.</w:t>
      </w:r>
    </w:p>
    <w:p w:rsidR="00656AC1" w:rsidRPr="00203191" w:rsidRDefault="00656AC1" w:rsidP="00364E4D">
      <w:pPr>
        <w:pStyle w:val="tekstost"/>
        <w:numPr>
          <w:ilvl w:val="12"/>
          <w:numId w:val="0"/>
        </w:numPr>
        <w:tabs>
          <w:tab w:val="left" w:pos="9914"/>
        </w:tabs>
        <w:rPr>
          <w:rFonts w:ascii="Calibri" w:hAnsi="Calibri" w:cs="Calibri"/>
        </w:rPr>
      </w:pPr>
      <w:r w:rsidRPr="00203191">
        <w:rPr>
          <w:rFonts w:ascii="Calibri" w:hAnsi="Calibri" w:cs="Calibri"/>
        </w:rPr>
        <w:t>Mieszankę kruszywowo-spoiwową można przewozić dowolnymi środkami transportu, w sposób zabezpieczony przed zanieczyszczeniem, rozsegregowaniem i wysuszeniem lub nadmiernym  zawilgoceniem.</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5. WYKONANIE ROBÓT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5.1. Ogólne zasady wykonania robót</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5.2. Przygotowanie podłoża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Podłoże gruntowe powinno być przygotowane zgodnie z wymaganiami określonymi w </w:t>
      </w:r>
      <w:r w:rsidR="005B48CA">
        <w:rPr>
          <w:rFonts w:ascii="Calibri" w:hAnsi="Calibri" w:cs="Calibri"/>
        </w:rPr>
        <w:t>STWiORB</w:t>
      </w:r>
      <w:r w:rsidRPr="00203191">
        <w:rPr>
          <w:rFonts w:ascii="Calibri" w:hAnsi="Calibri" w:cs="Calibri"/>
        </w:rPr>
        <w:t xml:space="preserve"> D-04.01.01 „Koryto wraz z profilowaniem i zagęszczeniem podłoża”  </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Paliki lub szpilki do prawidłowego ukształtowania ulepszonego podłoża powinny być wcześniej przygotowane.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Paliki lub szpilki powinny być ustawione w osi drogi i w rzędach równoległych do osi drogi, lub w inny sposób zaakceptowany przez Inżyniera.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Rozmieszczenie palików lub szpilek powinno umożliwiać naciągnięcie sznurków lub linek do wytyczenia robót w odstępach nie większych niż co 10 m.</w:t>
      </w:r>
    </w:p>
    <w:p w:rsidR="00656AC1" w:rsidRPr="00203191" w:rsidRDefault="00656AC1" w:rsidP="00364E4D">
      <w:pPr>
        <w:tabs>
          <w:tab w:val="left" w:pos="9914"/>
        </w:tabs>
        <w:rPr>
          <w:rFonts w:ascii="Calibri" w:hAnsi="Calibri" w:cs="Calibri"/>
        </w:rPr>
      </w:pPr>
      <w:r w:rsidRPr="00203191">
        <w:rPr>
          <w:rFonts w:ascii="Calibri" w:hAnsi="Calibri" w:cs="Calibri"/>
        </w:rPr>
        <w:t>Jeżeli warstwa mieszanki gruntu lub kruszywa ze spoiwami hydraulicznymi ma być układana w prowadnicach, to po wytyczeniu podbudowy należy ustawić na podłożu prowadnice w taki sposób, aby wyznaczały one ściśle linie krawędzi układanej warstwy  według dokumentacji projektowej. Wysokość prowadnic powinna odpowiadać grubości warstwy mieszanki gruntu lub kruszywa ze spoiwami hydraulicznymi, w stanie niezagęszczonym. Prowadnice powinny być ustawione stabilnie, w sposób wykluczający ich przesuwanie się pod wpływem oddziaływania maszyn użytych do wykonania warstwy.</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5.3. Stabilizacja metodą mieszania w mieszarkach stacjonarnych</w:t>
      </w:r>
    </w:p>
    <w:p w:rsidR="006C5E54" w:rsidRPr="006C5E54" w:rsidRDefault="006C5E54" w:rsidP="006C5E54">
      <w:pPr>
        <w:overflowPunct/>
        <w:jc w:val="left"/>
        <w:textAlignment w:val="auto"/>
        <w:rPr>
          <w:rFonts w:asciiTheme="minorHAnsi" w:hAnsiTheme="minorHAnsi"/>
          <w:b/>
        </w:rPr>
      </w:pPr>
      <w:r w:rsidRPr="006C5E54">
        <w:rPr>
          <w:rFonts w:asciiTheme="minorHAnsi" w:hAnsiTheme="minorHAnsi"/>
          <w:b/>
        </w:rPr>
        <w:t>5.3.1 Produkcja mieszanki</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Za przygotowanie receptury odpowiada Wykonawca robót, który przedstawi j</w:t>
      </w:r>
      <w:r w:rsidRPr="006C5E54">
        <w:rPr>
          <w:rFonts w:asciiTheme="minorHAnsi" w:eastAsia="TimesNewRoman" w:hAnsiTheme="minorHAnsi" w:cs="TimesNewRoman"/>
        </w:rPr>
        <w:t xml:space="preserve">ą </w:t>
      </w:r>
      <w:r w:rsidRPr="006C5E54">
        <w:rPr>
          <w:rFonts w:asciiTheme="minorHAnsi" w:hAnsiTheme="minorHAnsi"/>
        </w:rPr>
        <w:t>In</w:t>
      </w:r>
      <w:r w:rsidRPr="006C5E54">
        <w:rPr>
          <w:rFonts w:asciiTheme="minorHAnsi" w:eastAsia="TimesNewRoman" w:hAnsiTheme="minorHAnsi" w:cs="TimesNewRoman"/>
        </w:rPr>
        <w:t>ż</w:t>
      </w:r>
      <w:r w:rsidRPr="006C5E54">
        <w:rPr>
          <w:rFonts w:asciiTheme="minorHAnsi" w:hAnsiTheme="minorHAnsi"/>
        </w:rPr>
        <w:t>ynierowi do zatwierdzenia. Receptura powinna by</w:t>
      </w:r>
      <w:r w:rsidRPr="006C5E54">
        <w:rPr>
          <w:rFonts w:asciiTheme="minorHAnsi" w:eastAsia="TimesNewRoman" w:hAnsiTheme="minorHAnsi" w:cs="TimesNewRoman"/>
        </w:rPr>
        <w:t xml:space="preserve">ć </w:t>
      </w:r>
      <w:r w:rsidRPr="006C5E54">
        <w:rPr>
          <w:rFonts w:asciiTheme="minorHAnsi" w:hAnsiTheme="minorHAnsi"/>
        </w:rPr>
        <w:t>opracowana dla konkretnych składników, zaakceptowanych wcze</w:t>
      </w:r>
      <w:r w:rsidRPr="006C5E54">
        <w:rPr>
          <w:rFonts w:asciiTheme="minorHAnsi" w:eastAsia="TimesNewRoman" w:hAnsiTheme="minorHAnsi" w:cs="TimesNewRoman"/>
        </w:rPr>
        <w:t>ś</w:t>
      </w:r>
      <w:r w:rsidRPr="006C5E54">
        <w:rPr>
          <w:rFonts w:asciiTheme="minorHAnsi" w:hAnsiTheme="minorHAnsi"/>
        </w:rPr>
        <w:t>niej przez In</w:t>
      </w:r>
      <w:r w:rsidRPr="006C5E54">
        <w:rPr>
          <w:rFonts w:asciiTheme="minorHAnsi" w:eastAsia="TimesNewRoman" w:hAnsiTheme="minorHAnsi" w:cs="TimesNewRoman"/>
        </w:rPr>
        <w:t>ż</w:t>
      </w:r>
      <w:r w:rsidRPr="006C5E54">
        <w:rPr>
          <w:rFonts w:asciiTheme="minorHAnsi" w:hAnsiTheme="minorHAnsi"/>
        </w:rPr>
        <w:t>yniera do wbudowania i przy wykorzystaniu reprezentatywnych próbek.</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Receptura powinna by</w:t>
      </w:r>
      <w:r w:rsidRPr="006C5E54">
        <w:rPr>
          <w:rFonts w:asciiTheme="minorHAnsi" w:eastAsia="TimesNewRoman" w:hAnsiTheme="minorHAnsi" w:cs="TimesNewRoman"/>
        </w:rPr>
        <w:t xml:space="preserve">ć </w:t>
      </w:r>
      <w:r w:rsidRPr="006C5E54">
        <w:rPr>
          <w:rFonts w:asciiTheme="minorHAnsi" w:hAnsiTheme="minorHAnsi"/>
        </w:rPr>
        <w:t>opracowana w oparciu o nast</w:t>
      </w:r>
      <w:r w:rsidRPr="006C5E54">
        <w:rPr>
          <w:rFonts w:asciiTheme="minorHAnsi" w:eastAsia="TimesNewRoman" w:hAnsiTheme="minorHAnsi" w:cs="TimesNewRoman"/>
        </w:rPr>
        <w:t>ę</w:t>
      </w:r>
      <w:r w:rsidRPr="006C5E54">
        <w:rPr>
          <w:rFonts w:asciiTheme="minorHAnsi" w:hAnsiTheme="minorHAnsi"/>
        </w:rPr>
        <w:t>puj</w:t>
      </w:r>
      <w:r w:rsidRPr="006C5E54">
        <w:rPr>
          <w:rFonts w:asciiTheme="minorHAnsi" w:eastAsia="TimesNewRoman" w:hAnsiTheme="minorHAnsi" w:cs="TimesNewRoman"/>
        </w:rPr>
        <w:t>ą</w:t>
      </w:r>
      <w:r w:rsidRPr="006C5E54">
        <w:rPr>
          <w:rFonts w:asciiTheme="minorHAnsi" w:hAnsiTheme="minorHAnsi"/>
        </w:rPr>
        <w:t xml:space="preserve">ce </w:t>
      </w:r>
      <w:r w:rsidRPr="006C5E54">
        <w:rPr>
          <w:rFonts w:asciiTheme="minorHAnsi" w:eastAsia="TimesNewRoman" w:hAnsiTheme="minorHAnsi" w:cs="TimesNewRoman"/>
        </w:rPr>
        <w:t>ź</w:t>
      </w:r>
      <w:r w:rsidRPr="006C5E54">
        <w:rPr>
          <w:rFonts w:asciiTheme="minorHAnsi" w:hAnsiTheme="minorHAnsi"/>
        </w:rPr>
        <w:t>ródła:</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lastRenderedPageBreak/>
        <w:t>- wytyczne niniejszych warunków,</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 WT-5</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 zało</w:t>
      </w:r>
      <w:r w:rsidRPr="006C5E54">
        <w:rPr>
          <w:rFonts w:asciiTheme="minorHAnsi" w:eastAsia="TimesNewRoman" w:hAnsiTheme="minorHAnsi" w:cs="TimesNewRoman"/>
        </w:rPr>
        <w:t>ż</w:t>
      </w:r>
      <w:r w:rsidRPr="006C5E54">
        <w:rPr>
          <w:rFonts w:asciiTheme="minorHAnsi" w:hAnsiTheme="minorHAnsi"/>
        </w:rPr>
        <w:t>enia uj</w:t>
      </w:r>
      <w:r w:rsidRPr="006C5E54">
        <w:rPr>
          <w:rFonts w:asciiTheme="minorHAnsi" w:eastAsia="TimesNewRoman" w:hAnsiTheme="minorHAnsi" w:cs="TimesNewRoman"/>
        </w:rPr>
        <w:t>ę</w:t>
      </w:r>
      <w:r w:rsidRPr="006C5E54">
        <w:rPr>
          <w:rFonts w:asciiTheme="minorHAnsi" w:hAnsiTheme="minorHAnsi"/>
        </w:rPr>
        <w:t>te w PZJ.</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Skład mieszanki projektuje si</w:t>
      </w:r>
      <w:r w:rsidRPr="006C5E54">
        <w:rPr>
          <w:rFonts w:asciiTheme="minorHAnsi" w:eastAsia="TimesNewRoman" w:hAnsiTheme="minorHAnsi" w:cs="TimesNewRoman"/>
        </w:rPr>
        <w:t xml:space="preserve">ę </w:t>
      </w:r>
      <w:r w:rsidRPr="006C5E54">
        <w:rPr>
          <w:rFonts w:asciiTheme="minorHAnsi" w:hAnsiTheme="minorHAnsi"/>
        </w:rPr>
        <w:t>ze wzgl</w:t>
      </w:r>
      <w:r w:rsidRPr="006C5E54">
        <w:rPr>
          <w:rFonts w:asciiTheme="minorHAnsi" w:eastAsia="TimesNewRoman" w:hAnsiTheme="minorHAnsi" w:cs="TimesNewRoman"/>
        </w:rPr>
        <w:t>ę</w:t>
      </w:r>
      <w:r w:rsidRPr="006C5E54">
        <w:rPr>
          <w:rFonts w:asciiTheme="minorHAnsi" w:hAnsiTheme="minorHAnsi"/>
        </w:rPr>
        <w:t>du na wytrzymało</w:t>
      </w:r>
      <w:r w:rsidRPr="006C5E54">
        <w:rPr>
          <w:rFonts w:asciiTheme="minorHAnsi" w:eastAsia="TimesNewRoman" w:hAnsiTheme="minorHAnsi" w:cs="TimesNewRoman"/>
        </w:rPr>
        <w:t xml:space="preserve">ść </w:t>
      </w:r>
      <w:r w:rsidRPr="006C5E54">
        <w:rPr>
          <w:rFonts w:asciiTheme="minorHAnsi" w:hAnsiTheme="minorHAnsi"/>
        </w:rPr>
        <w:t xml:space="preserve">na </w:t>
      </w:r>
      <w:r w:rsidRPr="006C5E54">
        <w:rPr>
          <w:rFonts w:asciiTheme="minorHAnsi" w:eastAsia="TimesNewRoman" w:hAnsiTheme="minorHAnsi" w:cs="TimesNewRoman"/>
        </w:rPr>
        <w:t>ś</w:t>
      </w:r>
      <w:r w:rsidRPr="006C5E54">
        <w:rPr>
          <w:rFonts w:asciiTheme="minorHAnsi" w:hAnsiTheme="minorHAnsi"/>
        </w:rPr>
        <w:t>ciskanie próbek (System I) zag</w:t>
      </w:r>
      <w:r w:rsidRPr="006C5E54">
        <w:rPr>
          <w:rFonts w:asciiTheme="minorHAnsi" w:eastAsia="TimesNewRoman" w:hAnsiTheme="minorHAnsi" w:cs="TimesNewRoman"/>
        </w:rPr>
        <w:t>ę</w:t>
      </w:r>
      <w:r w:rsidRPr="006C5E54">
        <w:rPr>
          <w:rFonts w:asciiTheme="minorHAnsi" w:hAnsiTheme="minorHAnsi"/>
        </w:rPr>
        <w:t>szczanych metod</w:t>
      </w:r>
      <w:r w:rsidRPr="006C5E54">
        <w:rPr>
          <w:rFonts w:asciiTheme="minorHAnsi" w:eastAsia="TimesNewRoman" w:hAnsiTheme="minorHAnsi" w:cs="TimesNewRoman"/>
        </w:rPr>
        <w:t xml:space="preserve">ą </w:t>
      </w:r>
      <w:r w:rsidRPr="006C5E54">
        <w:rPr>
          <w:rFonts w:asciiTheme="minorHAnsi" w:hAnsiTheme="minorHAnsi"/>
        </w:rPr>
        <w:t>Proctora wg PN-EN 13286-50 w formach walcowych H/D=1 Minimalna zawarto</w:t>
      </w:r>
      <w:r w:rsidRPr="006C5E54">
        <w:rPr>
          <w:rFonts w:asciiTheme="minorHAnsi" w:eastAsia="TimesNewRoman" w:hAnsiTheme="minorHAnsi" w:cs="TimesNewRoman"/>
        </w:rPr>
        <w:t xml:space="preserve">ść </w:t>
      </w:r>
      <w:r w:rsidRPr="006C5E54">
        <w:rPr>
          <w:rFonts w:asciiTheme="minorHAnsi" w:hAnsiTheme="minorHAnsi"/>
        </w:rPr>
        <w:t>cementu w mieszance dla poszczególnych warstw wg PN-EN 14227-1.</w:t>
      </w:r>
    </w:p>
    <w:p w:rsid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 xml:space="preserve">Tablica </w:t>
      </w:r>
      <w:r>
        <w:rPr>
          <w:rFonts w:asciiTheme="minorHAnsi" w:hAnsiTheme="minorHAnsi"/>
        </w:rPr>
        <w:t>3</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151"/>
        <w:gridCol w:w="3260"/>
      </w:tblGrid>
      <w:tr w:rsidR="006C5E54" w:rsidRPr="006C5E54" w:rsidTr="006C5E54">
        <w:tc>
          <w:tcPr>
            <w:tcW w:w="3151"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Maksymalny nominalny wymiar kruszywa, mm</w:t>
            </w:r>
          </w:p>
        </w:tc>
        <w:tc>
          <w:tcPr>
            <w:tcW w:w="3260"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Minimalna zawarto</w:t>
            </w:r>
            <w:r w:rsidRPr="006C5E54">
              <w:rPr>
                <w:rFonts w:asciiTheme="minorHAnsi" w:eastAsia="TimesNewRoman" w:hAnsiTheme="minorHAnsi" w:cs="TimesNewRoman"/>
              </w:rPr>
              <w:t xml:space="preserve">ść </w:t>
            </w:r>
            <w:r w:rsidRPr="006C5E54">
              <w:rPr>
                <w:rFonts w:asciiTheme="minorHAnsi" w:hAnsiTheme="minorHAnsi"/>
              </w:rPr>
              <w:t>spoiwa, % (m/m)</w:t>
            </w:r>
          </w:p>
        </w:tc>
      </w:tr>
      <w:tr w:rsidR="006C5E54" w:rsidRPr="006C5E54" w:rsidTr="006C5E54">
        <w:tc>
          <w:tcPr>
            <w:tcW w:w="3151"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&gt;8,0 do 31,5</w:t>
            </w:r>
          </w:p>
        </w:tc>
        <w:tc>
          <w:tcPr>
            <w:tcW w:w="3260"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3</w:t>
            </w:r>
          </w:p>
        </w:tc>
      </w:tr>
      <w:tr w:rsidR="006C5E54" w:rsidRPr="006C5E54" w:rsidTr="006C5E54">
        <w:tc>
          <w:tcPr>
            <w:tcW w:w="3151"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2,0 do 8,0</w:t>
            </w:r>
          </w:p>
        </w:tc>
        <w:tc>
          <w:tcPr>
            <w:tcW w:w="3260"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4</w:t>
            </w:r>
          </w:p>
        </w:tc>
      </w:tr>
    </w:tbl>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Zawarto</w:t>
      </w:r>
      <w:r w:rsidRPr="006C5E54">
        <w:rPr>
          <w:rFonts w:asciiTheme="minorHAnsi" w:eastAsia="TimesNewRoman" w:hAnsiTheme="minorHAnsi" w:cs="TimesNewRoman"/>
        </w:rPr>
        <w:t xml:space="preserve">ść </w:t>
      </w:r>
      <w:r w:rsidRPr="006C5E54">
        <w:rPr>
          <w:rFonts w:asciiTheme="minorHAnsi" w:hAnsiTheme="minorHAnsi"/>
        </w:rPr>
        <w:t>wody w mieszance powinna odpowiada</w:t>
      </w:r>
      <w:r w:rsidRPr="006C5E54">
        <w:rPr>
          <w:rFonts w:asciiTheme="minorHAnsi" w:eastAsia="TimesNewRoman" w:hAnsiTheme="minorHAnsi" w:cs="TimesNewRoman"/>
        </w:rPr>
        <w:t xml:space="preserve">ć </w:t>
      </w:r>
      <w:r w:rsidRPr="006C5E54">
        <w:rPr>
          <w:rFonts w:asciiTheme="minorHAnsi" w:hAnsiTheme="minorHAnsi"/>
        </w:rPr>
        <w:t>wilgotno</w:t>
      </w:r>
      <w:r w:rsidRPr="006C5E54">
        <w:rPr>
          <w:rFonts w:asciiTheme="minorHAnsi" w:eastAsia="TimesNewRoman" w:hAnsiTheme="minorHAnsi" w:cs="TimesNewRoman"/>
        </w:rPr>
        <w:t>ś</w:t>
      </w:r>
      <w:r w:rsidRPr="006C5E54">
        <w:rPr>
          <w:rFonts w:asciiTheme="minorHAnsi" w:hAnsiTheme="minorHAnsi"/>
        </w:rPr>
        <w:t>ci optymalnej okre</w:t>
      </w:r>
      <w:r w:rsidRPr="006C5E54">
        <w:rPr>
          <w:rFonts w:asciiTheme="minorHAnsi" w:eastAsia="TimesNewRoman" w:hAnsiTheme="minorHAnsi" w:cs="TimesNewRoman"/>
        </w:rPr>
        <w:t>ś</w:t>
      </w:r>
      <w:r w:rsidRPr="006C5E54">
        <w:rPr>
          <w:rFonts w:asciiTheme="minorHAnsi" w:hAnsiTheme="minorHAnsi"/>
        </w:rPr>
        <w:t>lonej według normalnej próby Proctora, zgodnie z PN-EN 13286-2, z tolerancj</w:t>
      </w:r>
      <w:r w:rsidRPr="006C5E54">
        <w:rPr>
          <w:rFonts w:asciiTheme="minorHAnsi" w:eastAsia="TimesNewRoman" w:hAnsiTheme="minorHAnsi" w:cs="TimesNewRoman"/>
        </w:rPr>
        <w:t xml:space="preserve">ą </w:t>
      </w:r>
      <w:r w:rsidRPr="006C5E54">
        <w:rPr>
          <w:rFonts w:asciiTheme="minorHAnsi" w:hAnsiTheme="minorHAnsi"/>
        </w:rPr>
        <w:t>+10%, -20% jej warto</w:t>
      </w:r>
      <w:r w:rsidRPr="006C5E54">
        <w:rPr>
          <w:rFonts w:asciiTheme="minorHAnsi" w:eastAsia="TimesNewRoman" w:hAnsiTheme="minorHAnsi" w:cs="TimesNewRoman"/>
        </w:rPr>
        <w:t>ś</w:t>
      </w:r>
      <w:r w:rsidRPr="006C5E54">
        <w:rPr>
          <w:rFonts w:asciiTheme="minorHAnsi" w:hAnsiTheme="minorHAnsi"/>
        </w:rPr>
        <w:t>ci. Wymagania wobec mieszanek zwi</w:t>
      </w:r>
      <w:r w:rsidRPr="006C5E54">
        <w:rPr>
          <w:rFonts w:asciiTheme="minorHAnsi" w:eastAsia="TimesNewRoman" w:hAnsiTheme="minorHAnsi" w:cs="TimesNewRoman"/>
        </w:rPr>
        <w:t>ą</w:t>
      </w:r>
      <w:r w:rsidRPr="006C5E54">
        <w:rPr>
          <w:rFonts w:asciiTheme="minorHAnsi" w:hAnsiTheme="minorHAnsi"/>
        </w:rPr>
        <w:t>zanych cementem do warstw ulepszonego podło</w:t>
      </w:r>
      <w:r w:rsidRPr="006C5E54">
        <w:rPr>
          <w:rFonts w:asciiTheme="minorHAnsi" w:eastAsia="TimesNewRoman" w:hAnsiTheme="minorHAnsi" w:cs="TimesNewRoman"/>
        </w:rPr>
        <w:t>ż</w:t>
      </w:r>
      <w:r w:rsidRPr="006C5E54">
        <w:rPr>
          <w:rFonts w:asciiTheme="minorHAnsi" w:hAnsiTheme="minorHAnsi"/>
        </w:rPr>
        <w:t>a klasy C1,5/2,0 oraz podbudowy pomocniczej C3/4 i podbudowy zasadniczej C5/6 dla KR1- KR</w:t>
      </w:r>
      <w:r w:rsidR="00357120">
        <w:rPr>
          <w:rFonts w:asciiTheme="minorHAnsi" w:hAnsiTheme="minorHAnsi"/>
        </w:rPr>
        <w:t>6</w:t>
      </w:r>
      <w:r w:rsidRPr="006C5E54">
        <w:rPr>
          <w:rFonts w:asciiTheme="minorHAnsi" w:hAnsiTheme="minorHAnsi"/>
        </w:rPr>
        <w:t>.</w:t>
      </w:r>
    </w:p>
    <w:p w:rsidR="006C5E54" w:rsidRPr="006C5E54" w:rsidRDefault="006C5E54" w:rsidP="006C5E54">
      <w:pPr>
        <w:overflowPunct/>
        <w:jc w:val="left"/>
        <w:textAlignment w:val="auto"/>
        <w:rPr>
          <w:rFonts w:asciiTheme="minorHAnsi" w:hAnsiTheme="minorHAnsi"/>
        </w:rPr>
      </w:pPr>
      <w:r>
        <w:rPr>
          <w:rFonts w:asciiTheme="minorHAnsi" w:hAnsiTheme="minorHAnsi"/>
        </w:rPr>
        <w:t>Tablica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03"/>
        <w:gridCol w:w="3978"/>
        <w:gridCol w:w="2397"/>
        <w:gridCol w:w="2394"/>
      </w:tblGrid>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lp</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Wła</w:t>
            </w:r>
            <w:r w:rsidRPr="006C5E54">
              <w:rPr>
                <w:rFonts w:asciiTheme="minorHAnsi" w:eastAsia="TimesNewRoman" w:hAnsiTheme="minorHAnsi"/>
              </w:rPr>
              <w:t>ś</w:t>
            </w:r>
            <w:r w:rsidRPr="006C5E54">
              <w:rPr>
                <w:rFonts w:asciiTheme="minorHAnsi" w:hAnsiTheme="minorHAnsi"/>
              </w:rPr>
              <w:t>ciwo</w:t>
            </w:r>
            <w:r w:rsidRPr="006C5E54">
              <w:rPr>
                <w:rFonts w:asciiTheme="minorHAnsi" w:eastAsia="TimesNewRoman" w:hAnsiTheme="minorHAnsi"/>
              </w:rPr>
              <w:t>ś</w:t>
            </w:r>
            <w:r w:rsidRPr="006C5E54">
              <w:rPr>
                <w:rFonts w:asciiTheme="minorHAnsi" w:hAnsiTheme="minorHAnsi"/>
              </w:rPr>
              <w:t>ci</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Wymagania KR1 – KR6</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Uwagi</w:t>
            </w: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w:t>
            </w:r>
          </w:p>
        </w:tc>
        <w:tc>
          <w:tcPr>
            <w:tcW w:w="8962" w:type="dxa"/>
            <w:gridSpan w:val="3"/>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Składniki</w:t>
            </w: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1.1</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Cement</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wg PN-EN 197-1</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1.2</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Kruszywo</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Tablica 1</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1.3</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Woda zarobowa</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Pkt 2.5</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1.4</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Dodatki</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Pkt 2.6</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w:t>
            </w:r>
          </w:p>
        </w:tc>
        <w:tc>
          <w:tcPr>
            <w:tcW w:w="8962" w:type="dxa"/>
            <w:gridSpan w:val="3"/>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Mieszanka</w:t>
            </w: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2.1</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Uziarnienie -mieszanka CBGM 0/31,5 mm</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Krzywe graniczne</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uziarnienia: rys 1.1</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2.2</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Minimalna zawarto</w:t>
            </w:r>
            <w:r w:rsidRPr="006C5E54">
              <w:rPr>
                <w:rFonts w:asciiTheme="minorHAnsi" w:eastAsia="TimesNewRoman" w:hAnsiTheme="minorHAnsi"/>
              </w:rPr>
              <w:t xml:space="preserve">ść </w:t>
            </w:r>
            <w:r w:rsidRPr="006C5E54">
              <w:rPr>
                <w:rFonts w:asciiTheme="minorHAnsi" w:hAnsiTheme="minorHAnsi"/>
              </w:rPr>
              <w:t>cementu</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Tablica 2</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2.3</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Zawartość wody</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Wg projektu</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Ustalanie na podstawie</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PN-EN 13286-2</w:t>
            </w: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2.4</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Wytrzymało</w:t>
            </w:r>
            <w:r w:rsidRPr="006C5E54">
              <w:rPr>
                <w:rFonts w:asciiTheme="minorHAnsi" w:eastAsia="TimesNewRoman" w:hAnsiTheme="minorHAnsi"/>
              </w:rPr>
              <w:t xml:space="preserve">ść </w:t>
            </w:r>
            <w:r w:rsidRPr="006C5E54">
              <w:rPr>
                <w:rFonts w:asciiTheme="minorHAnsi" w:hAnsiTheme="minorHAnsi"/>
              </w:rPr>
              <w:t xml:space="preserve">na </w:t>
            </w:r>
            <w:r w:rsidRPr="006C5E54">
              <w:rPr>
                <w:rFonts w:asciiTheme="minorHAnsi" w:eastAsia="TimesNewRoman" w:hAnsiTheme="minorHAnsi"/>
              </w:rPr>
              <w:t>ś</w:t>
            </w:r>
            <w:r w:rsidRPr="006C5E54">
              <w:rPr>
                <w:rFonts w:asciiTheme="minorHAnsi" w:hAnsiTheme="minorHAnsi"/>
              </w:rPr>
              <w:t>ciskanie (system</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I) – klasa wytrzymało</w:t>
            </w:r>
            <w:r w:rsidRPr="006C5E54">
              <w:rPr>
                <w:rFonts w:asciiTheme="minorHAnsi" w:eastAsia="TimesNewRoman" w:hAnsiTheme="minorHAnsi"/>
              </w:rPr>
              <w:t>ś</w:t>
            </w:r>
            <w:r w:rsidRPr="006C5E54">
              <w:rPr>
                <w:rFonts w:asciiTheme="minorHAnsi" w:hAnsiTheme="minorHAnsi"/>
              </w:rPr>
              <w:t>ci Rc wg tab.</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1.2 wg WT-5</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Klasa C1,5/2,0</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Klasa C3,0/4,0</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klasa C5,0/6,0</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Badanie wg PN-EN</w:t>
            </w:r>
          </w:p>
          <w:p w:rsidR="006C5E54" w:rsidRPr="006C5E54" w:rsidRDefault="006C5E54" w:rsidP="00AF470B">
            <w:pPr>
              <w:overflowPunct/>
              <w:jc w:val="left"/>
              <w:textAlignment w:val="auto"/>
              <w:rPr>
                <w:rFonts w:asciiTheme="minorHAnsi" w:hAnsiTheme="minorHAnsi"/>
                <w:b/>
                <w:bCs/>
              </w:rPr>
            </w:pPr>
            <w:r w:rsidRPr="006C5E54">
              <w:rPr>
                <w:rFonts w:asciiTheme="minorHAnsi" w:hAnsiTheme="minorHAnsi"/>
              </w:rPr>
              <w:t xml:space="preserve">13286-41 </w:t>
            </w:r>
            <w:r w:rsidRPr="006C5E54">
              <w:rPr>
                <w:rFonts w:asciiTheme="minorHAnsi" w:hAnsiTheme="minorHAnsi"/>
                <w:b/>
                <w:bCs/>
              </w:rPr>
              <w:t>po 28 dniach</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b/>
                <w:bCs/>
              </w:rPr>
              <w:t>piel</w:t>
            </w:r>
            <w:r w:rsidRPr="006C5E54">
              <w:rPr>
                <w:rFonts w:asciiTheme="minorHAnsi" w:eastAsia="TimesNewRoman,Bold" w:hAnsiTheme="minorHAnsi"/>
                <w:b/>
                <w:bCs/>
              </w:rPr>
              <w:t>ę</w:t>
            </w:r>
            <w:r w:rsidRPr="006C5E54">
              <w:rPr>
                <w:rFonts w:asciiTheme="minorHAnsi" w:hAnsiTheme="minorHAnsi"/>
                <w:b/>
                <w:bCs/>
              </w:rPr>
              <w:t>gnacji</w:t>
            </w:r>
          </w:p>
        </w:tc>
      </w:tr>
      <w:tr w:rsidR="006C5E54" w:rsidRPr="006C5E54" w:rsidTr="00AF470B">
        <w:tc>
          <w:tcPr>
            <w:tcW w:w="817"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2.5</w:t>
            </w:r>
          </w:p>
        </w:tc>
        <w:tc>
          <w:tcPr>
            <w:tcW w:w="4072"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Mrozoodporno</w:t>
            </w:r>
            <w:r w:rsidRPr="006C5E54">
              <w:rPr>
                <w:rFonts w:asciiTheme="minorHAnsi" w:eastAsia="TimesNewRoman" w:hAnsiTheme="minorHAnsi"/>
              </w:rPr>
              <w:t>ść</w:t>
            </w:r>
          </w:p>
        </w:tc>
        <w:tc>
          <w:tcPr>
            <w:tcW w:w="2445" w:type="dxa"/>
            <w:shd w:val="clear" w:color="auto" w:fill="auto"/>
          </w:tcPr>
          <w:p w:rsidR="006C5E54" w:rsidRPr="006C5E54" w:rsidRDefault="006C5E54" w:rsidP="00AF470B">
            <w:pPr>
              <w:overflowPunct/>
              <w:jc w:val="left"/>
              <w:textAlignment w:val="auto"/>
              <w:rPr>
                <w:rFonts w:asciiTheme="minorHAnsi" w:eastAsia="TimesNewRoman" w:hAnsiTheme="minorHAnsi"/>
              </w:rPr>
            </w:pPr>
            <w:r w:rsidRPr="006C5E54">
              <w:rPr>
                <w:rFonts w:asciiTheme="minorHAnsi" w:eastAsia="TimesNewRoman" w:hAnsiTheme="minorHAnsi"/>
              </w:rPr>
              <w:t>≥ 0,6 podbudowa</w:t>
            </w:r>
          </w:p>
          <w:p w:rsidR="006C5E54" w:rsidRPr="006C5E54" w:rsidRDefault="006C5E54" w:rsidP="00AF470B">
            <w:pPr>
              <w:overflowPunct/>
              <w:jc w:val="left"/>
              <w:textAlignment w:val="auto"/>
              <w:rPr>
                <w:rFonts w:asciiTheme="minorHAnsi" w:hAnsiTheme="minorHAnsi"/>
              </w:rPr>
            </w:pPr>
            <w:r w:rsidRPr="006C5E54">
              <w:rPr>
                <w:rFonts w:asciiTheme="minorHAnsi" w:eastAsia="TimesNewRoman" w:hAnsiTheme="minorHAnsi"/>
              </w:rPr>
              <w:t>pomocnicza</w:t>
            </w:r>
          </w:p>
        </w:tc>
        <w:tc>
          <w:tcPr>
            <w:tcW w:w="2445" w:type="dxa"/>
            <w:shd w:val="clear" w:color="auto" w:fill="auto"/>
          </w:tcPr>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Badania wg p. 1.2.8</w:t>
            </w:r>
          </w:p>
          <w:p w:rsidR="006C5E54" w:rsidRPr="006C5E54" w:rsidRDefault="006C5E54" w:rsidP="00AF470B">
            <w:pPr>
              <w:overflowPunct/>
              <w:jc w:val="left"/>
              <w:textAlignment w:val="auto"/>
              <w:rPr>
                <w:rFonts w:asciiTheme="minorHAnsi" w:hAnsiTheme="minorHAnsi"/>
              </w:rPr>
            </w:pPr>
            <w:r w:rsidRPr="006C5E54">
              <w:rPr>
                <w:rFonts w:asciiTheme="minorHAnsi" w:hAnsiTheme="minorHAnsi"/>
              </w:rPr>
              <w:t>WT-5</w:t>
            </w:r>
          </w:p>
        </w:tc>
      </w:tr>
    </w:tbl>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Krzywa uziarnienia mieszanki na warstw</w:t>
      </w:r>
      <w:r w:rsidRPr="006C5E54">
        <w:rPr>
          <w:rFonts w:asciiTheme="minorHAnsi" w:eastAsia="TimesNewRoman" w:hAnsiTheme="minorHAnsi" w:cs="TimesNewRoman"/>
        </w:rPr>
        <w:t xml:space="preserve">ę </w:t>
      </w:r>
      <w:r w:rsidRPr="006C5E54">
        <w:rPr>
          <w:rFonts w:asciiTheme="minorHAnsi" w:hAnsiTheme="minorHAnsi"/>
        </w:rPr>
        <w:t>ulepszonego podło</w:t>
      </w:r>
      <w:r w:rsidRPr="006C5E54">
        <w:rPr>
          <w:rFonts w:asciiTheme="minorHAnsi" w:eastAsia="TimesNewRoman" w:hAnsiTheme="minorHAnsi" w:cs="TimesNewRoman"/>
        </w:rPr>
        <w:t>ż</w:t>
      </w:r>
      <w:r w:rsidRPr="006C5E54">
        <w:rPr>
          <w:rFonts w:asciiTheme="minorHAnsi" w:hAnsiTheme="minorHAnsi"/>
        </w:rPr>
        <w:t>a, podbudowy pomocniczej</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i podbudowy zasadniczej powinna zawiera</w:t>
      </w:r>
      <w:r w:rsidRPr="006C5E54">
        <w:rPr>
          <w:rFonts w:asciiTheme="minorHAnsi" w:eastAsia="TimesNewRoman" w:hAnsiTheme="minorHAnsi" w:cs="TimesNewRoman"/>
        </w:rPr>
        <w:t xml:space="preserve">ć </w:t>
      </w:r>
      <w:r w:rsidRPr="006C5E54">
        <w:rPr>
          <w:rFonts w:asciiTheme="minorHAnsi" w:hAnsiTheme="minorHAnsi"/>
        </w:rPr>
        <w:t>si</w:t>
      </w:r>
      <w:r w:rsidRPr="006C5E54">
        <w:rPr>
          <w:rFonts w:asciiTheme="minorHAnsi" w:eastAsia="TimesNewRoman" w:hAnsiTheme="minorHAnsi" w:cs="TimesNewRoman"/>
        </w:rPr>
        <w:t xml:space="preserve">ę </w:t>
      </w:r>
      <w:r w:rsidRPr="006C5E54">
        <w:rPr>
          <w:rFonts w:asciiTheme="minorHAnsi" w:hAnsiTheme="minorHAnsi"/>
        </w:rPr>
        <w:t>w obszarze mi</w:t>
      </w:r>
      <w:r w:rsidRPr="006C5E54">
        <w:rPr>
          <w:rFonts w:asciiTheme="minorHAnsi" w:eastAsia="TimesNewRoman" w:hAnsiTheme="minorHAnsi" w:cs="TimesNewRoman"/>
        </w:rPr>
        <w:t>ę</w:t>
      </w:r>
      <w:r w:rsidRPr="006C5E54">
        <w:rPr>
          <w:rFonts w:asciiTheme="minorHAnsi" w:hAnsiTheme="minorHAnsi"/>
        </w:rPr>
        <w:t>dzy krzywymi granicznymi na</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rys. 1.1 dla 0/31,5 z WT-5 2010</w:t>
      </w: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r w:rsidRPr="006C5E54">
        <w:rPr>
          <w:rFonts w:asciiTheme="minorHAnsi" w:hAnsiTheme="minorHAnsi"/>
          <w:noProof/>
        </w:rPr>
        <w:lastRenderedPageBreak/>
        <w:drawing>
          <wp:inline distT="0" distB="0" distL="0" distR="0">
            <wp:extent cx="5248275" cy="3619500"/>
            <wp:effectExtent l="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48275" cy="3619500"/>
                    </a:xfrm>
                    <a:prstGeom prst="rect">
                      <a:avLst/>
                    </a:prstGeom>
                    <a:noFill/>
                    <a:ln>
                      <a:noFill/>
                    </a:ln>
                  </pic:spPr>
                </pic:pic>
              </a:graphicData>
            </a:graphic>
          </wp:inline>
        </w:drawing>
      </w: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Rys. 1. Krzywe graniczne uziarnienia mieszanki mineralnej 0/31,5 mm</w:t>
      </w:r>
    </w:p>
    <w:p w:rsidR="006C5E54" w:rsidRPr="006C5E54" w:rsidRDefault="006C5E54" w:rsidP="006C5E54">
      <w:pPr>
        <w:overflowPunct/>
        <w:jc w:val="left"/>
        <w:textAlignment w:val="auto"/>
        <w:rPr>
          <w:rFonts w:asciiTheme="minorHAnsi" w:hAnsiTheme="minorHAnsi"/>
        </w:rPr>
      </w:pPr>
    </w:p>
    <w:p w:rsidR="006C5E54" w:rsidRPr="006C5E54" w:rsidRDefault="006C5E54" w:rsidP="006C5E54">
      <w:pPr>
        <w:overflowPunct/>
        <w:jc w:val="left"/>
        <w:textAlignment w:val="auto"/>
        <w:rPr>
          <w:rFonts w:asciiTheme="minorHAnsi" w:hAnsiTheme="minorHAnsi"/>
        </w:rPr>
      </w:pPr>
      <w:r w:rsidRPr="006C5E54">
        <w:rPr>
          <w:rFonts w:asciiTheme="minorHAnsi" w:hAnsiTheme="minorHAnsi"/>
          <w:noProof/>
        </w:rPr>
        <w:drawing>
          <wp:inline distT="0" distB="0" distL="0" distR="0">
            <wp:extent cx="5248275" cy="3819525"/>
            <wp:effectExtent l="0" t="0" r="9525"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48275" cy="3819525"/>
                    </a:xfrm>
                    <a:prstGeom prst="rect">
                      <a:avLst/>
                    </a:prstGeom>
                    <a:noFill/>
                    <a:ln>
                      <a:noFill/>
                    </a:ln>
                  </pic:spPr>
                </pic:pic>
              </a:graphicData>
            </a:graphic>
          </wp:inline>
        </w:drawing>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Rys. 2. Krzywe graniczne uziarnienia mieszanki mineralnej 0/22,4 mm</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noProof/>
        </w:rPr>
        <w:lastRenderedPageBreak/>
        <w:drawing>
          <wp:inline distT="0" distB="0" distL="0" distR="0">
            <wp:extent cx="5248275" cy="4000500"/>
            <wp:effectExtent l="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48275" cy="4000500"/>
                    </a:xfrm>
                    <a:prstGeom prst="rect">
                      <a:avLst/>
                    </a:prstGeom>
                    <a:noFill/>
                    <a:ln>
                      <a:noFill/>
                    </a:ln>
                  </pic:spPr>
                </pic:pic>
              </a:graphicData>
            </a:graphic>
          </wp:inline>
        </w:drawing>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Rys. 3. Krzywe graniczne uziarnienia mieszanki mineralnej 0/16 mm</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noProof/>
        </w:rPr>
        <w:drawing>
          <wp:inline distT="0" distB="0" distL="0" distR="0">
            <wp:extent cx="5248275" cy="3886200"/>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48275" cy="3886200"/>
                    </a:xfrm>
                    <a:prstGeom prst="rect">
                      <a:avLst/>
                    </a:prstGeom>
                    <a:noFill/>
                    <a:ln>
                      <a:noFill/>
                    </a:ln>
                  </pic:spPr>
                </pic:pic>
              </a:graphicData>
            </a:graphic>
          </wp:inline>
        </w:drawing>
      </w:r>
      <w:r w:rsidRPr="006C5E54">
        <w:rPr>
          <w:rFonts w:asciiTheme="minorHAnsi" w:hAnsiTheme="minorHAnsi"/>
        </w:rPr>
        <w:t xml:space="preserve"> </w:t>
      </w:r>
      <w:r>
        <w:rPr>
          <w:rFonts w:asciiTheme="minorHAnsi" w:hAnsiTheme="minorHAnsi"/>
        </w:rPr>
        <w:t xml:space="preserve">             Rys 4  </w:t>
      </w:r>
      <w:r w:rsidRPr="006C5E54">
        <w:rPr>
          <w:rFonts w:asciiTheme="minorHAnsi" w:hAnsiTheme="minorHAnsi"/>
        </w:rPr>
        <w:t>Krzywe graniczne uziarnienia mieszanki mineralnej 0/11,2 mm</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Za zgod</w:t>
      </w:r>
      <w:r w:rsidRPr="006C5E54">
        <w:rPr>
          <w:rFonts w:asciiTheme="minorHAnsi" w:eastAsia="TimesNewRoman" w:hAnsiTheme="minorHAnsi" w:cs="TimesNewRoman"/>
        </w:rPr>
        <w:t xml:space="preserve">ą </w:t>
      </w:r>
      <w:r w:rsidRPr="006C5E54">
        <w:rPr>
          <w:rFonts w:asciiTheme="minorHAnsi" w:hAnsiTheme="minorHAnsi"/>
        </w:rPr>
        <w:t>In</w:t>
      </w:r>
      <w:r w:rsidRPr="006C5E54">
        <w:rPr>
          <w:rFonts w:asciiTheme="minorHAnsi" w:eastAsia="TimesNewRoman" w:hAnsiTheme="minorHAnsi" w:cs="TimesNewRoman"/>
        </w:rPr>
        <w:t>ż</w:t>
      </w:r>
      <w:r w:rsidRPr="006C5E54">
        <w:rPr>
          <w:rFonts w:asciiTheme="minorHAnsi" w:hAnsiTheme="minorHAnsi"/>
        </w:rPr>
        <w:t>yniera mo</w:t>
      </w:r>
      <w:r w:rsidRPr="006C5E54">
        <w:rPr>
          <w:rFonts w:asciiTheme="minorHAnsi" w:eastAsia="TimesNewRoman" w:hAnsiTheme="minorHAnsi" w:cs="TimesNewRoman"/>
        </w:rPr>
        <w:t>ż</w:t>
      </w:r>
      <w:r w:rsidRPr="006C5E54">
        <w:rPr>
          <w:rFonts w:asciiTheme="minorHAnsi" w:hAnsiTheme="minorHAnsi"/>
        </w:rPr>
        <w:t>na zastosowa</w:t>
      </w:r>
      <w:r w:rsidRPr="006C5E54">
        <w:rPr>
          <w:rFonts w:asciiTheme="minorHAnsi" w:eastAsia="TimesNewRoman" w:hAnsiTheme="minorHAnsi" w:cs="TimesNewRoman"/>
        </w:rPr>
        <w:t xml:space="preserve">ć </w:t>
      </w:r>
      <w:r w:rsidRPr="006C5E54">
        <w:rPr>
          <w:rFonts w:asciiTheme="minorHAnsi" w:hAnsiTheme="minorHAnsi"/>
        </w:rPr>
        <w:t>krzywe uziarnienia z rysunków 1.2,1.3 i 1.4 WT-5 2010.</w:t>
      </w:r>
    </w:p>
    <w:p w:rsidR="006C5E54" w:rsidRDefault="006C5E54" w:rsidP="006C5E54">
      <w:pPr>
        <w:overflowPunct/>
        <w:jc w:val="left"/>
        <w:textAlignment w:val="auto"/>
        <w:rPr>
          <w:rFonts w:asciiTheme="minorHAnsi" w:hAnsiTheme="minorHAnsi"/>
          <w:b/>
          <w:bCs/>
        </w:rPr>
      </w:pPr>
    </w:p>
    <w:p w:rsidR="006C5E54" w:rsidRPr="006C5E54" w:rsidRDefault="006C5E54" w:rsidP="006C5E54">
      <w:pPr>
        <w:overflowPunct/>
        <w:jc w:val="left"/>
        <w:textAlignment w:val="auto"/>
        <w:rPr>
          <w:rFonts w:asciiTheme="minorHAnsi" w:hAnsiTheme="minorHAnsi"/>
          <w:b/>
          <w:bCs/>
        </w:rPr>
      </w:pPr>
      <w:r>
        <w:rPr>
          <w:rFonts w:asciiTheme="minorHAnsi" w:hAnsiTheme="minorHAnsi"/>
          <w:b/>
          <w:bCs/>
        </w:rPr>
        <w:t>5.3</w:t>
      </w:r>
      <w:r w:rsidRPr="006C5E54">
        <w:rPr>
          <w:rFonts w:asciiTheme="minorHAnsi" w:hAnsiTheme="minorHAnsi"/>
          <w:b/>
          <w:bCs/>
        </w:rPr>
        <w:t>.2. Warunki prowadzenia produkcji mieszanki</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Mieszanka zwi</w:t>
      </w:r>
      <w:r w:rsidRPr="006C5E54">
        <w:rPr>
          <w:rFonts w:asciiTheme="minorHAnsi" w:eastAsia="TimesNewRoman" w:hAnsiTheme="minorHAnsi"/>
        </w:rPr>
        <w:t>ą</w:t>
      </w:r>
      <w:r w:rsidRPr="006C5E54">
        <w:rPr>
          <w:rFonts w:asciiTheme="minorHAnsi" w:hAnsiTheme="minorHAnsi"/>
        </w:rPr>
        <w:t>zana cementem mo</w:t>
      </w:r>
      <w:r w:rsidRPr="006C5E54">
        <w:rPr>
          <w:rFonts w:asciiTheme="minorHAnsi" w:eastAsia="TimesNewRoman" w:hAnsiTheme="minorHAnsi"/>
        </w:rPr>
        <w:t>ż</w:t>
      </w:r>
      <w:r w:rsidRPr="006C5E54">
        <w:rPr>
          <w:rFonts w:asciiTheme="minorHAnsi" w:hAnsiTheme="minorHAnsi"/>
        </w:rPr>
        <w:t>e by</w:t>
      </w:r>
      <w:r w:rsidRPr="006C5E54">
        <w:rPr>
          <w:rFonts w:asciiTheme="minorHAnsi" w:eastAsia="TimesNewRoman" w:hAnsiTheme="minorHAnsi"/>
        </w:rPr>
        <w:t xml:space="preserve">ć </w:t>
      </w:r>
      <w:r w:rsidRPr="006C5E54">
        <w:rPr>
          <w:rFonts w:asciiTheme="minorHAnsi" w:hAnsiTheme="minorHAnsi"/>
        </w:rPr>
        <w:t>produkowana przy temperaturze otoczenia</w:t>
      </w:r>
      <w:r w:rsidR="00F435E3">
        <w:rPr>
          <w:rFonts w:asciiTheme="minorHAnsi" w:hAnsiTheme="minorHAnsi"/>
        </w:rPr>
        <w:t xml:space="preserve"> </w:t>
      </w:r>
      <w:r w:rsidRPr="006C5E54">
        <w:rPr>
          <w:rFonts w:asciiTheme="minorHAnsi" w:hAnsiTheme="minorHAnsi"/>
        </w:rPr>
        <w:t>powy</w:t>
      </w:r>
      <w:r w:rsidRPr="006C5E54">
        <w:rPr>
          <w:rFonts w:asciiTheme="minorHAnsi" w:eastAsia="TimesNewRoman" w:hAnsiTheme="minorHAnsi"/>
        </w:rPr>
        <w:t>ż</w:t>
      </w:r>
      <w:r w:rsidRPr="006C5E54">
        <w:rPr>
          <w:rFonts w:asciiTheme="minorHAnsi" w:hAnsiTheme="minorHAnsi"/>
        </w:rPr>
        <w:t>ej 5°C. Ewentualne rozszerzenie tego okresu mo</w:t>
      </w:r>
      <w:r w:rsidRPr="006C5E54">
        <w:rPr>
          <w:rFonts w:asciiTheme="minorHAnsi" w:eastAsia="TimesNewRoman" w:hAnsiTheme="minorHAnsi"/>
        </w:rPr>
        <w:t>ż</w:t>
      </w:r>
      <w:r w:rsidRPr="006C5E54">
        <w:rPr>
          <w:rFonts w:asciiTheme="minorHAnsi" w:hAnsiTheme="minorHAnsi"/>
        </w:rPr>
        <w:t>e nast</w:t>
      </w:r>
      <w:r w:rsidRPr="006C5E54">
        <w:rPr>
          <w:rFonts w:asciiTheme="minorHAnsi" w:eastAsia="TimesNewRoman" w:hAnsiTheme="minorHAnsi"/>
        </w:rPr>
        <w:t>ą</w:t>
      </w:r>
      <w:r w:rsidRPr="006C5E54">
        <w:rPr>
          <w:rFonts w:asciiTheme="minorHAnsi" w:hAnsiTheme="minorHAnsi"/>
        </w:rPr>
        <w:t>pi</w:t>
      </w:r>
      <w:r w:rsidRPr="006C5E54">
        <w:rPr>
          <w:rFonts w:asciiTheme="minorHAnsi" w:eastAsia="TimesNewRoman" w:hAnsiTheme="minorHAnsi"/>
        </w:rPr>
        <w:t xml:space="preserve">ć </w:t>
      </w:r>
      <w:r w:rsidRPr="006C5E54">
        <w:rPr>
          <w:rFonts w:asciiTheme="minorHAnsi" w:hAnsiTheme="minorHAnsi"/>
        </w:rPr>
        <w:t>po wyra</w:t>
      </w:r>
      <w:r w:rsidRPr="006C5E54">
        <w:rPr>
          <w:rFonts w:asciiTheme="minorHAnsi" w:eastAsia="TimesNewRoman" w:hAnsiTheme="minorHAnsi"/>
        </w:rPr>
        <w:t>ż</w:t>
      </w:r>
      <w:r w:rsidRPr="006C5E54">
        <w:rPr>
          <w:rFonts w:asciiTheme="minorHAnsi" w:hAnsiTheme="minorHAnsi"/>
        </w:rPr>
        <w:t>eniu zgody przezIn</w:t>
      </w:r>
      <w:r w:rsidRPr="006C5E54">
        <w:rPr>
          <w:rFonts w:asciiTheme="minorHAnsi" w:eastAsia="TimesNewRoman" w:hAnsiTheme="minorHAnsi"/>
        </w:rPr>
        <w:t>ż</w:t>
      </w:r>
      <w:r w:rsidRPr="006C5E54">
        <w:rPr>
          <w:rFonts w:asciiTheme="minorHAnsi" w:hAnsiTheme="minorHAnsi"/>
        </w:rPr>
        <w:t>yniera, w przypadku stwierdzenia dobrych warunków pogodowych tj temperatury powy</w:t>
      </w:r>
      <w:r w:rsidRPr="006C5E54">
        <w:rPr>
          <w:rFonts w:asciiTheme="minorHAnsi" w:eastAsia="TimesNewRoman" w:hAnsiTheme="minorHAnsi"/>
        </w:rPr>
        <w:t>ż</w:t>
      </w:r>
      <w:r w:rsidRPr="006C5E54">
        <w:rPr>
          <w:rFonts w:asciiTheme="minorHAnsi" w:hAnsiTheme="minorHAnsi"/>
        </w:rPr>
        <w:t>ej 5°C, nie wyst</w:t>
      </w:r>
      <w:r w:rsidRPr="006C5E54">
        <w:rPr>
          <w:rFonts w:asciiTheme="minorHAnsi" w:eastAsia="TimesNewRoman" w:hAnsiTheme="minorHAnsi"/>
        </w:rPr>
        <w:t>ę</w:t>
      </w:r>
      <w:r w:rsidRPr="006C5E54">
        <w:rPr>
          <w:rFonts w:asciiTheme="minorHAnsi" w:hAnsiTheme="minorHAnsi"/>
        </w:rPr>
        <w:t>powania przymrozków oraz opadów deszczu. Produkcja mo</w:t>
      </w:r>
      <w:r w:rsidRPr="006C5E54">
        <w:rPr>
          <w:rFonts w:asciiTheme="minorHAnsi" w:eastAsia="TimesNewRoman" w:hAnsiTheme="minorHAnsi"/>
        </w:rPr>
        <w:t>ż</w:t>
      </w:r>
      <w:r w:rsidRPr="006C5E54">
        <w:rPr>
          <w:rFonts w:asciiTheme="minorHAnsi" w:hAnsiTheme="minorHAnsi"/>
        </w:rPr>
        <w:t>e odbywa</w:t>
      </w:r>
      <w:r w:rsidRPr="006C5E54">
        <w:rPr>
          <w:rFonts w:asciiTheme="minorHAnsi" w:eastAsia="TimesNewRoman" w:hAnsiTheme="minorHAnsi"/>
        </w:rPr>
        <w:t xml:space="preserve">ć </w:t>
      </w:r>
      <w:r w:rsidRPr="006C5E54">
        <w:rPr>
          <w:rFonts w:asciiTheme="minorHAnsi" w:hAnsiTheme="minorHAnsi"/>
        </w:rPr>
        <w:t>si</w:t>
      </w:r>
      <w:r w:rsidRPr="006C5E54">
        <w:rPr>
          <w:rFonts w:asciiTheme="minorHAnsi" w:eastAsia="TimesNewRoman" w:hAnsiTheme="minorHAnsi"/>
        </w:rPr>
        <w:t xml:space="preserve">ę </w:t>
      </w:r>
      <w:r w:rsidRPr="006C5E54">
        <w:rPr>
          <w:rFonts w:asciiTheme="minorHAnsi" w:hAnsiTheme="minorHAnsi"/>
        </w:rPr>
        <w:t>jedynie na podstawie receptury laboratoryjnej zatwierdzonej przez In</w:t>
      </w:r>
      <w:r w:rsidRPr="006C5E54">
        <w:rPr>
          <w:rFonts w:asciiTheme="minorHAnsi" w:eastAsia="TimesNewRoman" w:hAnsiTheme="minorHAnsi"/>
        </w:rPr>
        <w:t>ż</w:t>
      </w:r>
      <w:r w:rsidRPr="006C5E54">
        <w:rPr>
          <w:rFonts w:asciiTheme="minorHAnsi" w:hAnsiTheme="minorHAnsi"/>
        </w:rPr>
        <w:t>yniera. Wykonawca</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musi posiada</w:t>
      </w:r>
      <w:r w:rsidRPr="006C5E54">
        <w:rPr>
          <w:rFonts w:asciiTheme="minorHAnsi" w:eastAsia="TimesNewRoman" w:hAnsiTheme="minorHAnsi"/>
        </w:rPr>
        <w:t xml:space="preserve">ć </w:t>
      </w:r>
      <w:r w:rsidRPr="006C5E54">
        <w:rPr>
          <w:rFonts w:asciiTheme="minorHAnsi" w:hAnsiTheme="minorHAnsi"/>
        </w:rPr>
        <w:t>na budowie własne laboratorium lub te</w:t>
      </w:r>
      <w:r w:rsidRPr="006C5E54">
        <w:rPr>
          <w:rFonts w:asciiTheme="minorHAnsi" w:eastAsia="TimesNewRoman" w:hAnsiTheme="minorHAnsi"/>
        </w:rPr>
        <w:t xml:space="preserve">ż </w:t>
      </w:r>
      <w:r w:rsidRPr="006C5E54">
        <w:rPr>
          <w:rFonts w:asciiTheme="minorHAnsi" w:hAnsiTheme="minorHAnsi"/>
        </w:rPr>
        <w:t>za zgod</w:t>
      </w:r>
      <w:r w:rsidRPr="006C5E54">
        <w:rPr>
          <w:rFonts w:asciiTheme="minorHAnsi" w:eastAsia="TimesNewRoman" w:hAnsiTheme="minorHAnsi"/>
        </w:rPr>
        <w:t xml:space="preserve">ą </w:t>
      </w:r>
      <w:r w:rsidRPr="006C5E54">
        <w:rPr>
          <w:rFonts w:asciiTheme="minorHAnsi" w:hAnsiTheme="minorHAnsi"/>
        </w:rPr>
        <w:t>In</w:t>
      </w:r>
      <w:r w:rsidRPr="006C5E54">
        <w:rPr>
          <w:rFonts w:asciiTheme="minorHAnsi" w:eastAsia="TimesNewRoman" w:hAnsiTheme="minorHAnsi"/>
        </w:rPr>
        <w:t>ż</w:t>
      </w:r>
      <w:r w:rsidRPr="006C5E54">
        <w:rPr>
          <w:rFonts w:asciiTheme="minorHAnsi" w:hAnsiTheme="minorHAnsi"/>
        </w:rPr>
        <w:t>yniera zleci</w:t>
      </w:r>
      <w:r w:rsidRPr="006C5E54">
        <w:rPr>
          <w:rFonts w:asciiTheme="minorHAnsi" w:eastAsia="TimesNewRoman" w:hAnsiTheme="minorHAnsi"/>
        </w:rPr>
        <w:t xml:space="preserve">ć </w:t>
      </w:r>
      <w:r w:rsidRPr="006C5E54">
        <w:rPr>
          <w:rFonts w:asciiTheme="minorHAnsi" w:hAnsiTheme="minorHAnsi"/>
        </w:rPr>
        <w:t>nadzór niezale</w:t>
      </w:r>
      <w:r w:rsidRPr="006C5E54">
        <w:rPr>
          <w:rFonts w:asciiTheme="minorHAnsi" w:eastAsia="TimesNewRoman" w:hAnsiTheme="minorHAnsi"/>
        </w:rPr>
        <w:t>ż</w:t>
      </w:r>
      <w:r w:rsidRPr="006C5E54">
        <w:rPr>
          <w:rFonts w:asciiTheme="minorHAnsi" w:hAnsiTheme="minorHAnsi"/>
        </w:rPr>
        <w:t>nemu laboratorium.</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In</w:t>
      </w:r>
      <w:r w:rsidRPr="006C5E54">
        <w:rPr>
          <w:rFonts w:asciiTheme="minorHAnsi" w:eastAsia="TimesNewRoman" w:hAnsiTheme="minorHAnsi"/>
        </w:rPr>
        <w:t>ż</w:t>
      </w:r>
      <w:r w:rsidRPr="006C5E54">
        <w:rPr>
          <w:rFonts w:asciiTheme="minorHAnsi" w:hAnsiTheme="minorHAnsi"/>
        </w:rPr>
        <w:t>ynier b</w:t>
      </w:r>
      <w:r w:rsidRPr="006C5E54">
        <w:rPr>
          <w:rFonts w:asciiTheme="minorHAnsi" w:eastAsia="TimesNewRoman" w:hAnsiTheme="minorHAnsi"/>
        </w:rPr>
        <w:t>ę</w:t>
      </w:r>
      <w:r w:rsidRPr="006C5E54">
        <w:rPr>
          <w:rFonts w:asciiTheme="minorHAnsi" w:hAnsiTheme="minorHAnsi"/>
        </w:rPr>
        <w:t>dzie dysponował własnym laboratorium lub te</w:t>
      </w:r>
      <w:r w:rsidRPr="006C5E54">
        <w:rPr>
          <w:rFonts w:asciiTheme="minorHAnsi" w:eastAsia="TimesNewRoman" w:hAnsiTheme="minorHAnsi"/>
        </w:rPr>
        <w:t xml:space="preserve">ż </w:t>
      </w:r>
      <w:r w:rsidRPr="006C5E54">
        <w:rPr>
          <w:rFonts w:asciiTheme="minorHAnsi" w:hAnsiTheme="minorHAnsi"/>
        </w:rPr>
        <w:t>b</w:t>
      </w:r>
      <w:r w:rsidRPr="006C5E54">
        <w:rPr>
          <w:rFonts w:asciiTheme="minorHAnsi" w:eastAsia="TimesNewRoman" w:hAnsiTheme="minorHAnsi"/>
        </w:rPr>
        <w:t>ę</w:t>
      </w:r>
      <w:r w:rsidRPr="006C5E54">
        <w:rPr>
          <w:rFonts w:asciiTheme="minorHAnsi" w:hAnsiTheme="minorHAnsi"/>
        </w:rPr>
        <w:t>dzie korzystał z laboratorium Wykonawcy, uczestnicz</w:t>
      </w:r>
      <w:r w:rsidRPr="006C5E54">
        <w:rPr>
          <w:rFonts w:asciiTheme="minorHAnsi" w:eastAsia="TimesNewRoman" w:hAnsiTheme="minorHAnsi"/>
        </w:rPr>
        <w:t>ą</w:t>
      </w:r>
      <w:r w:rsidRPr="006C5E54">
        <w:rPr>
          <w:rFonts w:asciiTheme="minorHAnsi" w:hAnsiTheme="minorHAnsi"/>
        </w:rPr>
        <w:t>c w badaniach.</w:t>
      </w:r>
    </w:p>
    <w:p w:rsidR="006C5E54" w:rsidRPr="006C5E54" w:rsidRDefault="006C5E54" w:rsidP="006C5E54">
      <w:pPr>
        <w:overflowPunct/>
        <w:jc w:val="left"/>
        <w:textAlignment w:val="auto"/>
        <w:rPr>
          <w:rFonts w:asciiTheme="minorHAnsi" w:hAnsiTheme="minorHAnsi"/>
          <w:b/>
          <w:bCs/>
        </w:rPr>
      </w:pPr>
      <w:r>
        <w:rPr>
          <w:rFonts w:asciiTheme="minorHAnsi" w:hAnsiTheme="minorHAnsi"/>
          <w:b/>
          <w:bCs/>
        </w:rPr>
        <w:t>5.3</w:t>
      </w:r>
      <w:r w:rsidRPr="006C5E54">
        <w:rPr>
          <w:rFonts w:asciiTheme="minorHAnsi" w:hAnsiTheme="minorHAnsi"/>
          <w:b/>
          <w:bCs/>
        </w:rPr>
        <w:t>.3. Produkcja mieszanki</w:t>
      </w:r>
    </w:p>
    <w:p w:rsidR="006C5E54" w:rsidRPr="006C5E54" w:rsidRDefault="006C5E54" w:rsidP="006C5E54">
      <w:pPr>
        <w:overflowPunct/>
        <w:jc w:val="left"/>
        <w:textAlignment w:val="auto"/>
        <w:rPr>
          <w:rFonts w:asciiTheme="minorHAnsi" w:eastAsia="TimesNewRoman" w:hAnsiTheme="minorHAnsi"/>
        </w:rPr>
      </w:pPr>
      <w:r w:rsidRPr="006C5E54">
        <w:rPr>
          <w:rFonts w:asciiTheme="minorHAnsi" w:hAnsiTheme="minorHAnsi"/>
        </w:rPr>
        <w:t>Produkcja mo</w:t>
      </w:r>
      <w:r w:rsidRPr="006C5E54">
        <w:rPr>
          <w:rFonts w:asciiTheme="minorHAnsi" w:eastAsia="TimesNewRoman" w:hAnsiTheme="minorHAnsi"/>
        </w:rPr>
        <w:t>ż</w:t>
      </w:r>
      <w:r w:rsidRPr="006C5E54">
        <w:rPr>
          <w:rFonts w:asciiTheme="minorHAnsi" w:hAnsiTheme="minorHAnsi"/>
        </w:rPr>
        <w:t>e zosta</w:t>
      </w:r>
      <w:r w:rsidRPr="006C5E54">
        <w:rPr>
          <w:rFonts w:asciiTheme="minorHAnsi" w:eastAsia="TimesNewRoman" w:hAnsiTheme="minorHAnsi"/>
        </w:rPr>
        <w:t xml:space="preserve">ć </w:t>
      </w:r>
      <w:r w:rsidRPr="006C5E54">
        <w:rPr>
          <w:rFonts w:asciiTheme="minorHAnsi" w:hAnsiTheme="minorHAnsi"/>
        </w:rPr>
        <w:t>rozpocz</w:t>
      </w:r>
      <w:r w:rsidRPr="006C5E54">
        <w:rPr>
          <w:rFonts w:asciiTheme="minorHAnsi" w:eastAsia="TimesNewRoman" w:hAnsiTheme="minorHAnsi"/>
        </w:rPr>
        <w:t>ę</w:t>
      </w:r>
      <w:r w:rsidRPr="006C5E54">
        <w:rPr>
          <w:rFonts w:asciiTheme="minorHAnsi" w:hAnsiTheme="minorHAnsi"/>
        </w:rPr>
        <w:t>ta na wniosek Wykonawcy, po wyra</w:t>
      </w:r>
      <w:r w:rsidRPr="006C5E54">
        <w:rPr>
          <w:rFonts w:asciiTheme="minorHAnsi" w:eastAsia="TimesNewRoman" w:hAnsiTheme="minorHAnsi"/>
        </w:rPr>
        <w:t>ż</w:t>
      </w:r>
      <w:r w:rsidRPr="006C5E54">
        <w:rPr>
          <w:rFonts w:asciiTheme="minorHAnsi" w:hAnsiTheme="minorHAnsi"/>
        </w:rPr>
        <w:t>eniu zgody przez In</w:t>
      </w:r>
      <w:r w:rsidRPr="006C5E54">
        <w:rPr>
          <w:rFonts w:asciiTheme="minorHAnsi" w:eastAsia="TimesNewRoman" w:hAnsiTheme="minorHAnsi"/>
        </w:rPr>
        <w:t>ż</w:t>
      </w:r>
      <w:r w:rsidRPr="006C5E54">
        <w:rPr>
          <w:rFonts w:asciiTheme="minorHAnsi" w:hAnsiTheme="minorHAnsi"/>
        </w:rPr>
        <w:t>yniera. Roboczy skład mieszanki przygotowuje Wykonawca, opracowuj</w:t>
      </w:r>
      <w:r w:rsidRPr="006C5E54">
        <w:rPr>
          <w:rFonts w:asciiTheme="minorHAnsi" w:eastAsia="TimesNewRoman" w:hAnsiTheme="minorHAnsi"/>
        </w:rPr>
        <w:t>ą</w:t>
      </w:r>
      <w:r w:rsidRPr="006C5E54">
        <w:rPr>
          <w:rFonts w:asciiTheme="minorHAnsi" w:hAnsiTheme="minorHAnsi"/>
        </w:rPr>
        <w:t>c go na bazie receptury laboratoryjnej. Słu</w:t>
      </w:r>
      <w:r w:rsidRPr="006C5E54">
        <w:rPr>
          <w:rFonts w:asciiTheme="minorHAnsi" w:eastAsia="TimesNewRoman" w:hAnsiTheme="minorHAnsi"/>
        </w:rPr>
        <w:t>ż</w:t>
      </w:r>
      <w:r w:rsidRPr="006C5E54">
        <w:rPr>
          <w:rFonts w:asciiTheme="minorHAnsi" w:hAnsiTheme="minorHAnsi"/>
        </w:rPr>
        <w:t>y ona do zaprogramowania lub nastawienia nawo</w:t>
      </w:r>
      <w:r w:rsidRPr="006C5E54">
        <w:rPr>
          <w:rFonts w:asciiTheme="minorHAnsi" w:eastAsia="TimesNewRoman" w:hAnsiTheme="minorHAnsi"/>
        </w:rPr>
        <w:t>ż</w:t>
      </w:r>
      <w:r w:rsidRPr="006C5E54">
        <w:rPr>
          <w:rFonts w:asciiTheme="minorHAnsi" w:hAnsiTheme="minorHAnsi"/>
        </w:rPr>
        <w:t>enia kruszywa (jednego lub dwóch) oraz cementu i wody. Skład mieszanki nale</w:t>
      </w:r>
      <w:r w:rsidRPr="006C5E54">
        <w:rPr>
          <w:rFonts w:asciiTheme="minorHAnsi" w:eastAsia="TimesNewRoman" w:hAnsiTheme="minorHAnsi"/>
        </w:rPr>
        <w:t>ż</w:t>
      </w:r>
      <w:r w:rsidRPr="006C5E54">
        <w:rPr>
          <w:rFonts w:asciiTheme="minorHAnsi" w:hAnsiTheme="minorHAnsi"/>
        </w:rPr>
        <w:t>y umie</w:t>
      </w:r>
      <w:r w:rsidRPr="006C5E54">
        <w:rPr>
          <w:rFonts w:asciiTheme="minorHAnsi" w:eastAsia="TimesNewRoman" w:hAnsiTheme="minorHAnsi"/>
        </w:rPr>
        <w:t>ś</w:t>
      </w:r>
      <w:r w:rsidRPr="006C5E54">
        <w:rPr>
          <w:rFonts w:asciiTheme="minorHAnsi" w:hAnsiTheme="minorHAnsi"/>
        </w:rPr>
        <w:t>ci</w:t>
      </w:r>
      <w:r w:rsidRPr="006C5E54">
        <w:rPr>
          <w:rFonts w:asciiTheme="minorHAnsi" w:eastAsia="TimesNewRoman" w:hAnsiTheme="minorHAnsi"/>
        </w:rPr>
        <w:t xml:space="preserve">ć </w:t>
      </w:r>
      <w:r w:rsidRPr="006C5E54">
        <w:rPr>
          <w:rFonts w:asciiTheme="minorHAnsi" w:hAnsiTheme="minorHAnsi"/>
        </w:rPr>
        <w:t>na tablicy w widocznym miejscu dla operatora i In</w:t>
      </w:r>
      <w:r w:rsidRPr="006C5E54">
        <w:rPr>
          <w:rFonts w:asciiTheme="minorHAnsi" w:eastAsia="TimesNewRoman" w:hAnsiTheme="minorHAnsi"/>
        </w:rPr>
        <w:t>ż</w:t>
      </w:r>
      <w:r w:rsidRPr="006C5E54">
        <w:rPr>
          <w:rFonts w:asciiTheme="minorHAnsi" w:hAnsiTheme="minorHAnsi"/>
        </w:rPr>
        <w:t>yniera. Czas mieszania składników powinien by</w:t>
      </w:r>
      <w:r w:rsidRPr="006C5E54">
        <w:rPr>
          <w:rFonts w:asciiTheme="minorHAnsi" w:eastAsia="TimesNewRoman" w:hAnsiTheme="minorHAnsi"/>
        </w:rPr>
        <w:t>ć</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ustalony do</w:t>
      </w:r>
      <w:r w:rsidRPr="006C5E54">
        <w:rPr>
          <w:rFonts w:asciiTheme="minorHAnsi" w:eastAsia="TimesNewRoman" w:hAnsiTheme="minorHAnsi"/>
        </w:rPr>
        <w:t>ś</w:t>
      </w:r>
      <w:r w:rsidRPr="006C5E54">
        <w:rPr>
          <w:rFonts w:asciiTheme="minorHAnsi" w:hAnsiTheme="minorHAnsi"/>
        </w:rPr>
        <w:t>wiadczalnie, w zale</w:t>
      </w:r>
      <w:r w:rsidRPr="006C5E54">
        <w:rPr>
          <w:rFonts w:asciiTheme="minorHAnsi" w:eastAsia="TimesNewRoman" w:hAnsiTheme="minorHAnsi"/>
        </w:rPr>
        <w:t>ż</w:t>
      </w:r>
      <w:r w:rsidRPr="006C5E54">
        <w:rPr>
          <w:rFonts w:asciiTheme="minorHAnsi" w:hAnsiTheme="minorHAnsi"/>
        </w:rPr>
        <w:t>no</w:t>
      </w:r>
      <w:r w:rsidRPr="006C5E54">
        <w:rPr>
          <w:rFonts w:asciiTheme="minorHAnsi" w:eastAsia="TimesNewRoman" w:hAnsiTheme="minorHAnsi"/>
        </w:rPr>
        <w:t>ś</w:t>
      </w:r>
      <w:r w:rsidRPr="006C5E54">
        <w:rPr>
          <w:rFonts w:asciiTheme="minorHAnsi" w:hAnsiTheme="minorHAnsi"/>
        </w:rPr>
        <w:t>ci od składu i wymaganej wilgotno</w:t>
      </w:r>
      <w:r w:rsidRPr="006C5E54">
        <w:rPr>
          <w:rFonts w:asciiTheme="minorHAnsi" w:eastAsia="TimesNewRoman" w:hAnsiTheme="minorHAnsi"/>
        </w:rPr>
        <w:t>ś</w:t>
      </w:r>
      <w:r w:rsidRPr="006C5E54">
        <w:rPr>
          <w:rFonts w:asciiTheme="minorHAnsi" w:hAnsiTheme="minorHAnsi"/>
        </w:rPr>
        <w:t>ci optymalnej mieszanki oraz rodzaju urz</w:t>
      </w:r>
      <w:r w:rsidRPr="006C5E54">
        <w:rPr>
          <w:rFonts w:asciiTheme="minorHAnsi" w:eastAsia="TimesNewRoman" w:hAnsiTheme="minorHAnsi"/>
        </w:rPr>
        <w:t>ą</w:t>
      </w:r>
      <w:r w:rsidRPr="006C5E54">
        <w:rPr>
          <w:rFonts w:asciiTheme="minorHAnsi" w:hAnsiTheme="minorHAnsi"/>
        </w:rPr>
        <w:t>dzenia mieszaj</w:t>
      </w:r>
      <w:r w:rsidRPr="006C5E54">
        <w:rPr>
          <w:rFonts w:asciiTheme="minorHAnsi" w:eastAsia="TimesNewRoman" w:hAnsiTheme="minorHAnsi"/>
        </w:rPr>
        <w:t>ą</w:t>
      </w:r>
      <w:r w:rsidRPr="006C5E54">
        <w:rPr>
          <w:rFonts w:asciiTheme="minorHAnsi" w:hAnsiTheme="minorHAnsi"/>
        </w:rPr>
        <w:t>cego.</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Producent mieszanki mineralnej musi prowadzi</w:t>
      </w:r>
      <w:r w:rsidRPr="006C5E54">
        <w:rPr>
          <w:rFonts w:asciiTheme="minorHAnsi" w:eastAsia="TimesNewRoman" w:hAnsiTheme="minorHAnsi"/>
        </w:rPr>
        <w:t xml:space="preserve">ć </w:t>
      </w:r>
      <w:r w:rsidRPr="006C5E54">
        <w:rPr>
          <w:rFonts w:asciiTheme="minorHAnsi" w:hAnsiTheme="minorHAnsi"/>
        </w:rPr>
        <w:t>zakładow</w:t>
      </w:r>
      <w:r w:rsidRPr="006C5E54">
        <w:rPr>
          <w:rFonts w:asciiTheme="minorHAnsi" w:eastAsia="TimesNewRoman" w:hAnsiTheme="minorHAnsi"/>
        </w:rPr>
        <w:t xml:space="preserve">ą </w:t>
      </w:r>
      <w:r w:rsidRPr="006C5E54">
        <w:rPr>
          <w:rFonts w:asciiTheme="minorHAnsi" w:hAnsiTheme="minorHAnsi"/>
        </w:rPr>
        <w:t>kontrol</w:t>
      </w:r>
      <w:r w:rsidRPr="006C5E54">
        <w:rPr>
          <w:rFonts w:asciiTheme="minorHAnsi" w:eastAsia="TimesNewRoman" w:hAnsiTheme="minorHAnsi"/>
        </w:rPr>
        <w:t xml:space="preserve">ę </w:t>
      </w:r>
      <w:r w:rsidRPr="006C5E54">
        <w:rPr>
          <w:rFonts w:asciiTheme="minorHAnsi" w:hAnsiTheme="minorHAnsi"/>
        </w:rPr>
        <w:t>produkcji opisan</w:t>
      </w:r>
      <w:r w:rsidRPr="006C5E54">
        <w:rPr>
          <w:rFonts w:asciiTheme="minorHAnsi" w:eastAsia="TimesNewRoman" w:hAnsiTheme="minorHAnsi"/>
        </w:rPr>
        <w:t xml:space="preserve">ą </w:t>
      </w:r>
      <w:r w:rsidRPr="006C5E54">
        <w:rPr>
          <w:rFonts w:asciiTheme="minorHAnsi" w:hAnsiTheme="minorHAnsi"/>
        </w:rPr>
        <w:t>w WT-5 , aby zapewni</w:t>
      </w:r>
      <w:r w:rsidRPr="006C5E54">
        <w:rPr>
          <w:rFonts w:asciiTheme="minorHAnsi" w:eastAsia="TimesNewRoman" w:hAnsiTheme="minorHAnsi"/>
        </w:rPr>
        <w:t>ć</w:t>
      </w:r>
      <w:r w:rsidRPr="006C5E54">
        <w:rPr>
          <w:rFonts w:asciiTheme="minorHAnsi" w:hAnsiTheme="minorHAnsi"/>
        </w:rPr>
        <w:t xml:space="preserve">, </w:t>
      </w:r>
      <w:r w:rsidRPr="006C5E54">
        <w:rPr>
          <w:rFonts w:asciiTheme="minorHAnsi" w:eastAsia="TimesNewRoman" w:hAnsiTheme="minorHAnsi"/>
        </w:rPr>
        <w:t>ż</w:t>
      </w:r>
      <w:r w:rsidRPr="006C5E54">
        <w:rPr>
          <w:rFonts w:asciiTheme="minorHAnsi" w:hAnsiTheme="minorHAnsi"/>
        </w:rPr>
        <w:t>e wyrób spełnia wymagania niniejszej STWiORB.</w:t>
      </w:r>
    </w:p>
    <w:p w:rsidR="006C5E54" w:rsidRPr="006C5E54" w:rsidRDefault="006C5E54" w:rsidP="006C5E54">
      <w:pPr>
        <w:overflowPunct/>
        <w:jc w:val="left"/>
        <w:textAlignment w:val="auto"/>
        <w:rPr>
          <w:rFonts w:asciiTheme="minorHAnsi" w:hAnsiTheme="minorHAnsi"/>
          <w:b/>
          <w:bCs/>
        </w:rPr>
      </w:pPr>
      <w:r>
        <w:rPr>
          <w:rFonts w:asciiTheme="minorHAnsi" w:hAnsiTheme="minorHAnsi"/>
          <w:b/>
          <w:bCs/>
        </w:rPr>
        <w:t>5.3</w:t>
      </w:r>
      <w:r w:rsidRPr="006C5E54">
        <w:rPr>
          <w:rFonts w:asciiTheme="minorHAnsi" w:hAnsiTheme="minorHAnsi"/>
          <w:b/>
          <w:bCs/>
        </w:rPr>
        <w:t xml:space="preserve">.4 Transport mieszanki. </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Transport mieszanki na miejsce wbudowania odbywa</w:t>
      </w:r>
      <w:r w:rsidRPr="006C5E54">
        <w:rPr>
          <w:rFonts w:asciiTheme="minorHAnsi" w:eastAsia="TimesNewRoman" w:hAnsiTheme="minorHAnsi"/>
        </w:rPr>
        <w:t xml:space="preserve">ć </w:t>
      </w:r>
      <w:r w:rsidRPr="006C5E54">
        <w:rPr>
          <w:rFonts w:asciiTheme="minorHAnsi" w:hAnsiTheme="minorHAnsi"/>
        </w:rPr>
        <w:t>si</w:t>
      </w:r>
      <w:r w:rsidRPr="006C5E54">
        <w:rPr>
          <w:rFonts w:asciiTheme="minorHAnsi" w:eastAsia="TimesNewRoman" w:hAnsiTheme="minorHAnsi"/>
        </w:rPr>
        <w:t xml:space="preserve">ę </w:t>
      </w:r>
      <w:r w:rsidRPr="006C5E54">
        <w:rPr>
          <w:rFonts w:asciiTheme="minorHAnsi" w:hAnsiTheme="minorHAnsi"/>
        </w:rPr>
        <w:t>b</w:t>
      </w:r>
      <w:r w:rsidRPr="006C5E54">
        <w:rPr>
          <w:rFonts w:asciiTheme="minorHAnsi" w:eastAsia="TimesNewRoman" w:hAnsiTheme="minorHAnsi"/>
        </w:rPr>
        <w:t>ę</w:t>
      </w:r>
      <w:r w:rsidRPr="006C5E54">
        <w:rPr>
          <w:rFonts w:asciiTheme="minorHAnsi" w:hAnsiTheme="minorHAnsi"/>
        </w:rPr>
        <w:t>dzie samochodami samowyładowczymi o du</w:t>
      </w:r>
      <w:r w:rsidRPr="006C5E54">
        <w:rPr>
          <w:rFonts w:asciiTheme="minorHAnsi" w:eastAsia="TimesNewRoman" w:hAnsiTheme="minorHAnsi"/>
        </w:rPr>
        <w:t>ż</w:t>
      </w:r>
      <w:r w:rsidRPr="006C5E54">
        <w:rPr>
          <w:rFonts w:asciiTheme="minorHAnsi" w:hAnsiTheme="minorHAnsi"/>
        </w:rPr>
        <w:t>ej pojemno</w:t>
      </w:r>
      <w:r w:rsidRPr="006C5E54">
        <w:rPr>
          <w:rFonts w:asciiTheme="minorHAnsi" w:eastAsia="TimesNewRoman" w:hAnsiTheme="minorHAnsi"/>
        </w:rPr>
        <w:t>ś</w:t>
      </w:r>
      <w:r w:rsidRPr="006C5E54">
        <w:rPr>
          <w:rFonts w:asciiTheme="minorHAnsi" w:hAnsiTheme="minorHAnsi"/>
        </w:rPr>
        <w:t>ci, tj minimum 10 ton.</w:t>
      </w:r>
    </w:p>
    <w:p w:rsidR="006C5E54" w:rsidRPr="006C5E54" w:rsidRDefault="006C5E54" w:rsidP="006C5E54">
      <w:pPr>
        <w:overflowPunct/>
        <w:jc w:val="left"/>
        <w:textAlignment w:val="auto"/>
        <w:rPr>
          <w:rFonts w:asciiTheme="minorHAnsi" w:hAnsiTheme="minorHAnsi"/>
          <w:b/>
          <w:bCs/>
        </w:rPr>
      </w:pPr>
      <w:r>
        <w:rPr>
          <w:rFonts w:asciiTheme="minorHAnsi" w:hAnsiTheme="minorHAnsi"/>
          <w:b/>
          <w:bCs/>
        </w:rPr>
        <w:t>5.3</w:t>
      </w:r>
      <w:r w:rsidRPr="006C5E54">
        <w:rPr>
          <w:rFonts w:asciiTheme="minorHAnsi" w:hAnsiTheme="minorHAnsi"/>
          <w:b/>
          <w:bCs/>
        </w:rPr>
        <w:t>.5. Wbudowanie mieszanki</w:t>
      </w:r>
    </w:p>
    <w:p w:rsidR="006C5E54" w:rsidRPr="006C5E54" w:rsidRDefault="006C5E54" w:rsidP="006C5E54">
      <w:pPr>
        <w:overflowPunct/>
        <w:jc w:val="left"/>
        <w:textAlignment w:val="auto"/>
        <w:rPr>
          <w:rFonts w:asciiTheme="minorHAnsi" w:hAnsiTheme="minorHAnsi"/>
        </w:rPr>
      </w:pPr>
      <w:r w:rsidRPr="006C5E54">
        <w:rPr>
          <w:rFonts w:asciiTheme="minorHAnsi" w:hAnsiTheme="minorHAnsi"/>
        </w:rPr>
        <w:t>Wbudowywanie mieszanki powinno odbywa</w:t>
      </w:r>
      <w:r w:rsidRPr="006C5E54">
        <w:rPr>
          <w:rFonts w:asciiTheme="minorHAnsi" w:eastAsia="TimesNewRoman" w:hAnsiTheme="minorHAnsi"/>
        </w:rPr>
        <w:t xml:space="preserve">ć </w:t>
      </w:r>
      <w:r w:rsidRPr="006C5E54">
        <w:rPr>
          <w:rFonts w:asciiTheme="minorHAnsi" w:hAnsiTheme="minorHAnsi"/>
        </w:rPr>
        <w:t>si</w:t>
      </w:r>
      <w:r w:rsidRPr="006C5E54">
        <w:rPr>
          <w:rFonts w:asciiTheme="minorHAnsi" w:eastAsia="TimesNewRoman" w:hAnsiTheme="minorHAnsi"/>
        </w:rPr>
        <w:t xml:space="preserve">ę </w:t>
      </w:r>
      <w:r w:rsidRPr="006C5E54">
        <w:rPr>
          <w:rFonts w:asciiTheme="minorHAnsi" w:hAnsiTheme="minorHAnsi"/>
        </w:rPr>
        <w:t>w sprzyjaj</w:t>
      </w:r>
      <w:r w:rsidRPr="006C5E54">
        <w:rPr>
          <w:rFonts w:asciiTheme="minorHAnsi" w:eastAsia="TimesNewRoman" w:hAnsiTheme="minorHAnsi"/>
        </w:rPr>
        <w:t>ą</w:t>
      </w:r>
      <w:r w:rsidRPr="006C5E54">
        <w:rPr>
          <w:rFonts w:asciiTheme="minorHAnsi" w:hAnsiTheme="minorHAnsi"/>
        </w:rPr>
        <w:t>cych warunkach atmosferycznych, w wilgotne koryto gruntowe lub na wilgotn</w:t>
      </w:r>
      <w:r w:rsidRPr="006C5E54">
        <w:rPr>
          <w:rFonts w:asciiTheme="minorHAnsi" w:eastAsia="TimesNewRoman" w:hAnsiTheme="minorHAnsi"/>
        </w:rPr>
        <w:t xml:space="preserve">ą </w:t>
      </w:r>
      <w:r w:rsidRPr="006C5E54">
        <w:rPr>
          <w:rFonts w:asciiTheme="minorHAnsi" w:hAnsiTheme="minorHAnsi"/>
        </w:rPr>
        <w:t>ni</w:t>
      </w:r>
      <w:r w:rsidRPr="006C5E54">
        <w:rPr>
          <w:rFonts w:asciiTheme="minorHAnsi" w:eastAsia="TimesNewRoman" w:hAnsiTheme="minorHAnsi"/>
        </w:rPr>
        <w:t>ż</w:t>
      </w:r>
      <w:r w:rsidRPr="006C5E54">
        <w:rPr>
          <w:rFonts w:asciiTheme="minorHAnsi" w:hAnsiTheme="minorHAnsi"/>
        </w:rPr>
        <w:t>ej poło</w:t>
      </w:r>
      <w:r w:rsidRPr="006C5E54">
        <w:rPr>
          <w:rFonts w:asciiTheme="minorHAnsi" w:eastAsia="TimesNewRoman" w:hAnsiTheme="minorHAnsi"/>
        </w:rPr>
        <w:t>ż</w:t>
      </w:r>
      <w:r w:rsidRPr="006C5E54">
        <w:rPr>
          <w:rFonts w:asciiTheme="minorHAnsi" w:hAnsiTheme="minorHAnsi"/>
        </w:rPr>
        <w:t>on</w:t>
      </w:r>
      <w:r w:rsidRPr="006C5E54">
        <w:rPr>
          <w:rFonts w:asciiTheme="minorHAnsi" w:eastAsia="TimesNewRoman" w:hAnsiTheme="minorHAnsi"/>
        </w:rPr>
        <w:t xml:space="preserve">ą </w:t>
      </w:r>
      <w:r w:rsidRPr="006C5E54">
        <w:rPr>
          <w:rFonts w:asciiTheme="minorHAnsi" w:hAnsiTheme="minorHAnsi"/>
        </w:rPr>
        <w:t>warstw</w:t>
      </w:r>
      <w:r w:rsidRPr="006C5E54">
        <w:rPr>
          <w:rFonts w:asciiTheme="minorHAnsi" w:eastAsia="TimesNewRoman" w:hAnsiTheme="minorHAnsi"/>
        </w:rPr>
        <w:t>ę</w:t>
      </w:r>
      <w:r w:rsidRPr="006C5E54">
        <w:rPr>
          <w:rFonts w:asciiTheme="minorHAnsi" w:hAnsiTheme="minorHAnsi"/>
        </w:rPr>
        <w:t>. Zabrania si</w:t>
      </w:r>
      <w:r w:rsidRPr="006C5E54">
        <w:rPr>
          <w:rFonts w:asciiTheme="minorHAnsi" w:eastAsia="TimesNewRoman" w:hAnsiTheme="minorHAnsi"/>
        </w:rPr>
        <w:t xml:space="preserve">ę </w:t>
      </w:r>
      <w:r w:rsidRPr="006C5E54">
        <w:rPr>
          <w:rFonts w:asciiTheme="minorHAnsi" w:hAnsiTheme="minorHAnsi"/>
        </w:rPr>
        <w:t>układania mieszanki w deszczu.</w:t>
      </w:r>
    </w:p>
    <w:p w:rsidR="006C5E54" w:rsidRPr="006C5E54" w:rsidRDefault="006C5E54" w:rsidP="006C5E54">
      <w:pPr>
        <w:tabs>
          <w:tab w:val="left" w:pos="9914"/>
        </w:tabs>
        <w:rPr>
          <w:rFonts w:asciiTheme="minorHAnsi" w:hAnsiTheme="minorHAnsi" w:cs="Calibri"/>
        </w:rPr>
      </w:pPr>
      <w:r w:rsidRPr="006C5E54">
        <w:rPr>
          <w:rFonts w:asciiTheme="minorHAnsi" w:hAnsiTheme="minorHAnsi"/>
        </w:rPr>
        <w:t>Warstwa układana b</w:t>
      </w:r>
      <w:r w:rsidRPr="006C5E54">
        <w:rPr>
          <w:rFonts w:asciiTheme="minorHAnsi" w:eastAsia="TimesNewRoman" w:hAnsiTheme="minorHAnsi"/>
        </w:rPr>
        <w:t>ę</w:t>
      </w:r>
      <w:r w:rsidRPr="006C5E54">
        <w:rPr>
          <w:rFonts w:asciiTheme="minorHAnsi" w:hAnsiTheme="minorHAnsi"/>
        </w:rPr>
        <w:t>dzie w prowadnicach i przed zag</w:t>
      </w:r>
      <w:r w:rsidRPr="006C5E54">
        <w:rPr>
          <w:rFonts w:asciiTheme="minorHAnsi" w:eastAsia="TimesNewRoman" w:hAnsiTheme="minorHAnsi"/>
        </w:rPr>
        <w:t>ę</w:t>
      </w:r>
      <w:r w:rsidRPr="006C5E54">
        <w:rPr>
          <w:rFonts w:asciiTheme="minorHAnsi" w:hAnsiTheme="minorHAnsi"/>
        </w:rPr>
        <w:t>szczeniem powinna by</w:t>
      </w:r>
      <w:r w:rsidRPr="006C5E54">
        <w:rPr>
          <w:rFonts w:asciiTheme="minorHAnsi" w:eastAsia="TimesNewRoman" w:hAnsiTheme="minorHAnsi"/>
        </w:rPr>
        <w:t xml:space="preserve">ć </w:t>
      </w:r>
      <w:r w:rsidRPr="006C5E54">
        <w:rPr>
          <w:rFonts w:asciiTheme="minorHAnsi" w:hAnsiTheme="minorHAnsi"/>
        </w:rPr>
        <w:t>sprofilowana i dokładnie wyrównana do wymaganych projektem pochyle</w:t>
      </w:r>
      <w:r w:rsidRPr="006C5E54">
        <w:rPr>
          <w:rFonts w:asciiTheme="minorHAnsi" w:eastAsia="TimesNewRoman" w:hAnsiTheme="minorHAnsi"/>
        </w:rPr>
        <w:t xml:space="preserve">ń </w:t>
      </w:r>
      <w:r w:rsidRPr="006C5E54">
        <w:rPr>
          <w:rFonts w:asciiTheme="minorHAnsi" w:hAnsiTheme="minorHAnsi"/>
        </w:rPr>
        <w:t>poprzecznych i podłu</w:t>
      </w:r>
      <w:r w:rsidRPr="006C5E54">
        <w:rPr>
          <w:rFonts w:asciiTheme="minorHAnsi" w:eastAsia="TimesNewRoman" w:hAnsiTheme="minorHAnsi"/>
        </w:rPr>
        <w:t>ż</w:t>
      </w:r>
      <w:r w:rsidRPr="006C5E54">
        <w:rPr>
          <w:rFonts w:asciiTheme="minorHAnsi" w:hAnsiTheme="minorHAnsi"/>
        </w:rPr>
        <w:t>nych. Zł</w:t>
      </w:r>
      <w:r w:rsidRPr="006C5E54">
        <w:rPr>
          <w:rFonts w:asciiTheme="minorHAnsi" w:eastAsia="TimesNewRoman" w:hAnsiTheme="minorHAnsi"/>
        </w:rPr>
        <w:t>ą</w:t>
      </w:r>
      <w:r w:rsidRPr="006C5E54">
        <w:rPr>
          <w:rFonts w:asciiTheme="minorHAnsi" w:hAnsiTheme="minorHAnsi"/>
        </w:rPr>
        <w:t>cza poprzeczne, wynikaj</w:t>
      </w:r>
      <w:r w:rsidRPr="006C5E54">
        <w:rPr>
          <w:rFonts w:asciiTheme="minorHAnsi" w:eastAsia="TimesNewRoman" w:hAnsiTheme="minorHAnsi"/>
        </w:rPr>
        <w:t>ą</w:t>
      </w:r>
      <w:r w:rsidRPr="006C5E54">
        <w:rPr>
          <w:rFonts w:asciiTheme="minorHAnsi" w:hAnsiTheme="minorHAnsi"/>
        </w:rPr>
        <w:t>ce z pocz</w:t>
      </w:r>
      <w:r w:rsidRPr="006C5E54">
        <w:rPr>
          <w:rFonts w:asciiTheme="minorHAnsi" w:eastAsia="TimesNewRoman" w:hAnsiTheme="minorHAnsi"/>
        </w:rPr>
        <w:t>ą</w:t>
      </w:r>
      <w:r w:rsidRPr="006C5E54">
        <w:rPr>
          <w:rFonts w:asciiTheme="minorHAnsi" w:hAnsiTheme="minorHAnsi"/>
        </w:rPr>
        <w:t>tku lub ko</w:t>
      </w:r>
      <w:r w:rsidRPr="006C5E54">
        <w:rPr>
          <w:rFonts w:asciiTheme="minorHAnsi" w:eastAsia="TimesNewRoman" w:hAnsiTheme="minorHAnsi"/>
        </w:rPr>
        <w:t>ń</w:t>
      </w:r>
      <w:r w:rsidRPr="006C5E54">
        <w:rPr>
          <w:rFonts w:asciiTheme="minorHAnsi" w:hAnsiTheme="minorHAnsi"/>
        </w:rPr>
        <w:t>ca dziennej działki roboczej nale</w:t>
      </w:r>
      <w:r w:rsidRPr="006C5E54">
        <w:rPr>
          <w:rFonts w:asciiTheme="minorHAnsi" w:eastAsia="TimesNewRoman" w:hAnsiTheme="minorHAnsi"/>
        </w:rPr>
        <w:t>ż</w:t>
      </w:r>
      <w:r w:rsidRPr="006C5E54">
        <w:rPr>
          <w:rFonts w:asciiTheme="minorHAnsi" w:hAnsiTheme="minorHAnsi"/>
        </w:rPr>
        <w:t>y wykona</w:t>
      </w:r>
      <w:r w:rsidRPr="006C5E54">
        <w:rPr>
          <w:rFonts w:asciiTheme="minorHAnsi" w:eastAsia="TimesNewRoman" w:hAnsiTheme="minorHAnsi"/>
        </w:rPr>
        <w:t xml:space="preserve">ć </w:t>
      </w:r>
      <w:r w:rsidRPr="006C5E54">
        <w:rPr>
          <w:rFonts w:asciiTheme="minorHAnsi" w:hAnsiTheme="minorHAnsi"/>
        </w:rPr>
        <w:t>przez równe pionowe odci</w:t>
      </w:r>
      <w:r w:rsidRPr="006C5E54">
        <w:rPr>
          <w:rFonts w:asciiTheme="minorHAnsi" w:eastAsia="TimesNewRoman" w:hAnsiTheme="minorHAnsi"/>
        </w:rPr>
        <w:t>ę</w:t>
      </w:r>
      <w:r w:rsidRPr="006C5E54">
        <w:rPr>
          <w:rFonts w:asciiTheme="minorHAnsi" w:hAnsiTheme="minorHAnsi"/>
        </w:rPr>
        <w:t>cie</w:t>
      </w:r>
    </w:p>
    <w:p w:rsidR="00656AC1" w:rsidRPr="006C5E54" w:rsidRDefault="00656AC1" w:rsidP="00364E4D">
      <w:pPr>
        <w:tabs>
          <w:tab w:val="left" w:pos="9914"/>
        </w:tabs>
        <w:rPr>
          <w:rFonts w:asciiTheme="minorHAnsi" w:hAnsiTheme="minorHAnsi" w:cs="Calibri"/>
        </w:rPr>
      </w:pPr>
      <w:r w:rsidRPr="006C5E54">
        <w:rPr>
          <w:rFonts w:asciiTheme="minorHAnsi" w:hAnsiTheme="minorHAnsi" w:cs="Calibri"/>
        </w:rPr>
        <w:t>Składniki mieszanki i w razie potrzeby dodatki ulepszające, powinny być dozowane w ilości określonej w recepcie laboratoryjnej. Mieszarka stacjonarna powinna być wyposażona w urządzenia do wagowego dozowania kruszywa lub gruntu i cementu oraz objętościowego dozowania wody.</w:t>
      </w:r>
    </w:p>
    <w:p w:rsidR="00656AC1" w:rsidRPr="00203191" w:rsidRDefault="00656AC1" w:rsidP="00364E4D">
      <w:pPr>
        <w:tabs>
          <w:tab w:val="left" w:pos="9914"/>
        </w:tabs>
        <w:rPr>
          <w:rFonts w:ascii="Calibri" w:hAnsi="Calibri" w:cs="Calibri"/>
        </w:rPr>
      </w:pPr>
      <w:r w:rsidRPr="006C5E54">
        <w:rPr>
          <w:rFonts w:asciiTheme="minorHAnsi" w:hAnsiTheme="minorHAnsi" w:cs="Calibri"/>
        </w:rPr>
        <w:t>Czas mieszania w mieszarkach cyklicznych</w:t>
      </w:r>
      <w:r w:rsidRPr="00203191">
        <w:rPr>
          <w:rFonts w:ascii="Calibri" w:hAnsi="Calibri" w:cs="Calibri"/>
        </w:rPr>
        <w:t xml:space="preserve"> nie powinien być krótszy od 1 minuty, o ile krótszy czas mieszania nie zostanie dozwolony przez Inżyniera po wstępnych próbach. W mieszarkach typu ciągłego prędkość podawania materiałów powinna być ustalona i na bieżąco kontrolowana w taki sposób, aby zapewnić jednorodność mieszanki.</w:t>
      </w:r>
    </w:p>
    <w:p w:rsidR="00656AC1" w:rsidRPr="00203191" w:rsidRDefault="00656AC1" w:rsidP="00364E4D">
      <w:pPr>
        <w:tabs>
          <w:tab w:val="left" w:pos="9914"/>
        </w:tabs>
        <w:rPr>
          <w:rFonts w:ascii="Calibri" w:hAnsi="Calibri" w:cs="Calibri"/>
        </w:rPr>
      </w:pPr>
      <w:r w:rsidRPr="00203191">
        <w:rPr>
          <w:rFonts w:ascii="Calibri" w:hAnsi="Calibri" w:cs="Calibri"/>
        </w:rPr>
        <w:t>Przed ułożeniem mieszanki należy ustawić prowadnice i podłoże zwilżyć wodą.</w:t>
      </w:r>
    </w:p>
    <w:p w:rsidR="00656AC1" w:rsidRPr="00203191" w:rsidRDefault="00656AC1" w:rsidP="00364E4D">
      <w:pPr>
        <w:tabs>
          <w:tab w:val="left" w:pos="9914"/>
        </w:tabs>
        <w:rPr>
          <w:rFonts w:ascii="Calibri" w:hAnsi="Calibri" w:cs="Calibri"/>
        </w:rPr>
      </w:pPr>
      <w:r w:rsidRPr="00203191">
        <w:rPr>
          <w:rFonts w:ascii="Calibri" w:hAnsi="Calibri" w:cs="Calibri"/>
        </w:rPr>
        <w:t>Mieszanka dowieziona z wytwórni powinna być układana przy pomocy układarek lub równiarek. Grubość układania mieszanki powinna być taka, aby zapewnić uzyskanie wymaganej grubości warstwy po zagęszczeniu.</w:t>
      </w:r>
    </w:p>
    <w:p w:rsidR="00656AC1" w:rsidRPr="00203191" w:rsidRDefault="006C5E54" w:rsidP="00364E4D">
      <w:pPr>
        <w:pStyle w:val="Nagwek4"/>
        <w:tabs>
          <w:tab w:val="left" w:pos="9914"/>
        </w:tabs>
        <w:rPr>
          <w:rFonts w:ascii="Calibri" w:hAnsi="Calibri" w:cs="Calibri"/>
        </w:rPr>
      </w:pPr>
      <w:r>
        <w:rPr>
          <w:rFonts w:ascii="Calibri" w:hAnsi="Calibri" w:cs="Calibri"/>
        </w:rPr>
        <w:t>5</w:t>
      </w:r>
      <w:r w:rsidR="00656AC1" w:rsidRPr="00203191">
        <w:rPr>
          <w:rFonts w:ascii="Calibri" w:hAnsi="Calibri" w:cs="Calibri"/>
        </w:rPr>
        <w:t>.</w:t>
      </w:r>
      <w:r>
        <w:rPr>
          <w:rFonts w:ascii="Calibri" w:hAnsi="Calibri" w:cs="Calibri"/>
        </w:rPr>
        <w:t>3.6</w:t>
      </w:r>
      <w:r w:rsidR="00656AC1" w:rsidRPr="00203191">
        <w:rPr>
          <w:rFonts w:ascii="Calibri" w:hAnsi="Calibri" w:cs="Calibri"/>
        </w:rPr>
        <w:t xml:space="preserve"> Zagęszczanie warstwy stabilizacji</w:t>
      </w:r>
    </w:p>
    <w:p w:rsidR="00656AC1" w:rsidRPr="00203191" w:rsidRDefault="00656AC1" w:rsidP="00364E4D">
      <w:pPr>
        <w:tabs>
          <w:tab w:val="left" w:pos="9914"/>
        </w:tabs>
        <w:rPr>
          <w:rFonts w:ascii="Calibri" w:hAnsi="Calibri" w:cs="Calibri"/>
        </w:rPr>
      </w:pPr>
      <w:r w:rsidRPr="00203191">
        <w:rPr>
          <w:rFonts w:ascii="Calibri" w:hAnsi="Calibri" w:cs="Calibri"/>
        </w:rPr>
        <w:t>Przed zagęszczeniem warstwa powinna być wyprofilowana do wymaganych rzędnych, spadków podłużnych i poprzecznych. Przy użyciu równiarek do rozkładania mieszanki należy wykorzystać prowadnice, w celu uzyskania odpowiedniej równości profilu warstwy. Od użycia prowadnic można odstąpić przy zastosowaniu technologii gwarantującej odpowiednią równość warstwy, po uzyskaniu zgody Inżyniera. Po wyprofilowaniu należy natychmiast przystąpić do zagęszczania warstwy.</w:t>
      </w:r>
    </w:p>
    <w:p w:rsidR="00656AC1" w:rsidRPr="00203191" w:rsidRDefault="00656AC1" w:rsidP="00364E4D">
      <w:pPr>
        <w:tabs>
          <w:tab w:val="left" w:pos="9914"/>
        </w:tabs>
        <w:rPr>
          <w:rFonts w:ascii="Calibri" w:hAnsi="Calibri" w:cs="Calibri"/>
        </w:rPr>
      </w:pPr>
      <w:r w:rsidRPr="00203191">
        <w:rPr>
          <w:rFonts w:ascii="Calibri" w:hAnsi="Calibri" w:cs="Calibri"/>
        </w:rPr>
        <w:t>Wilgotność mieszanki podczas zagęszczania powinna odpowiadać wilgotności optymalnej z tolerancją ±1% jej wartości.</w:t>
      </w:r>
    </w:p>
    <w:p w:rsidR="00656AC1" w:rsidRPr="00203191" w:rsidRDefault="00656AC1" w:rsidP="00364E4D">
      <w:pPr>
        <w:tabs>
          <w:tab w:val="left" w:pos="9914"/>
        </w:tabs>
        <w:rPr>
          <w:rFonts w:ascii="Calibri" w:hAnsi="Calibri" w:cs="Calibri"/>
        </w:rPr>
      </w:pPr>
      <w:r w:rsidRPr="00203191">
        <w:rPr>
          <w:rFonts w:ascii="Calibri" w:hAnsi="Calibri" w:cs="Calibri"/>
        </w:rPr>
        <w:t>Zagęszczanie warstwy gruntu lub kruszywa stabilizowanego cementem należy prowadzić przy użyciu walców gładkich, wibracyjnych lub ogumionych lub przy użyciu płyt wibracyjnych</w:t>
      </w:r>
    </w:p>
    <w:p w:rsidR="00656AC1" w:rsidRPr="00203191" w:rsidRDefault="00656AC1" w:rsidP="00364E4D">
      <w:pPr>
        <w:tabs>
          <w:tab w:val="left" w:pos="9914"/>
        </w:tabs>
        <w:rPr>
          <w:rFonts w:ascii="Calibri" w:hAnsi="Calibri" w:cs="Calibri"/>
        </w:rPr>
      </w:pPr>
      <w:r w:rsidRPr="00203191">
        <w:rPr>
          <w:rFonts w:ascii="Calibri" w:hAnsi="Calibri" w:cs="Calibri"/>
        </w:rPr>
        <w:t xml:space="preserve">Zagęszczanie podbudowy oraz ulepszonego podłoża o przekroju daszkowym powinno rozpocząć się od krawędzi i przesuwać pasami podłużnymi, częściowo nakładającymi się w stronę osi jezdni. Zagęszczenie warstwy o jednostronnym spadku poprzecznym powinno rozpocząć się od niżej położonej krawędzi i przesuwać pasami podłużnymi, częściowo nakładającymi się, w stronę wyżej położonej krawędzi. Pojawiające się w czasie zagęszczania zaniżenia, ubytki, rozwarstwienia i podobne wady, muszą być natychmiast naprawiane przez </w:t>
      </w:r>
      <w:r w:rsidRPr="00203191">
        <w:rPr>
          <w:rFonts w:ascii="Calibri" w:hAnsi="Calibri" w:cs="Calibri"/>
        </w:rPr>
        <w:lastRenderedPageBreak/>
        <w:t>wymianę mieszanki  na pełną głębokość, wyrównanie i ponowne zagęszczenie. Powierzchnia zagęszczonej warstwy powinna mieć prawidłowy przekrój poprzeczny i jednolity wygląd.</w:t>
      </w:r>
    </w:p>
    <w:p w:rsidR="00656AC1" w:rsidRPr="00203191" w:rsidRDefault="00656AC1" w:rsidP="00364E4D">
      <w:pPr>
        <w:tabs>
          <w:tab w:val="left" w:pos="9914"/>
        </w:tabs>
        <w:rPr>
          <w:rFonts w:ascii="Calibri" w:hAnsi="Calibri" w:cs="Calibri"/>
        </w:rPr>
      </w:pPr>
      <w:r w:rsidRPr="00203191">
        <w:rPr>
          <w:rFonts w:ascii="Calibri" w:hAnsi="Calibri" w:cs="Calibri"/>
        </w:rPr>
        <w:t>Operacje zagęszczania i obróbki powierzchniowej muszą być zakończone przed upływem dwóch godzin od chwili dodania wody do mieszanki.</w:t>
      </w:r>
    </w:p>
    <w:p w:rsidR="00656AC1" w:rsidRPr="00203191" w:rsidRDefault="00656AC1" w:rsidP="00364E4D">
      <w:pPr>
        <w:tabs>
          <w:tab w:val="left" w:pos="9914"/>
        </w:tabs>
        <w:rPr>
          <w:rFonts w:ascii="Calibri" w:hAnsi="Calibri" w:cs="Calibri"/>
        </w:rPr>
      </w:pPr>
      <w:r w:rsidRPr="00203191">
        <w:rPr>
          <w:rFonts w:ascii="Calibri" w:hAnsi="Calibri" w:cs="Calibri"/>
        </w:rPr>
        <w:t>Zagęszczanie należy kontynuować do osiągnięcia wskaźnika zagęszczenia mieszanki określonego wg BN-77/8931-12  nie mniejszego od podanego w PN-S-96012:1997. Dopuszcza się oznaczenie wskaźnika zagęszczenia dowolną metodą określoną w BN-77/8931-12</w:t>
      </w:r>
    </w:p>
    <w:p w:rsidR="00656AC1" w:rsidRPr="00203191" w:rsidRDefault="00656AC1" w:rsidP="00364E4D">
      <w:pPr>
        <w:tabs>
          <w:tab w:val="left" w:pos="9914"/>
        </w:tabs>
        <w:rPr>
          <w:rFonts w:ascii="Calibri" w:hAnsi="Calibri" w:cs="Calibri"/>
        </w:rPr>
      </w:pPr>
      <w:r w:rsidRPr="00203191">
        <w:rPr>
          <w:rFonts w:ascii="Calibri" w:hAnsi="Calibri" w:cs="Calibri"/>
        </w:rPr>
        <w:t>Dla warstw leżących poniżej 0,2 m badanie zagęszczenia przeprowadzić należy poprzez oznaczenie wskaźnika odkształcenia oznaczonego wg PN-02205:1998. Grunt przy pomiarze zagęszczenia metodą obciążenia płytą VSS uznaje się za należycie zagęszczony, gdy wskaźnik odkształcenia nie przekracza 2,2.</w:t>
      </w:r>
    </w:p>
    <w:p w:rsidR="00656AC1" w:rsidRPr="00203191" w:rsidRDefault="00656AC1" w:rsidP="00364E4D">
      <w:pPr>
        <w:tabs>
          <w:tab w:val="left" w:pos="9914"/>
        </w:tabs>
        <w:rPr>
          <w:rFonts w:ascii="Calibri" w:hAnsi="Calibri" w:cs="Calibri"/>
        </w:rPr>
      </w:pPr>
      <w:r w:rsidRPr="00203191">
        <w:rPr>
          <w:rFonts w:ascii="Calibri" w:hAnsi="Calibri" w:cs="Calibri"/>
        </w:rPr>
        <w:t>Specjalną uwagę należy poświęcić zagęszczeniu mieszanki w sąsiedztwie spoin roboczych podłużnych i poprzecznych oraz wszelkich urządzeń obcych.</w:t>
      </w:r>
    </w:p>
    <w:p w:rsidR="00656AC1" w:rsidRPr="00203191" w:rsidRDefault="00656AC1" w:rsidP="00364E4D">
      <w:pPr>
        <w:tabs>
          <w:tab w:val="left" w:pos="9914"/>
        </w:tabs>
        <w:rPr>
          <w:rFonts w:ascii="Calibri" w:hAnsi="Calibri" w:cs="Calibri"/>
        </w:rPr>
      </w:pPr>
      <w:r w:rsidRPr="00203191">
        <w:rPr>
          <w:rFonts w:ascii="Calibri" w:hAnsi="Calibri" w:cs="Calibri"/>
        </w:rPr>
        <w:t>Wszelkie miejsca luźne, rozsegregowane, spękane podczas zagęszczania lub w inny sposób wadliwe, muszą być naprawione przez zerwanie warstwy na pełną grubość, wbudowanie nowej mieszanki o odpowiednim składzie i ponowne zagęszczenie. Roboty te są wykonywane na koszt Wykonawcy.</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w:t>
      </w:r>
      <w:r w:rsidR="006C5E54">
        <w:rPr>
          <w:rFonts w:ascii="Calibri" w:hAnsi="Calibri" w:cs="Calibri"/>
        </w:rPr>
        <w:t>4</w:t>
      </w:r>
      <w:r w:rsidRPr="00203191">
        <w:rPr>
          <w:rFonts w:ascii="Calibri" w:hAnsi="Calibri" w:cs="Calibri"/>
        </w:rPr>
        <w:t>. Utrzymanie podbudowy i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 xml:space="preserve">Ulepszone podłoże po wykonaniu, a przed ułożeniem następnej warstwy, powinno być utrzymywane w dobrym stanie.  Jeżeli Wykonawca będzie wykorzystywał, za zgodą Inżyniera, gotowe ulepszone podłoże do ruchu budowlanego, to jest obowiązany naprawić wszelkie uszkodzenia podbudowy, spowodowane przez ten ruch. Koszt napraw wynikłych z niewłaściwego utrzymania ulepszonego podłoża obciąża Wykonawcę robót. </w:t>
      </w:r>
    </w:p>
    <w:p w:rsidR="00656AC1" w:rsidRPr="00203191" w:rsidRDefault="00656AC1" w:rsidP="00364E4D">
      <w:pPr>
        <w:tabs>
          <w:tab w:val="left" w:pos="9914"/>
        </w:tabs>
        <w:rPr>
          <w:rFonts w:ascii="Calibri" w:hAnsi="Calibri" w:cs="Calibri"/>
        </w:rPr>
      </w:pPr>
      <w:r w:rsidRPr="00203191">
        <w:rPr>
          <w:rFonts w:ascii="Calibri" w:hAnsi="Calibri" w:cs="Calibri"/>
        </w:rPr>
        <w:t>Wykonawca jest zobowiązany do przeprowadzenia bieżących napraw ulepszonego podłoża  uszkodzonych wskutek oddziaływania czynników atmosferycznych, takich jak opady deszczu i śniegu oraz mróz.</w:t>
      </w:r>
    </w:p>
    <w:p w:rsidR="00656AC1" w:rsidRPr="00203191" w:rsidRDefault="00656AC1" w:rsidP="00364E4D">
      <w:pPr>
        <w:tabs>
          <w:tab w:val="left" w:pos="9914"/>
        </w:tabs>
        <w:rPr>
          <w:rFonts w:ascii="Calibri" w:hAnsi="Calibri" w:cs="Calibri"/>
        </w:rPr>
      </w:pPr>
      <w:r w:rsidRPr="00203191">
        <w:rPr>
          <w:rFonts w:ascii="Calibri" w:hAnsi="Calibri" w:cs="Calibri"/>
        </w:rPr>
        <w:t>Wykonawca jest zobowiązany wstrzymać ruch budowlany po okresie intensywnych opadów deszczu, jeżeli wystąpi możliwość uszkodzenia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Warstwa stabilizowana spoiwami hydraulicznymi powinna być przykryta przed zimą warstwą nawierzchni lub zabezpieczona przed niszczącym działaniem czynników atmosferycznych w inny sposób zaakceptowany przez Inżyniera.</w:t>
      </w:r>
    </w:p>
    <w:p w:rsidR="00656AC1" w:rsidRPr="00203191" w:rsidRDefault="006C5E54" w:rsidP="00364E4D">
      <w:pPr>
        <w:pStyle w:val="Nagwek4"/>
        <w:tabs>
          <w:tab w:val="left" w:pos="9914"/>
        </w:tabs>
        <w:rPr>
          <w:rFonts w:ascii="Calibri" w:hAnsi="Calibri" w:cs="Calibri"/>
        </w:rPr>
      </w:pPr>
      <w:r>
        <w:rPr>
          <w:rFonts w:ascii="Calibri" w:hAnsi="Calibri" w:cs="Calibri"/>
        </w:rPr>
        <w:t>5.5</w:t>
      </w:r>
      <w:r w:rsidR="00656AC1" w:rsidRPr="00203191">
        <w:rPr>
          <w:rFonts w:ascii="Calibri" w:hAnsi="Calibri" w:cs="Calibri"/>
        </w:rPr>
        <w:t>. Pielęgnacja warstwy z gruntu lub kruszywa stabilizowanego cementem</w:t>
      </w:r>
    </w:p>
    <w:p w:rsidR="00656AC1" w:rsidRPr="00203191" w:rsidRDefault="00656AC1" w:rsidP="00364E4D">
      <w:pPr>
        <w:tabs>
          <w:tab w:val="left" w:pos="9914"/>
        </w:tabs>
        <w:rPr>
          <w:rFonts w:ascii="Calibri" w:hAnsi="Calibri" w:cs="Calibri"/>
        </w:rPr>
      </w:pPr>
      <w:r w:rsidRPr="00203191">
        <w:rPr>
          <w:rFonts w:ascii="Calibri" w:hAnsi="Calibri" w:cs="Calibri"/>
        </w:rPr>
        <w:t>Pielęgnacja powinna być przeprowadzona według jednego z następujących sposobów:</w:t>
      </w:r>
    </w:p>
    <w:p w:rsidR="00656AC1" w:rsidRPr="00203191" w:rsidRDefault="00656AC1" w:rsidP="00364E4D">
      <w:pPr>
        <w:tabs>
          <w:tab w:val="left" w:pos="9914"/>
        </w:tabs>
        <w:rPr>
          <w:rFonts w:ascii="Calibri" w:hAnsi="Calibri" w:cs="Calibri"/>
        </w:rPr>
      </w:pPr>
      <w:r w:rsidRPr="00203191">
        <w:rPr>
          <w:rFonts w:ascii="Calibri" w:hAnsi="Calibri" w:cs="Calibri"/>
        </w:rPr>
        <w:t>skropienie warstwy emulsją asfaltową, albo asfaltem D200 lub D300 w ilości od 0,5 do 1,0 kg/m</w:t>
      </w:r>
      <w:r w:rsidRPr="00203191">
        <w:rPr>
          <w:rFonts w:ascii="Calibri" w:hAnsi="Calibri" w:cs="Calibri"/>
          <w:vertAlign w:val="superscript"/>
        </w:rPr>
        <w:t>2</w:t>
      </w:r>
      <w:r w:rsidRPr="00203191">
        <w:rPr>
          <w:rFonts w:ascii="Calibri" w:hAnsi="Calibri" w:cs="Calibri"/>
        </w:rPr>
        <w:t>,</w:t>
      </w:r>
    </w:p>
    <w:p w:rsidR="00656AC1" w:rsidRPr="00203191" w:rsidRDefault="00656AC1" w:rsidP="00364E4D">
      <w:pPr>
        <w:tabs>
          <w:tab w:val="left" w:pos="9914"/>
        </w:tabs>
        <w:rPr>
          <w:rFonts w:ascii="Calibri" w:hAnsi="Calibri" w:cs="Calibri"/>
        </w:rPr>
      </w:pPr>
      <w:r w:rsidRPr="00203191">
        <w:rPr>
          <w:rFonts w:ascii="Calibri" w:hAnsi="Calibri" w:cs="Calibri"/>
        </w:rPr>
        <w:t>skropienie specjalnymi preparatami powłokotwórczymi posiadającymi aprobatę techniczną wydaną przez uprawnioną jednostkę, po uprzednim zaakceptowaniu ich użycia przez Inżyniera,</w:t>
      </w:r>
    </w:p>
    <w:p w:rsidR="00656AC1" w:rsidRPr="00203191" w:rsidRDefault="00656AC1" w:rsidP="00364E4D">
      <w:pPr>
        <w:tabs>
          <w:tab w:val="left" w:pos="9914"/>
        </w:tabs>
        <w:rPr>
          <w:rFonts w:ascii="Calibri" w:hAnsi="Calibri" w:cs="Calibri"/>
        </w:rPr>
      </w:pPr>
      <w:r w:rsidRPr="00203191">
        <w:rPr>
          <w:rFonts w:ascii="Calibri" w:hAnsi="Calibri" w:cs="Calibri"/>
        </w:rPr>
        <w:t>utrzymanie w stanie wilgotnym poprzez kilkakrotne skrapianie wodą w ciągu dnia, w czasie co najmniej 7 dni,</w:t>
      </w:r>
    </w:p>
    <w:p w:rsidR="00656AC1" w:rsidRPr="00203191" w:rsidRDefault="00656AC1" w:rsidP="00364E4D">
      <w:pPr>
        <w:tabs>
          <w:tab w:val="left" w:pos="9914"/>
        </w:tabs>
        <w:rPr>
          <w:rFonts w:ascii="Calibri" w:hAnsi="Calibri" w:cs="Calibri"/>
        </w:rPr>
      </w:pPr>
      <w:r w:rsidRPr="00203191">
        <w:rPr>
          <w:rFonts w:ascii="Calibri" w:hAnsi="Calibri" w:cs="Calibri"/>
        </w:rPr>
        <w:t>przykrycie na okres 7 dni nieprzepuszczalną folią z tworzywa sztucznego, ułożoną na zakład o szerokości  co najmniej 30 cm i zabezpieczoną przed zerwaniem z powierzchni warstwy przez wiatr,</w:t>
      </w:r>
    </w:p>
    <w:p w:rsidR="00656AC1" w:rsidRPr="00203191" w:rsidRDefault="00656AC1" w:rsidP="00364E4D">
      <w:pPr>
        <w:tabs>
          <w:tab w:val="left" w:pos="9914"/>
        </w:tabs>
        <w:rPr>
          <w:rFonts w:ascii="Calibri" w:hAnsi="Calibri" w:cs="Calibri"/>
        </w:rPr>
      </w:pPr>
      <w:r w:rsidRPr="00203191">
        <w:rPr>
          <w:rFonts w:ascii="Calibri" w:hAnsi="Calibri" w:cs="Calibri"/>
        </w:rPr>
        <w:t>przykrycie warstwą piasku lub grubej włókniny technicznej i utrzymywanie jej w stanie wilgotnym w czasie co najmniej 7 dni.</w:t>
      </w:r>
    </w:p>
    <w:p w:rsidR="00656AC1" w:rsidRPr="00203191" w:rsidRDefault="00656AC1" w:rsidP="00364E4D">
      <w:pPr>
        <w:tabs>
          <w:tab w:val="left" w:pos="9914"/>
        </w:tabs>
        <w:rPr>
          <w:rFonts w:ascii="Calibri" w:hAnsi="Calibri" w:cs="Calibri"/>
        </w:rPr>
      </w:pPr>
      <w:r w:rsidRPr="00203191">
        <w:rPr>
          <w:rFonts w:ascii="Calibri" w:hAnsi="Calibri" w:cs="Calibri"/>
        </w:rPr>
        <w:t xml:space="preserve">Inne sposoby pielęgnacji, zaproponowane przez Wykonawcę i inne </w:t>
      </w:r>
      <w:r w:rsidR="00A95FEE">
        <w:rPr>
          <w:rFonts w:ascii="Calibri" w:hAnsi="Calibri" w:cs="Calibri"/>
        </w:rPr>
        <w:t>wyroby budowlane</w:t>
      </w:r>
      <w:r w:rsidRPr="00203191">
        <w:rPr>
          <w:rFonts w:ascii="Calibri" w:hAnsi="Calibri" w:cs="Calibri"/>
        </w:rPr>
        <w:t xml:space="preserve"> przeznaczone do pielęgnacji mogą być zastosowane po uzyskaniu akceptacji Inżyniera.</w:t>
      </w:r>
    </w:p>
    <w:p w:rsidR="00656AC1" w:rsidRPr="00203191" w:rsidRDefault="00656AC1" w:rsidP="00364E4D">
      <w:pPr>
        <w:tabs>
          <w:tab w:val="left" w:pos="9914"/>
        </w:tabs>
        <w:rPr>
          <w:rFonts w:ascii="Calibri" w:hAnsi="Calibri" w:cs="Calibri"/>
        </w:rPr>
      </w:pPr>
      <w:r w:rsidRPr="00203191">
        <w:rPr>
          <w:rFonts w:ascii="Calibri" w:hAnsi="Calibri" w:cs="Calibri"/>
        </w:rPr>
        <w:t>Nie należy dopuszczać żadnego ruchu pojazdów i maszyn po podbudowie w okresie 7 dni po wykonaniu.  Po tym czasie ewentualny ruch technologiczny może odbywać się wyłącznie za zgodą Inżyniera.</w:t>
      </w:r>
      <w:r w:rsidRPr="00203191">
        <w:rPr>
          <w:rFonts w:ascii="Calibri" w:hAnsi="Calibri" w:cs="Calibri"/>
        </w:rPr>
        <w:tab/>
      </w:r>
    </w:p>
    <w:p w:rsidR="00656AC1" w:rsidRPr="00203191" w:rsidRDefault="00656AC1" w:rsidP="00364E4D">
      <w:pPr>
        <w:pStyle w:val="Nagwek3"/>
        <w:tabs>
          <w:tab w:val="left" w:pos="9914"/>
        </w:tabs>
        <w:rPr>
          <w:rFonts w:ascii="Calibri" w:hAnsi="Calibri" w:cs="Calibri"/>
        </w:rPr>
      </w:pPr>
      <w:bookmarkStart w:id="1052" w:name="_Toc423398335"/>
      <w:bookmarkStart w:id="1053" w:name="_Toc423845943"/>
      <w:r w:rsidRPr="00203191">
        <w:rPr>
          <w:rFonts w:ascii="Calibri" w:hAnsi="Calibri" w:cs="Calibri"/>
        </w:rPr>
        <w:t>6. KONTROLA JAKOŚCI ROBÓT</w:t>
      </w:r>
      <w:bookmarkEnd w:id="1052"/>
      <w:bookmarkEnd w:id="1053"/>
    </w:p>
    <w:p w:rsidR="00656AC1" w:rsidRPr="00203191" w:rsidRDefault="00656AC1" w:rsidP="00364E4D">
      <w:pPr>
        <w:pStyle w:val="Nagwek4"/>
        <w:tabs>
          <w:tab w:val="left" w:pos="9914"/>
        </w:tabs>
        <w:rPr>
          <w:rFonts w:ascii="Calibri" w:hAnsi="Calibri" w:cs="Calibri"/>
        </w:rPr>
      </w:pPr>
      <w:r w:rsidRPr="00203191">
        <w:rPr>
          <w:rFonts w:ascii="Calibri" w:hAnsi="Calibri" w:cs="Calibri"/>
        </w:rPr>
        <w:t>6.1. Ogólne zasady kontroli jakości robót</w:t>
      </w:r>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6.2. Badania przed przystąpieniem do robót</w:t>
      </w:r>
    </w:p>
    <w:p w:rsidR="00656AC1" w:rsidRPr="00203191" w:rsidRDefault="00656AC1" w:rsidP="00364E4D">
      <w:pPr>
        <w:tabs>
          <w:tab w:val="left" w:pos="9914"/>
        </w:tabs>
        <w:rPr>
          <w:rFonts w:ascii="Calibri" w:hAnsi="Calibri" w:cs="Calibri"/>
        </w:rPr>
      </w:pPr>
      <w:r w:rsidRPr="00203191">
        <w:rPr>
          <w:rFonts w:ascii="Calibri" w:hAnsi="Calibri" w:cs="Calibri"/>
        </w:rPr>
        <w:t>Przed przystąpieniem do robót Wykonawca powinien wykonać badania spoiw, kruszyw i gruntów  przeznaczonych do wykonania robót i przedstawić wyniki tych badań Inżynierowi w celu akceptacji.</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lastRenderedPageBreak/>
        <w:t>6.3. Badania w czasie robót</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6.3.1. Częstotliwość oraz zakres badań i pomiarów</w:t>
      </w:r>
    </w:p>
    <w:p w:rsidR="00656AC1" w:rsidRPr="00203191" w:rsidRDefault="00656AC1" w:rsidP="00364E4D">
      <w:pPr>
        <w:tabs>
          <w:tab w:val="left" w:pos="9914"/>
        </w:tabs>
        <w:rPr>
          <w:rFonts w:ascii="Calibri" w:hAnsi="Calibri" w:cs="Calibri"/>
        </w:rPr>
      </w:pPr>
      <w:r w:rsidRPr="00203191">
        <w:rPr>
          <w:rFonts w:ascii="Calibri" w:hAnsi="Calibri" w:cs="Calibri"/>
        </w:rPr>
        <w:t>Częstotliwość oraz zakres badań  i pomiarów w czasie wykonywania podbudowy lub ulepszonego podłoża stabilizowanych spoiwami  podano w tablicy 5.</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Tablica 5. Częstotliwość badań i pomiarów</w:t>
      </w:r>
    </w:p>
    <w:tbl>
      <w:tblPr>
        <w:tblW w:w="0" w:type="auto"/>
        <w:tblInd w:w="2" w:type="dxa"/>
        <w:tblLayout w:type="fixed"/>
        <w:tblCellMar>
          <w:left w:w="70" w:type="dxa"/>
          <w:right w:w="70" w:type="dxa"/>
        </w:tblCellMar>
        <w:tblLook w:val="0000"/>
      </w:tblPr>
      <w:tblGrid>
        <w:gridCol w:w="496"/>
        <w:gridCol w:w="5514"/>
        <w:gridCol w:w="1620"/>
        <w:gridCol w:w="1931"/>
      </w:tblGrid>
      <w:tr w:rsidR="00656AC1" w:rsidRPr="00203191">
        <w:tc>
          <w:tcPr>
            <w:tcW w:w="496" w:type="dxa"/>
            <w:tcBorders>
              <w:top w:val="single" w:sz="6" w:space="0" w:color="auto"/>
              <w:left w:val="single" w:sz="6" w:space="0" w:color="auto"/>
            </w:tcBorders>
          </w:tcPr>
          <w:p w:rsidR="00656AC1" w:rsidRPr="00203191" w:rsidRDefault="00656AC1" w:rsidP="00364E4D">
            <w:pPr>
              <w:pStyle w:val="tekstost"/>
              <w:tabs>
                <w:tab w:val="left" w:pos="9914"/>
              </w:tabs>
              <w:rPr>
                <w:rFonts w:ascii="Calibri" w:hAnsi="Calibri" w:cs="Calibri"/>
              </w:rPr>
            </w:pPr>
          </w:p>
        </w:tc>
        <w:tc>
          <w:tcPr>
            <w:tcW w:w="5514" w:type="dxa"/>
            <w:tcBorders>
              <w:top w:val="single" w:sz="6" w:space="0" w:color="auto"/>
              <w:left w:val="single" w:sz="6" w:space="0" w:color="auto"/>
            </w:tcBorders>
          </w:tcPr>
          <w:p w:rsidR="00656AC1" w:rsidRPr="00203191" w:rsidRDefault="00656AC1" w:rsidP="00364E4D">
            <w:pPr>
              <w:pStyle w:val="tekstost"/>
              <w:tabs>
                <w:tab w:val="left" w:pos="9914"/>
              </w:tabs>
              <w:rPr>
                <w:rFonts w:ascii="Calibri" w:hAnsi="Calibri" w:cs="Calibri"/>
              </w:rPr>
            </w:pPr>
          </w:p>
        </w:tc>
        <w:tc>
          <w:tcPr>
            <w:tcW w:w="3551"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Częstotliwość badań</w:t>
            </w:r>
          </w:p>
        </w:tc>
      </w:tr>
      <w:tr w:rsidR="00656AC1" w:rsidRPr="00203191">
        <w:tc>
          <w:tcPr>
            <w:tcW w:w="496" w:type="dxa"/>
            <w:tcBorders>
              <w:left w:val="single" w:sz="6" w:space="0" w:color="auto"/>
              <w:bottom w:val="doub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p>
          <w:p w:rsidR="00656AC1" w:rsidRPr="00203191" w:rsidRDefault="00656AC1" w:rsidP="00364E4D">
            <w:pPr>
              <w:pStyle w:val="tekstost"/>
              <w:tabs>
                <w:tab w:val="left" w:pos="9914"/>
              </w:tabs>
              <w:rPr>
                <w:rFonts w:ascii="Calibri" w:hAnsi="Calibri" w:cs="Calibri"/>
              </w:rPr>
            </w:pPr>
            <w:r w:rsidRPr="00203191">
              <w:rPr>
                <w:rFonts w:ascii="Calibri" w:hAnsi="Calibri" w:cs="Calibri"/>
              </w:rPr>
              <w:t>Lp.</w:t>
            </w:r>
          </w:p>
        </w:tc>
        <w:tc>
          <w:tcPr>
            <w:tcW w:w="5514" w:type="dxa"/>
            <w:tcBorders>
              <w:bottom w:val="double" w:sz="6" w:space="0" w:color="auto"/>
            </w:tcBorders>
          </w:tcPr>
          <w:p w:rsidR="00656AC1" w:rsidRPr="00203191" w:rsidRDefault="00656AC1" w:rsidP="00364E4D">
            <w:pPr>
              <w:pStyle w:val="tekstost"/>
              <w:tabs>
                <w:tab w:val="left" w:pos="9914"/>
              </w:tabs>
              <w:rPr>
                <w:rFonts w:ascii="Calibri" w:hAnsi="Calibri" w:cs="Calibri"/>
              </w:rPr>
            </w:pPr>
          </w:p>
          <w:p w:rsidR="00656AC1" w:rsidRPr="00203191" w:rsidRDefault="00656AC1" w:rsidP="00364E4D">
            <w:pPr>
              <w:pStyle w:val="tekstost"/>
              <w:tabs>
                <w:tab w:val="left" w:pos="9914"/>
              </w:tabs>
              <w:rPr>
                <w:rFonts w:ascii="Calibri" w:hAnsi="Calibri" w:cs="Calibri"/>
              </w:rPr>
            </w:pPr>
            <w:r w:rsidRPr="00203191">
              <w:rPr>
                <w:rFonts w:ascii="Calibri" w:hAnsi="Calibri" w:cs="Calibri"/>
              </w:rPr>
              <w:t>Wyszczególnienie badań</w:t>
            </w:r>
          </w:p>
        </w:tc>
        <w:tc>
          <w:tcPr>
            <w:tcW w:w="1620"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tekstost"/>
              <w:tabs>
                <w:tab w:val="left" w:pos="9914"/>
              </w:tabs>
              <w:rPr>
                <w:rFonts w:ascii="Calibri" w:hAnsi="Calibri" w:cs="Calibri"/>
                <w:sz w:val="16"/>
                <w:szCs w:val="16"/>
              </w:rPr>
            </w:pPr>
          </w:p>
          <w:p w:rsidR="00656AC1" w:rsidRPr="00203191" w:rsidRDefault="00656AC1" w:rsidP="00364E4D">
            <w:pPr>
              <w:pStyle w:val="tekstost"/>
              <w:tabs>
                <w:tab w:val="left" w:pos="9914"/>
              </w:tabs>
              <w:rPr>
                <w:rFonts w:ascii="Calibri" w:hAnsi="Calibri" w:cs="Calibri"/>
                <w:sz w:val="16"/>
                <w:szCs w:val="16"/>
              </w:rPr>
            </w:pPr>
            <w:r w:rsidRPr="00203191">
              <w:rPr>
                <w:rFonts w:ascii="Calibri" w:hAnsi="Calibri" w:cs="Calibri"/>
                <w:sz w:val="16"/>
                <w:szCs w:val="16"/>
              </w:rPr>
              <w:t>Minimalna liczba badań na dziennej działce roboczej</w:t>
            </w:r>
          </w:p>
        </w:tc>
        <w:tc>
          <w:tcPr>
            <w:tcW w:w="1931"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tekstost"/>
              <w:tabs>
                <w:tab w:val="left" w:pos="9914"/>
              </w:tabs>
              <w:rPr>
                <w:rFonts w:ascii="Calibri" w:hAnsi="Calibri" w:cs="Calibri"/>
                <w:sz w:val="16"/>
                <w:szCs w:val="16"/>
              </w:rPr>
            </w:pPr>
            <w:r w:rsidRPr="00203191">
              <w:rPr>
                <w:rFonts w:ascii="Calibri" w:hAnsi="Calibri" w:cs="Calibri"/>
                <w:sz w:val="16"/>
                <w:szCs w:val="16"/>
              </w:rPr>
              <w:t>Maksymalna powierzchnia podbudowy lub ulepszonego pod-</w:t>
            </w:r>
          </w:p>
          <w:p w:rsidR="00656AC1" w:rsidRPr="00203191" w:rsidRDefault="00656AC1" w:rsidP="00364E4D">
            <w:pPr>
              <w:pStyle w:val="tekstost"/>
              <w:tabs>
                <w:tab w:val="left" w:pos="9914"/>
              </w:tabs>
              <w:rPr>
                <w:rFonts w:ascii="Calibri" w:hAnsi="Calibri" w:cs="Calibri"/>
                <w:sz w:val="16"/>
                <w:szCs w:val="16"/>
              </w:rPr>
            </w:pPr>
            <w:r w:rsidRPr="00203191">
              <w:rPr>
                <w:rFonts w:ascii="Calibri" w:hAnsi="Calibri" w:cs="Calibri"/>
                <w:sz w:val="16"/>
                <w:szCs w:val="16"/>
              </w:rPr>
              <w:t>łoża przypadająca</w:t>
            </w:r>
          </w:p>
          <w:p w:rsidR="00656AC1" w:rsidRPr="00203191" w:rsidRDefault="00656AC1" w:rsidP="00364E4D">
            <w:pPr>
              <w:pStyle w:val="tekstost"/>
              <w:tabs>
                <w:tab w:val="left" w:pos="9914"/>
              </w:tabs>
              <w:rPr>
                <w:rFonts w:ascii="Calibri" w:hAnsi="Calibri" w:cs="Calibri"/>
                <w:sz w:val="16"/>
                <w:szCs w:val="16"/>
              </w:rPr>
            </w:pPr>
            <w:r w:rsidRPr="00203191">
              <w:rPr>
                <w:rFonts w:ascii="Calibri" w:hAnsi="Calibri" w:cs="Calibri"/>
                <w:sz w:val="16"/>
                <w:szCs w:val="16"/>
              </w:rPr>
              <w:t>na jedno badanie</w:t>
            </w:r>
          </w:p>
        </w:tc>
      </w:tr>
      <w:tr w:rsidR="00656AC1" w:rsidRPr="00203191">
        <w:tc>
          <w:tcPr>
            <w:tcW w:w="496" w:type="dxa"/>
            <w:tcBorders>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1</w:t>
            </w:r>
          </w:p>
        </w:tc>
        <w:tc>
          <w:tcPr>
            <w:tcW w:w="5514" w:type="dxa"/>
            <w:tcBorders>
              <w:left w:val="single" w:sz="6" w:space="0" w:color="auto"/>
              <w:bottom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Uziarnienie mieszanki gruntu lub kruszywa</w:t>
            </w:r>
          </w:p>
        </w:tc>
        <w:tc>
          <w:tcPr>
            <w:tcW w:w="1620" w:type="dxa"/>
            <w:vMerge w:val="restart"/>
            <w:tcBorders>
              <w:lef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2</w:t>
            </w:r>
          </w:p>
        </w:tc>
        <w:tc>
          <w:tcPr>
            <w:tcW w:w="1931" w:type="dxa"/>
            <w:vMerge w:val="restart"/>
            <w:tcBorders>
              <w:left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600 m</w:t>
            </w:r>
            <w:r w:rsidRPr="00203191">
              <w:rPr>
                <w:rFonts w:ascii="Calibri" w:hAnsi="Calibri" w:cs="Calibri"/>
                <w:vertAlign w:val="superscript"/>
              </w:rPr>
              <w:t>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2</w:t>
            </w:r>
          </w:p>
        </w:tc>
        <w:tc>
          <w:tcPr>
            <w:tcW w:w="5514" w:type="dxa"/>
            <w:tcBorders>
              <w:top w:val="single" w:sz="6" w:space="0" w:color="auto"/>
              <w:left w:val="single" w:sz="6" w:space="0" w:color="auto"/>
              <w:bottom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Wilgotność mieszanki gruntu lub kruszywa ze spoiwem</w:t>
            </w:r>
          </w:p>
        </w:tc>
        <w:tc>
          <w:tcPr>
            <w:tcW w:w="1620" w:type="dxa"/>
            <w:vMerge/>
            <w:tcBorders>
              <w:left w:val="single" w:sz="6" w:space="0" w:color="auto"/>
            </w:tcBorders>
          </w:tcPr>
          <w:p w:rsidR="00656AC1" w:rsidRPr="00203191" w:rsidRDefault="00656AC1" w:rsidP="00364E4D">
            <w:pPr>
              <w:pStyle w:val="tekstost"/>
              <w:tabs>
                <w:tab w:val="left" w:pos="9914"/>
              </w:tabs>
              <w:rPr>
                <w:rFonts w:ascii="Calibri" w:hAnsi="Calibri" w:cs="Calibri"/>
              </w:rPr>
            </w:pPr>
          </w:p>
        </w:tc>
        <w:tc>
          <w:tcPr>
            <w:tcW w:w="1931" w:type="dxa"/>
            <w:vMerge/>
            <w:tcBorders>
              <w:left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3</w:t>
            </w:r>
          </w:p>
        </w:tc>
        <w:tc>
          <w:tcPr>
            <w:tcW w:w="5514" w:type="dxa"/>
            <w:tcBorders>
              <w:top w:val="single" w:sz="6" w:space="0" w:color="auto"/>
              <w:left w:val="single" w:sz="6" w:space="0" w:color="auto"/>
              <w:bottom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Zagęszczenie warstwy</w:t>
            </w:r>
          </w:p>
        </w:tc>
        <w:tc>
          <w:tcPr>
            <w:tcW w:w="1620" w:type="dxa"/>
            <w:vMerge/>
            <w:tcBorders>
              <w:left w:val="single" w:sz="6" w:space="0" w:color="auto"/>
              <w:bottom w:val="single" w:sz="6" w:space="0" w:color="auto"/>
            </w:tcBorders>
          </w:tcPr>
          <w:p w:rsidR="00656AC1" w:rsidRPr="00203191" w:rsidRDefault="00656AC1" w:rsidP="00364E4D">
            <w:pPr>
              <w:pStyle w:val="tekstost"/>
              <w:tabs>
                <w:tab w:val="left" w:pos="9914"/>
              </w:tabs>
              <w:rPr>
                <w:rFonts w:ascii="Calibri" w:hAnsi="Calibri" w:cs="Calibri"/>
              </w:rPr>
            </w:pPr>
          </w:p>
        </w:tc>
        <w:tc>
          <w:tcPr>
            <w:tcW w:w="1931" w:type="dxa"/>
            <w:vMerge/>
            <w:tcBorders>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p>
        </w:tc>
      </w:tr>
      <w:tr w:rsidR="00656AC1" w:rsidRPr="00203191">
        <w:tc>
          <w:tcPr>
            <w:tcW w:w="496" w:type="dxa"/>
            <w:tcBorders>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4</w:t>
            </w:r>
          </w:p>
        </w:tc>
        <w:tc>
          <w:tcPr>
            <w:tcW w:w="5514" w:type="dxa"/>
            <w:tcBorders>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Grubość warstwy podbudowy lub ulepszonego podłoża</w:t>
            </w:r>
          </w:p>
        </w:tc>
        <w:tc>
          <w:tcPr>
            <w:tcW w:w="1620" w:type="dxa"/>
            <w:tcBorders>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3</w:t>
            </w:r>
          </w:p>
        </w:tc>
        <w:tc>
          <w:tcPr>
            <w:tcW w:w="1931" w:type="dxa"/>
            <w:tcBorders>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400 m</w:t>
            </w:r>
            <w:r w:rsidRPr="00203191">
              <w:rPr>
                <w:rFonts w:ascii="Calibri" w:hAnsi="Calibri" w:cs="Calibri"/>
                <w:vertAlign w:val="superscript"/>
              </w:rPr>
              <w:t>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5</w:t>
            </w:r>
          </w:p>
        </w:tc>
        <w:tc>
          <w:tcPr>
            <w:tcW w:w="551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Wytrzymałość na ściskanie 7 i 28-dniowa przy stabilizacji cementem               </w:t>
            </w:r>
          </w:p>
          <w:p w:rsidR="00656AC1" w:rsidRPr="00203191" w:rsidRDefault="00656AC1" w:rsidP="00364E4D">
            <w:pPr>
              <w:pStyle w:val="tekstost"/>
              <w:tabs>
                <w:tab w:val="left" w:pos="9914"/>
              </w:tabs>
              <w:ind w:left="-283"/>
              <w:rPr>
                <w:rFonts w:ascii="Calibri" w:hAnsi="Calibri" w:cs="Calibri"/>
              </w:rPr>
            </w:pPr>
          </w:p>
        </w:tc>
        <w:tc>
          <w:tcPr>
            <w:tcW w:w="162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tabs>
                <w:tab w:val="left" w:pos="9914"/>
              </w:tabs>
              <w:rPr>
                <w:rFonts w:ascii="Calibri" w:hAnsi="Calibri" w:cs="Calibri"/>
              </w:rPr>
            </w:pPr>
            <w:r w:rsidRPr="00203191">
              <w:rPr>
                <w:rFonts w:ascii="Calibri" w:hAnsi="Calibri" w:cs="Calibri"/>
              </w:rPr>
              <w:t>6 próbek</w:t>
            </w:r>
          </w:p>
          <w:p w:rsidR="00656AC1" w:rsidRPr="00203191" w:rsidRDefault="00656AC1" w:rsidP="00364E4D">
            <w:pPr>
              <w:pStyle w:val="tekstost"/>
              <w:numPr>
                <w:ilvl w:val="12"/>
                <w:numId w:val="0"/>
              </w:numPr>
              <w:tabs>
                <w:tab w:val="left" w:pos="9914"/>
              </w:tabs>
              <w:rPr>
                <w:rFonts w:ascii="Calibri" w:hAnsi="Calibri" w:cs="Calibri"/>
              </w:rPr>
            </w:pPr>
          </w:p>
        </w:tc>
        <w:tc>
          <w:tcPr>
            <w:tcW w:w="1931" w:type="dxa"/>
            <w:tcBorders>
              <w:top w:val="single" w:sz="6" w:space="0" w:color="auto"/>
              <w:bottom w:val="single" w:sz="6" w:space="0" w:color="auto"/>
              <w:right w:val="single" w:sz="6" w:space="0" w:color="auto"/>
            </w:tcBorders>
          </w:tcPr>
          <w:p w:rsidR="00656AC1" w:rsidRPr="00203191" w:rsidRDefault="00656AC1" w:rsidP="00364E4D">
            <w:pPr>
              <w:pStyle w:val="tekstost"/>
              <w:numPr>
                <w:ilvl w:val="12"/>
                <w:numId w:val="0"/>
              </w:numPr>
              <w:tabs>
                <w:tab w:val="left" w:pos="9914"/>
              </w:tabs>
              <w:rPr>
                <w:rFonts w:ascii="Calibri" w:hAnsi="Calibri" w:cs="Calibri"/>
              </w:rPr>
            </w:pPr>
            <w:r w:rsidRPr="00203191">
              <w:rPr>
                <w:rFonts w:ascii="Calibri" w:hAnsi="Calibri" w:cs="Calibri"/>
              </w:rPr>
              <w:t>400 m</w:t>
            </w:r>
            <w:r w:rsidRPr="00203191">
              <w:rPr>
                <w:rFonts w:ascii="Calibri" w:hAnsi="Calibri" w:cs="Calibri"/>
                <w:vertAlign w:val="superscript"/>
              </w:rPr>
              <w:t>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tabs>
                <w:tab w:val="left" w:pos="9914"/>
              </w:tabs>
              <w:rPr>
                <w:rFonts w:ascii="Calibri" w:hAnsi="Calibri" w:cs="Calibri"/>
              </w:rPr>
            </w:pPr>
            <w:r w:rsidRPr="00203191">
              <w:rPr>
                <w:rFonts w:ascii="Calibri" w:hAnsi="Calibri" w:cs="Calibri"/>
              </w:rPr>
              <w:t>6</w:t>
            </w:r>
          </w:p>
        </w:tc>
        <w:tc>
          <w:tcPr>
            <w:tcW w:w="551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tabs>
                <w:tab w:val="left" w:pos="9914"/>
              </w:tabs>
              <w:rPr>
                <w:rFonts w:ascii="Calibri" w:hAnsi="Calibri" w:cs="Calibri"/>
              </w:rPr>
            </w:pPr>
            <w:r w:rsidRPr="00203191">
              <w:rPr>
                <w:rFonts w:ascii="Calibri" w:hAnsi="Calibri" w:cs="Calibri"/>
              </w:rPr>
              <w:t>Badanie cementu,</w:t>
            </w:r>
          </w:p>
          <w:p w:rsidR="00656AC1" w:rsidRPr="00203191" w:rsidRDefault="00656AC1" w:rsidP="00954A11">
            <w:pPr>
              <w:pStyle w:val="tekstost"/>
              <w:numPr>
                <w:ilvl w:val="0"/>
                <w:numId w:val="1"/>
              </w:numPr>
              <w:tabs>
                <w:tab w:val="left" w:pos="9914"/>
              </w:tabs>
              <w:ind w:left="0"/>
              <w:rPr>
                <w:rFonts w:ascii="Calibri" w:hAnsi="Calibri" w:cs="Calibri"/>
              </w:rPr>
            </w:pPr>
          </w:p>
        </w:tc>
        <w:tc>
          <w:tcPr>
            <w:tcW w:w="3551"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przy projektowaniu składu mieszanki i przy każdej zmianie</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7</w:t>
            </w:r>
          </w:p>
        </w:tc>
        <w:tc>
          <w:tcPr>
            <w:tcW w:w="551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Badanie wody</w:t>
            </w:r>
          </w:p>
        </w:tc>
        <w:tc>
          <w:tcPr>
            <w:tcW w:w="3551"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dla każdego wątpliwego źródła</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8</w:t>
            </w:r>
          </w:p>
        </w:tc>
        <w:tc>
          <w:tcPr>
            <w:tcW w:w="551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Badanie właściwości gruntu lub kruszywa</w:t>
            </w:r>
          </w:p>
        </w:tc>
        <w:tc>
          <w:tcPr>
            <w:tcW w:w="3551"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tabs>
                <w:tab w:val="left" w:pos="9914"/>
              </w:tabs>
              <w:rPr>
                <w:rFonts w:ascii="Calibri" w:hAnsi="Calibri" w:cs="Calibri"/>
              </w:rPr>
            </w:pPr>
            <w:r w:rsidRPr="00203191">
              <w:rPr>
                <w:rFonts w:ascii="Calibri" w:hAnsi="Calibri" w:cs="Calibri"/>
              </w:rPr>
              <w:t>dla każdej partii i przy każdej zmianie rodzaju gruntu lub kruszywa</w:t>
            </w:r>
          </w:p>
        </w:tc>
      </w:tr>
    </w:tbl>
    <w:p w:rsidR="00656AC1" w:rsidRPr="00203191" w:rsidRDefault="00656AC1" w:rsidP="00364E4D">
      <w:pPr>
        <w:pStyle w:val="tekstost"/>
        <w:tabs>
          <w:tab w:val="left" w:pos="9914"/>
        </w:tabs>
        <w:rPr>
          <w:rFonts w:ascii="Calibri" w:hAnsi="Calibri" w:cs="Calibri"/>
          <w:b/>
          <w:bCs/>
        </w:rPr>
      </w:pP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6.3.2. Uziarnienie gruntu lub kruszywa</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Próbki do badań należy pobierać z mieszarek lub z podłoża przed podaniem spoiwa. Uziarnienie kruszywa lub gruntu powinno być zgodne z wymaganiami podanymi w pkt 2 niniejszej </w:t>
      </w:r>
      <w:r w:rsidR="005B48CA">
        <w:rPr>
          <w:rFonts w:ascii="Calibri" w:hAnsi="Calibri" w:cs="Calibri"/>
        </w:rPr>
        <w:t>STWiORB</w:t>
      </w:r>
      <w:r w:rsidRPr="00203191">
        <w:rPr>
          <w:rFonts w:ascii="Calibri" w:hAnsi="Calibri" w:cs="Calibri"/>
        </w:rPr>
        <w:t>.</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6.3.3. Wilgotność mieszanki gruntu lub kruszywa ze spoiwami</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Wilgotność mieszanki powinna być równa wilgotności optymalnej, określonej w projekcie składu tej mieszanki, z tolerancją ±1% jej wartości.</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6.3.4. Zagęszczenie warstwy</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Mieszanka powinna być zagęszczana do osiągnięcia wskaźnika zagęszczenia nie mniejszego od 1,00 oznaczonego zgodnie z BN-77/8931-12. Dopuszcza się oznaczenie zagęszczenia dowolną metodą z BN-77/8931-12 .</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Dla warstw leżących poniżej 0,2 m badanie zagęszczenia przeprowadzić należy poprzez oznaczenie wskaźnika odkształcenia oznaczonego wg PN-02205:1998. Grunt przy pomiarze zagęszczenia metodą obciążenia płytą VSS uznaje się za należycie zagęszczony, gdy wskaźnik odkształcenia nie przekracza 2,2</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6.3.7. Grubość warstwy ulepszonego podłoża</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Grubość warstwy należy mierzyć bezpośrednio po jej zagęszczeniu w odległości co najmniej 0,5 m od krawędzi. Grubość warstwy nie może różnić się od projektowanej o więcej niż </w:t>
      </w:r>
      <w:r>
        <w:rPr>
          <w:rFonts w:ascii="Calibri" w:hAnsi="Calibri" w:cs="Calibri"/>
        </w:rPr>
        <w:t>±</w:t>
      </w:r>
      <w:r w:rsidRPr="00203191">
        <w:rPr>
          <w:rFonts w:ascii="Calibri" w:hAnsi="Calibri" w:cs="Calibri"/>
        </w:rPr>
        <w:t xml:space="preserve"> 1 cm. </w:t>
      </w:r>
    </w:p>
    <w:p w:rsidR="00656AC1" w:rsidRPr="00203191" w:rsidRDefault="00F44C88" w:rsidP="00364E4D">
      <w:pPr>
        <w:pStyle w:val="tekstost"/>
        <w:tabs>
          <w:tab w:val="left" w:pos="9914"/>
        </w:tabs>
        <w:rPr>
          <w:rFonts w:ascii="Calibri" w:hAnsi="Calibri" w:cs="Calibri"/>
        </w:rPr>
      </w:pPr>
      <w:r>
        <w:rPr>
          <w:rFonts w:ascii="Calibri" w:hAnsi="Calibri" w:cs="Calibri"/>
        </w:rPr>
        <w:t>Należy zaprojektować warstwy o grubości minimalnej</w:t>
      </w:r>
      <w:r w:rsidR="00656AC1" w:rsidRPr="00203191">
        <w:rPr>
          <w:rFonts w:ascii="Calibri" w:hAnsi="Calibri" w:cs="Calibri"/>
        </w:rPr>
        <w:t>:</w:t>
      </w:r>
    </w:p>
    <w:p w:rsidR="00656AC1" w:rsidRPr="00203191" w:rsidRDefault="00656AC1" w:rsidP="00973D29">
      <w:pPr>
        <w:pStyle w:val="tekstost"/>
        <w:numPr>
          <w:ilvl w:val="0"/>
          <w:numId w:val="28"/>
        </w:numPr>
        <w:tabs>
          <w:tab w:val="left" w:pos="9914"/>
        </w:tabs>
        <w:rPr>
          <w:rFonts w:ascii="Calibri" w:hAnsi="Calibri" w:cs="Calibri"/>
        </w:rPr>
      </w:pPr>
      <w:r w:rsidRPr="00203191">
        <w:rPr>
          <w:rFonts w:ascii="Calibri" w:hAnsi="Calibri" w:cs="Calibri"/>
        </w:rPr>
        <w:t>Dla jezdni – 25 cm</w:t>
      </w:r>
    </w:p>
    <w:p w:rsidR="00656AC1" w:rsidRDefault="00656AC1" w:rsidP="00973D29">
      <w:pPr>
        <w:pStyle w:val="tekstost"/>
        <w:numPr>
          <w:ilvl w:val="0"/>
          <w:numId w:val="28"/>
        </w:numPr>
        <w:tabs>
          <w:tab w:val="left" w:pos="9914"/>
        </w:tabs>
        <w:rPr>
          <w:rFonts w:ascii="Calibri" w:hAnsi="Calibri" w:cs="Calibri"/>
        </w:rPr>
      </w:pPr>
      <w:r w:rsidRPr="00203191">
        <w:rPr>
          <w:rFonts w:ascii="Calibri" w:hAnsi="Calibri" w:cs="Calibri"/>
        </w:rPr>
        <w:t>Dla chodnika – 10 cm</w:t>
      </w:r>
      <w:r w:rsidR="00F44C88">
        <w:rPr>
          <w:rFonts w:ascii="Calibri" w:hAnsi="Calibri" w:cs="Calibri"/>
        </w:rPr>
        <w:t>,</w:t>
      </w:r>
    </w:p>
    <w:p w:rsidR="00F44C88" w:rsidRPr="00203191" w:rsidRDefault="00F44C88" w:rsidP="00973D29">
      <w:pPr>
        <w:pStyle w:val="tekstost"/>
        <w:numPr>
          <w:ilvl w:val="0"/>
          <w:numId w:val="28"/>
        </w:numPr>
        <w:tabs>
          <w:tab w:val="left" w:pos="9914"/>
        </w:tabs>
        <w:rPr>
          <w:rFonts w:ascii="Calibri" w:hAnsi="Calibri" w:cs="Calibri"/>
        </w:rPr>
      </w:pPr>
      <w:r>
        <w:rPr>
          <w:rFonts w:ascii="Calibri" w:hAnsi="Calibri" w:cs="Calibri"/>
        </w:rPr>
        <w:t>Dla ścieżki rowerowej – 15 cm</w:t>
      </w:r>
    </w:p>
    <w:p w:rsidR="00656AC1" w:rsidRPr="00203191" w:rsidRDefault="00656AC1" w:rsidP="00973D29">
      <w:pPr>
        <w:pStyle w:val="tekstost"/>
        <w:numPr>
          <w:ilvl w:val="0"/>
          <w:numId w:val="28"/>
        </w:numPr>
        <w:tabs>
          <w:tab w:val="left" w:pos="9914"/>
        </w:tabs>
        <w:rPr>
          <w:rFonts w:ascii="Calibri" w:hAnsi="Calibri" w:cs="Calibri"/>
        </w:rPr>
      </w:pPr>
      <w:r w:rsidRPr="00203191">
        <w:rPr>
          <w:rFonts w:ascii="Calibri" w:hAnsi="Calibri" w:cs="Calibri"/>
        </w:rPr>
        <w:t xml:space="preserve">Dla </w:t>
      </w:r>
      <w:r w:rsidR="00F44C88">
        <w:rPr>
          <w:rFonts w:ascii="Calibri" w:hAnsi="Calibri" w:cs="Calibri"/>
        </w:rPr>
        <w:t>zjazdów</w:t>
      </w:r>
      <w:r w:rsidRPr="00203191">
        <w:rPr>
          <w:rFonts w:ascii="Calibri" w:hAnsi="Calibri" w:cs="Calibri"/>
        </w:rPr>
        <w:t xml:space="preserve"> – </w:t>
      </w:r>
      <w:r w:rsidR="00F44C88">
        <w:rPr>
          <w:rFonts w:ascii="Calibri" w:hAnsi="Calibri" w:cs="Calibri"/>
        </w:rPr>
        <w:t>1</w:t>
      </w:r>
      <w:r w:rsidRPr="00203191">
        <w:rPr>
          <w:rFonts w:ascii="Calibri" w:hAnsi="Calibri" w:cs="Calibri"/>
        </w:rPr>
        <w:t>5 cm</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6.3.8. Wytrzymałość na ściskanie</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Wytrzymałość na ściskanie określa się na próbkach walcowych o średnicy i wysokości 8 cm. Próbki do badań należy pobierać z miejsc wybranych losowo, w warstwie rozłożonej przed jej zagęszczeniem. Próbki w ilości 6 sztuk należy formować i przechowywać zgodnie z normami dotyczącymi poszczególnych rodzajów stabilizacji spoiwami. Trzy próbki należy badać po 7 lub 14 dniach oraz po 28 dniach przechowywania. Wyniki wytrzymałości na ściskanie powinny być zgodne z wymaganiami podanymi w pkt 2 niniejszej </w:t>
      </w:r>
      <w:r w:rsidR="005B48CA">
        <w:rPr>
          <w:rFonts w:ascii="Calibri" w:hAnsi="Calibri" w:cs="Calibri"/>
        </w:rPr>
        <w:t>STWiORB</w:t>
      </w:r>
      <w:r w:rsidRPr="00203191">
        <w:rPr>
          <w:rFonts w:ascii="Calibri" w:hAnsi="Calibri" w:cs="Calibri"/>
        </w:rPr>
        <w:t xml:space="preserve"> </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6.3.9. Mrozoodporność</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Wskaźnik mrozoodporności określany przez spadek wytrzymałości na ściskanie próbek poddawanych cyklom zamrażania i odmrażania powinien być zgodny z wymaganiami podanymi w pkt 2 niniejszej </w:t>
      </w:r>
      <w:r w:rsidR="005B48CA">
        <w:rPr>
          <w:rFonts w:ascii="Calibri" w:hAnsi="Calibri" w:cs="Calibri"/>
        </w:rPr>
        <w:t>STWiORB</w:t>
      </w:r>
      <w:r w:rsidRPr="00203191">
        <w:rPr>
          <w:rFonts w:ascii="Calibri" w:hAnsi="Calibri" w:cs="Calibri"/>
        </w:rPr>
        <w:t>.</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6.3.10. Badanie spoiwa</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lastRenderedPageBreak/>
        <w:t xml:space="preserve">Dla każdej dostawy cementu Wykonawca powinien określić właściwości podane w pkt 2 niniejszej </w:t>
      </w:r>
      <w:r w:rsidR="005B48CA">
        <w:rPr>
          <w:rFonts w:ascii="Calibri" w:hAnsi="Calibri" w:cs="Calibri"/>
        </w:rPr>
        <w:t>STWiORB</w:t>
      </w:r>
      <w:r w:rsidRPr="00203191">
        <w:rPr>
          <w:rFonts w:ascii="Calibri" w:hAnsi="Calibri" w:cs="Calibri"/>
        </w:rPr>
        <w:t xml:space="preserve"> </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6.3.11. Badanie wody</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W przypadkach wątpliwych należy przeprowadzić badania wody wg PN-EN-1008:2004 .</w:t>
      </w:r>
    </w:p>
    <w:p w:rsidR="00656AC1" w:rsidRPr="00203191" w:rsidRDefault="00656AC1" w:rsidP="00364E4D">
      <w:pPr>
        <w:pStyle w:val="tekstost"/>
        <w:tabs>
          <w:tab w:val="left" w:pos="9914"/>
        </w:tabs>
        <w:rPr>
          <w:rFonts w:ascii="Calibri" w:hAnsi="Calibri" w:cs="Calibri"/>
          <w:b/>
          <w:bCs/>
          <w:i/>
          <w:iCs/>
        </w:rPr>
      </w:pPr>
      <w:r w:rsidRPr="00203191">
        <w:rPr>
          <w:rFonts w:ascii="Calibri" w:hAnsi="Calibri" w:cs="Calibri"/>
          <w:b/>
          <w:bCs/>
          <w:i/>
          <w:iCs/>
        </w:rPr>
        <w:t>6.3.12. Badanie właściwości gruntu lub kruszywa</w:t>
      </w:r>
    </w:p>
    <w:p w:rsidR="00656AC1" w:rsidRPr="00203191" w:rsidRDefault="00656AC1" w:rsidP="00364E4D">
      <w:pPr>
        <w:pStyle w:val="tekstost"/>
        <w:tabs>
          <w:tab w:val="left" w:pos="9914"/>
        </w:tabs>
        <w:rPr>
          <w:rFonts w:ascii="Calibri" w:hAnsi="Calibri" w:cs="Calibri"/>
        </w:rPr>
      </w:pPr>
      <w:r w:rsidRPr="00203191">
        <w:rPr>
          <w:rFonts w:ascii="Calibri" w:hAnsi="Calibri" w:cs="Calibri"/>
        </w:rPr>
        <w:t xml:space="preserve">Właściwości gruntu lub kruszywa należy badać przy każdej zmianie rodzaju gruntu lub kruszywa. Właściwości powinny być zgodne z wymaganiami podanymi w pkt 2 niniejszej </w:t>
      </w:r>
      <w:r w:rsidR="005B48CA">
        <w:rPr>
          <w:rFonts w:ascii="Calibri" w:hAnsi="Calibri" w:cs="Calibri"/>
        </w:rPr>
        <w:t>STWiORB</w:t>
      </w:r>
      <w:r w:rsidRPr="00203191">
        <w:rPr>
          <w:rFonts w:ascii="Calibri" w:hAnsi="Calibri" w:cs="Calibri"/>
        </w:rPr>
        <w: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6.4. Wymagania dotyczące cech geometrycznych i wytrzymałościowych ulepszonego podłoża stabilizowanego cementem</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6.4.1. Częstotliwość oraz zakres badań i  pomiarów</w:t>
      </w:r>
    </w:p>
    <w:p w:rsidR="00656AC1" w:rsidRPr="00203191" w:rsidRDefault="00656AC1" w:rsidP="00364E4D">
      <w:pPr>
        <w:tabs>
          <w:tab w:val="left" w:pos="9914"/>
        </w:tabs>
        <w:rPr>
          <w:rFonts w:ascii="Calibri" w:hAnsi="Calibri" w:cs="Calibri"/>
        </w:rPr>
      </w:pPr>
      <w:r w:rsidRPr="00203191">
        <w:rPr>
          <w:rFonts w:ascii="Calibri" w:hAnsi="Calibri" w:cs="Calibri"/>
        </w:rPr>
        <w:t xml:space="preserve">Częstotliwość oraz zakres badań i pomiarów dotyczących cech geometrycznych  podaje  tablica </w:t>
      </w:r>
      <w:r w:rsidR="00AF470B">
        <w:rPr>
          <w:rFonts w:ascii="Calibri" w:hAnsi="Calibri" w:cs="Calibri"/>
        </w:rPr>
        <w:t>6</w:t>
      </w:r>
      <w:r w:rsidRPr="00203191">
        <w:rPr>
          <w:rFonts w:ascii="Calibri" w:hAnsi="Calibri" w:cs="Calibri"/>
        </w:rPr>
        <w:t>.</w:t>
      </w:r>
    </w:p>
    <w:p w:rsidR="00656AC1" w:rsidRPr="00203191" w:rsidRDefault="00656AC1" w:rsidP="00364E4D">
      <w:pPr>
        <w:tabs>
          <w:tab w:val="left" w:pos="9914"/>
        </w:tabs>
        <w:rPr>
          <w:rFonts w:ascii="Calibri" w:hAnsi="Calibri" w:cs="Calibri"/>
        </w:rPr>
      </w:pPr>
      <w:r w:rsidRPr="00203191">
        <w:rPr>
          <w:rFonts w:ascii="Calibri" w:hAnsi="Calibri" w:cs="Calibri"/>
        </w:rPr>
        <w:t xml:space="preserve">Tablica </w:t>
      </w:r>
      <w:r w:rsidR="00AF470B">
        <w:rPr>
          <w:rFonts w:ascii="Calibri" w:hAnsi="Calibri" w:cs="Calibri"/>
        </w:rPr>
        <w:t>6</w:t>
      </w:r>
      <w:r w:rsidRPr="00203191">
        <w:rPr>
          <w:rFonts w:ascii="Calibri" w:hAnsi="Calibri" w:cs="Calibri"/>
        </w:rPr>
        <w:t>. Częstotliwość oraz zakres badań i  pomiarów wykonanego ulepszonego podłoża stabilizowanego cementem</w:t>
      </w:r>
    </w:p>
    <w:p w:rsidR="00656AC1" w:rsidRPr="00203191" w:rsidRDefault="00656AC1" w:rsidP="00364E4D">
      <w:pPr>
        <w:tabs>
          <w:tab w:val="left" w:pos="9914"/>
        </w:tabs>
        <w:rPr>
          <w:rFonts w:ascii="Calibri" w:hAnsi="Calibri" w:cs="Calibri"/>
        </w:rPr>
      </w:pPr>
    </w:p>
    <w:tbl>
      <w:tblPr>
        <w:tblW w:w="0" w:type="auto"/>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90"/>
        <w:gridCol w:w="4320"/>
        <w:gridCol w:w="4500"/>
      </w:tblGrid>
      <w:tr w:rsidR="00656AC1" w:rsidRPr="00203191">
        <w:tc>
          <w:tcPr>
            <w:tcW w:w="790" w:type="dxa"/>
            <w:tcBorders>
              <w:bottom w:val="double" w:sz="6" w:space="0" w:color="auto"/>
            </w:tcBorders>
          </w:tcPr>
          <w:p w:rsidR="00656AC1" w:rsidRPr="00203191" w:rsidRDefault="00656AC1" w:rsidP="00364E4D">
            <w:pPr>
              <w:tabs>
                <w:tab w:val="left" w:pos="9914"/>
              </w:tabs>
              <w:rPr>
                <w:rFonts w:ascii="Calibri" w:hAnsi="Calibri" w:cs="Calibri"/>
                <w:b/>
                <w:bCs/>
              </w:rPr>
            </w:pPr>
            <w:r w:rsidRPr="00203191">
              <w:rPr>
                <w:rFonts w:ascii="Calibri" w:hAnsi="Calibri" w:cs="Calibri"/>
              </w:rPr>
              <w:t>Lp.</w:t>
            </w:r>
          </w:p>
        </w:tc>
        <w:tc>
          <w:tcPr>
            <w:tcW w:w="4320" w:type="dxa"/>
            <w:tcBorders>
              <w:bottom w:val="double" w:sz="6" w:space="0" w:color="auto"/>
            </w:tcBorders>
          </w:tcPr>
          <w:p w:rsidR="00656AC1" w:rsidRPr="00203191" w:rsidRDefault="00656AC1" w:rsidP="00364E4D">
            <w:pPr>
              <w:tabs>
                <w:tab w:val="left" w:pos="9914"/>
              </w:tabs>
              <w:rPr>
                <w:rFonts w:ascii="Calibri" w:hAnsi="Calibri" w:cs="Calibri"/>
                <w:b/>
                <w:bCs/>
              </w:rPr>
            </w:pPr>
            <w:r w:rsidRPr="00203191">
              <w:rPr>
                <w:rFonts w:ascii="Calibri" w:hAnsi="Calibri" w:cs="Calibri"/>
              </w:rPr>
              <w:t>Wyszczególnienie badań i pomiarów</w:t>
            </w:r>
          </w:p>
        </w:tc>
        <w:tc>
          <w:tcPr>
            <w:tcW w:w="4500" w:type="dxa"/>
            <w:tcBorders>
              <w:bottom w:val="double" w:sz="6" w:space="0" w:color="auto"/>
            </w:tcBorders>
          </w:tcPr>
          <w:p w:rsidR="00656AC1" w:rsidRPr="00203191" w:rsidRDefault="00656AC1" w:rsidP="00364E4D">
            <w:pPr>
              <w:tabs>
                <w:tab w:val="left" w:pos="9914"/>
              </w:tabs>
              <w:rPr>
                <w:rFonts w:ascii="Calibri" w:hAnsi="Calibri" w:cs="Calibri"/>
              </w:rPr>
            </w:pPr>
            <w:r w:rsidRPr="00203191">
              <w:rPr>
                <w:rFonts w:ascii="Calibri" w:hAnsi="Calibri" w:cs="Calibri"/>
              </w:rPr>
              <w:t xml:space="preserve">Minimalna częstotliwość </w:t>
            </w:r>
          </w:p>
          <w:p w:rsidR="00656AC1" w:rsidRPr="00203191" w:rsidRDefault="00656AC1" w:rsidP="00364E4D">
            <w:pPr>
              <w:tabs>
                <w:tab w:val="left" w:pos="9914"/>
              </w:tabs>
              <w:rPr>
                <w:rFonts w:ascii="Calibri" w:hAnsi="Calibri" w:cs="Calibri"/>
                <w:b/>
                <w:bCs/>
              </w:rPr>
            </w:pPr>
            <w:r w:rsidRPr="00203191">
              <w:rPr>
                <w:rFonts w:ascii="Calibri" w:hAnsi="Calibri" w:cs="Calibri"/>
              </w:rPr>
              <w:t>badań i  pomiarów</w:t>
            </w:r>
          </w:p>
        </w:tc>
      </w:tr>
      <w:tr w:rsidR="00656AC1" w:rsidRPr="00203191">
        <w:tc>
          <w:tcPr>
            <w:tcW w:w="790" w:type="dxa"/>
            <w:tcBorders>
              <w:top w:val="nil"/>
            </w:tcBorders>
          </w:tcPr>
          <w:p w:rsidR="00656AC1" w:rsidRPr="00203191" w:rsidRDefault="00656AC1" w:rsidP="00364E4D">
            <w:pPr>
              <w:tabs>
                <w:tab w:val="left" w:pos="9914"/>
              </w:tabs>
              <w:rPr>
                <w:rFonts w:ascii="Calibri" w:hAnsi="Calibri" w:cs="Calibri"/>
                <w:b/>
                <w:bCs/>
              </w:rPr>
            </w:pPr>
            <w:r w:rsidRPr="00203191">
              <w:rPr>
                <w:rFonts w:ascii="Calibri" w:hAnsi="Calibri" w:cs="Calibri"/>
              </w:rPr>
              <w:t>1</w:t>
            </w:r>
          </w:p>
        </w:tc>
        <w:tc>
          <w:tcPr>
            <w:tcW w:w="4320" w:type="dxa"/>
            <w:tcBorders>
              <w:top w:val="nil"/>
            </w:tcBorders>
          </w:tcPr>
          <w:p w:rsidR="00656AC1" w:rsidRPr="00203191" w:rsidRDefault="00656AC1" w:rsidP="00364E4D">
            <w:pPr>
              <w:tabs>
                <w:tab w:val="left" w:pos="9914"/>
              </w:tabs>
              <w:rPr>
                <w:rFonts w:ascii="Calibri" w:hAnsi="Calibri" w:cs="Calibri"/>
                <w:b/>
                <w:bCs/>
              </w:rPr>
            </w:pPr>
            <w:r w:rsidRPr="00203191">
              <w:rPr>
                <w:rFonts w:ascii="Calibri" w:hAnsi="Calibri" w:cs="Calibri"/>
              </w:rPr>
              <w:t xml:space="preserve">Szerokość </w:t>
            </w:r>
          </w:p>
        </w:tc>
        <w:tc>
          <w:tcPr>
            <w:tcW w:w="4500" w:type="dxa"/>
            <w:tcBorders>
              <w:top w:val="nil"/>
            </w:tcBorders>
          </w:tcPr>
          <w:p w:rsidR="00656AC1" w:rsidRPr="00203191" w:rsidRDefault="00656AC1" w:rsidP="00364E4D">
            <w:pPr>
              <w:tabs>
                <w:tab w:val="left" w:pos="9914"/>
              </w:tabs>
              <w:rPr>
                <w:rFonts w:ascii="Calibri" w:hAnsi="Calibri" w:cs="Calibri"/>
                <w:b/>
                <w:bCs/>
              </w:rPr>
            </w:pPr>
            <w:r w:rsidRPr="00203191">
              <w:rPr>
                <w:rFonts w:ascii="Calibri" w:hAnsi="Calibri" w:cs="Calibri"/>
              </w:rPr>
              <w:t>10 razy na 1 km</w:t>
            </w:r>
          </w:p>
        </w:tc>
      </w:tr>
      <w:tr w:rsidR="00656AC1" w:rsidRPr="00203191">
        <w:tc>
          <w:tcPr>
            <w:tcW w:w="790" w:type="dxa"/>
          </w:tcPr>
          <w:p w:rsidR="00656AC1" w:rsidRPr="00203191" w:rsidRDefault="00656AC1" w:rsidP="00364E4D">
            <w:pPr>
              <w:tabs>
                <w:tab w:val="left" w:pos="9914"/>
              </w:tabs>
              <w:rPr>
                <w:rFonts w:ascii="Calibri" w:hAnsi="Calibri" w:cs="Calibri"/>
                <w:b/>
                <w:bCs/>
              </w:rPr>
            </w:pPr>
            <w:r w:rsidRPr="00203191">
              <w:rPr>
                <w:rFonts w:ascii="Calibri" w:hAnsi="Calibri" w:cs="Calibri"/>
              </w:rPr>
              <w:t>2</w:t>
            </w:r>
          </w:p>
        </w:tc>
        <w:tc>
          <w:tcPr>
            <w:tcW w:w="4320" w:type="dxa"/>
          </w:tcPr>
          <w:p w:rsidR="00656AC1" w:rsidRPr="00203191" w:rsidRDefault="00656AC1" w:rsidP="00364E4D">
            <w:pPr>
              <w:tabs>
                <w:tab w:val="left" w:pos="9914"/>
              </w:tabs>
              <w:rPr>
                <w:rFonts w:ascii="Calibri" w:hAnsi="Calibri" w:cs="Calibri"/>
                <w:b/>
                <w:bCs/>
              </w:rPr>
            </w:pPr>
            <w:r w:rsidRPr="00203191">
              <w:rPr>
                <w:rFonts w:ascii="Calibri" w:hAnsi="Calibri" w:cs="Calibri"/>
              </w:rPr>
              <w:t>Równość podłużna</w:t>
            </w:r>
          </w:p>
        </w:tc>
        <w:tc>
          <w:tcPr>
            <w:tcW w:w="4500" w:type="dxa"/>
          </w:tcPr>
          <w:p w:rsidR="00656AC1" w:rsidRPr="00203191" w:rsidRDefault="00656AC1" w:rsidP="00364E4D">
            <w:pPr>
              <w:tabs>
                <w:tab w:val="left" w:pos="9914"/>
              </w:tabs>
              <w:rPr>
                <w:rFonts w:ascii="Calibri" w:hAnsi="Calibri" w:cs="Calibri"/>
                <w:b/>
                <w:bCs/>
              </w:rPr>
            </w:pPr>
            <w:r w:rsidRPr="00203191">
              <w:rPr>
                <w:rFonts w:ascii="Calibri" w:hAnsi="Calibri" w:cs="Calibri"/>
              </w:rPr>
              <w:t>co 20 m łatą na każdym pasie ruchu</w:t>
            </w:r>
          </w:p>
        </w:tc>
      </w:tr>
      <w:tr w:rsidR="00656AC1" w:rsidRPr="00203191">
        <w:tc>
          <w:tcPr>
            <w:tcW w:w="790" w:type="dxa"/>
          </w:tcPr>
          <w:p w:rsidR="00656AC1" w:rsidRPr="00203191" w:rsidRDefault="00656AC1" w:rsidP="00364E4D">
            <w:pPr>
              <w:tabs>
                <w:tab w:val="left" w:pos="9914"/>
              </w:tabs>
              <w:rPr>
                <w:rFonts w:ascii="Calibri" w:hAnsi="Calibri" w:cs="Calibri"/>
                <w:b/>
                <w:bCs/>
              </w:rPr>
            </w:pPr>
            <w:r w:rsidRPr="00203191">
              <w:rPr>
                <w:rFonts w:ascii="Calibri" w:hAnsi="Calibri" w:cs="Calibri"/>
              </w:rPr>
              <w:t>3</w:t>
            </w:r>
          </w:p>
        </w:tc>
        <w:tc>
          <w:tcPr>
            <w:tcW w:w="4320" w:type="dxa"/>
          </w:tcPr>
          <w:p w:rsidR="00656AC1" w:rsidRPr="00203191" w:rsidRDefault="00656AC1" w:rsidP="00364E4D">
            <w:pPr>
              <w:tabs>
                <w:tab w:val="left" w:pos="9914"/>
              </w:tabs>
              <w:rPr>
                <w:rFonts w:ascii="Calibri" w:hAnsi="Calibri" w:cs="Calibri"/>
                <w:b/>
                <w:bCs/>
              </w:rPr>
            </w:pPr>
            <w:r w:rsidRPr="00203191">
              <w:rPr>
                <w:rFonts w:ascii="Calibri" w:hAnsi="Calibri" w:cs="Calibri"/>
              </w:rPr>
              <w:t>Równość poprzeczna</w:t>
            </w:r>
          </w:p>
        </w:tc>
        <w:tc>
          <w:tcPr>
            <w:tcW w:w="4500" w:type="dxa"/>
          </w:tcPr>
          <w:p w:rsidR="00656AC1" w:rsidRPr="00203191" w:rsidRDefault="00656AC1" w:rsidP="00364E4D">
            <w:pPr>
              <w:tabs>
                <w:tab w:val="left" w:pos="9914"/>
              </w:tabs>
              <w:rPr>
                <w:rFonts w:ascii="Calibri" w:hAnsi="Calibri" w:cs="Calibri"/>
                <w:b/>
                <w:bCs/>
              </w:rPr>
            </w:pPr>
            <w:r w:rsidRPr="00203191">
              <w:rPr>
                <w:rFonts w:ascii="Calibri" w:hAnsi="Calibri" w:cs="Calibri"/>
              </w:rPr>
              <w:t>10 razy na 1 km</w:t>
            </w:r>
          </w:p>
        </w:tc>
      </w:tr>
      <w:tr w:rsidR="00656AC1" w:rsidRPr="00203191">
        <w:tc>
          <w:tcPr>
            <w:tcW w:w="790" w:type="dxa"/>
          </w:tcPr>
          <w:p w:rsidR="00656AC1" w:rsidRPr="00203191" w:rsidRDefault="00656AC1" w:rsidP="00364E4D">
            <w:pPr>
              <w:tabs>
                <w:tab w:val="left" w:pos="9914"/>
              </w:tabs>
              <w:rPr>
                <w:rFonts w:ascii="Calibri" w:hAnsi="Calibri" w:cs="Calibri"/>
                <w:b/>
                <w:bCs/>
              </w:rPr>
            </w:pPr>
            <w:r w:rsidRPr="00203191">
              <w:rPr>
                <w:rFonts w:ascii="Calibri" w:hAnsi="Calibri" w:cs="Calibri"/>
              </w:rPr>
              <w:t>4</w:t>
            </w:r>
          </w:p>
        </w:tc>
        <w:tc>
          <w:tcPr>
            <w:tcW w:w="4320" w:type="dxa"/>
          </w:tcPr>
          <w:p w:rsidR="00656AC1" w:rsidRPr="00203191" w:rsidRDefault="00656AC1" w:rsidP="00364E4D">
            <w:pPr>
              <w:tabs>
                <w:tab w:val="left" w:pos="9914"/>
              </w:tabs>
              <w:rPr>
                <w:rFonts w:ascii="Calibri" w:hAnsi="Calibri" w:cs="Calibri"/>
                <w:b/>
                <w:bCs/>
              </w:rPr>
            </w:pPr>
            <w:r w:rsidRPr="00203191">
              <w:rPr>
                <w:rFonts w:ascii="Calibri" w:hAnsi="Calibri" w:cs="Calibri"/>
              </w:rPr>
              <w:t>Spadki poprzeczne*</w:t>
            </w:r>
            <w:r w:rsidRPr="00203191">
              <w:rPr>
                <w:rFonts w:ascii="Calibri" w:hAnsi="Calibri" w:cs="Calibri"/>
                <w:vertAlign w:val="superscript"/>
              </w:rPr>
              <w:t>)</w:t>
            </w:r>
          </w:p>
        </w:tc>
        <w:tc>
          <w:tcPr>
            <w:tcW w:w="4500" w:type="dxa"/>
            <w:tcBorders>
              <w:bottom w:val="nil"/>
            </w:tcBorders>
          </w:tcPr>
          <w:p w:rsidR="00656AC1" w:rsidRPr="00203191" w:rsidRDefault="00656AC1" w:rsidP="00364E4D">
            <w:pPr>
              <w:tabs>
                <w:tab w:val="left" w:pos="9914"/>
              </w:tabs>
              <w:rPr>
                <w:rFonts w:ascii="Calibri" w:hAnsi="Calibri" w:cs="Calibri"/>
                <w:b/>
                <w:bCs/>
              </w:rPr>
            </w:pPr>
            <w:r w:rsidRPr="00203191">
              <w:rPr>
                <w:rFonts w:ascii="Calibri" w:hAnsi="Calibri" w:cs="Calibri"/>
              </w:rPr>
              <w:t>10 razy na 1 km</w:t>
            </w:r>
          </w:p>
        </w:tc>
      </w:tr>
      <w:tr w:rsidR="00656AC1" w:rsidRPr="00203191">
        <w:tc>
          <w:tcPr>
            <w:tcW w:w="790" w:type="dxa"/>
          </w:tcPr>
          <w:p w:rsidR="00656AC1" w:rsidRPr="00203191" w:rsidRDefault="00656AC1" w:rsidP="00364E4D">
            <w:pPr>
              <w:tabs>
                <w:tab w:val="left" w:pos="9914"/>
              </w:tabs>
              <w:rPr>
                <w:rFonts w:ascii="Calibri" w:hAnsi="Calibri" w:cs="Calibri"/>
                <w:b/>
                <w:bCs/>
              </w:rPr>
            </w:pPr>
            <w:r w:rsidRPr="00203191">
              <w:rPr>
                <w:rFonts w:ascii="Calibri" w:hAnsi="Calibri" w:cs="Calibri"/>
              </w:rPr>
              <w:t>5</w:t>
            </w:r>
          </w:p>
        </w:tc>
        <w:tc>
          <w:tcPr>
            <w:tcW w:w="4320" w:type="dxa"/>
          </w:tcPr>
          <w:p w:rsidR="00656AC1" w:rsidRPr="00203191" w:rsidRDefault="00656AC1" w:rsidP="00364E4D">
            <w:pPr>
              <w:tabs>
                <w:tab w:val="left" w:pos="9914"/>
              </w:tabs>
              <w:rPr>
                <w:rFonts w:ascii="Calibri" w:hAnsi="Calibri" w:cs="Calibri"/>
                <w:b/>
                <w:bCs/>
              </w:rPr>
            </w:pPr>
            <w:r w:rsidRPr="00203191">
              <w:rPr>
                <w:rFonts w:ascii="Calibri" w:hAnsi="Calibri" w:cs="Calibri"/>
              </w:rPr>
              <w:t>Rzędne wysokościowe</w:t>
            </w:r>
          </w:p>
        </w:tc>
        <w:tc>
          <w:tcPr>
            <w:tcW w:w="4500" w:type="dxa"/>
            <w:tcBorders>
              <w:bottom w:val="nil"/>
            </w:tcBorders>
          </w:tcPr>
          <w:p w:rsidR="00656AC1" w:rsidRPr="00203191" w:rsidRDefault="00656AC1" w:rsidP="00364E4D">
            <w:pPr>
              <w:tabs>
                <w:tab w:val="left" w:pos="9914"/>
              </w:tabs>
              <w:rPr>
                <w:rFonts w:ascii="Calibri" w:hAnsi="Calibri" w:cs="Calibri"/>
              </w:rPr>
            </w:pPr>
            <w:r w:rsidRPr="00203191">
              <w:rPr>
                <w:rFonts w:ascii="Calibri" w:hAnsi="Calibri" w:cs="Calibri"/>
              </w:rPr>
              <w:t>co 100 m</w:t>
            </w:r>
          </w:p>
        </w:tc>
      </w:tr>
      <w:tr w:rsidR="00656AC1" w:rsidRPr="00203191">
        <w:tc>
          <w:tcPr>
            <w:tcW w:w="790" w:type="dxa"/>
          </w:tcPr>
          <w:p w:rsidR="00656AC1" w:rsidRPr="00203191" w:rsidRDefault="00656AC1" w:rsidP="00364E4D">
            <w:pPr>
              <w:tabs>
                <w:tab w:val="left" w:pos="9914"/>
              </w:tabs>
              <w:rPr>
                <w:rFonts w:ascii="Calibri" w:hAnsi="Calibri" w:cs="Calibri"/>
                <w:b/>
                <w:bCs/>
              </w:rPr>
            </w:pPr>
            <w:r w:rsidRPr="00203191">
              <w:rPr>
                <w:rFonts w:ascii="Calibri" w:hAnsi="Calibri" w:cs="Calibri"/>
              </w:rPr>
              <w:t>6</w:t>
            </w:r>
          </w:p>
        </w:tc>
        <w:tc>
          <w:tcPr>
            <w:tcW w:w="4320" w:type="dxa"/>
          </w:tcPr>
          <w:p w:rsidR="00656AC1" w:rsidRPr="00203191" w:rsidRDefault="00656AC1" w:rsidP="00364E4D">
            <w:pPr>
              <w:tabs>
                <w:tab w:val="left" w:pos="9914"/>
              </w:tabs>
              <w:rPr>
                <w:rFonts w:ascii="Calibri" w:hAnsi="Calibri" w:cs="Calibri"/>
                <w:b/>
                <w:bCs/>
              </w:rPr>
            </w:pPr>
            <w:r w:rsidRPr="00203191">
              <w:rPr>
                <w:rFonts w:ascii="Calibri" w:hAnsi="Calibri" w:cs="Calibri"/>
              </w:rPr>
              <w:t>Ukształtowanie osi w planie*</w:t>
            </w:r>
            <w:r w:rsidRPr="00203191">
              <w:rPr>
                <w:rFonts w:ascii="Calibri" w:hAnsi="Calibri" w:cs="Calibri"/>
                <w:vertAlign w:val="superscript"/>
              </w:rPr>
              <w:t>)</w:t>
            </w:r>
          </w:p>
        </w:tc>
        <w:tc>
          <w:tcPr>
            <w:tcW w:w="4500" w:type="dxa"/>
            <w:tcBorders>
              <w:top w:val="nil"/>
            </w:tcBorders>
          </w:tcPr>
          <w:p w:rsidR="00656AC1" w:rsidRPr="00203191" w:rsidRDefault="00656AC1" w:rsidP="00364E4D">
            <w:pPr>
              <w:tabs>
                <w:tab w:val="left" w:pos="9914"/>
              </w:tabs>
              <w:rPr>
                <w:rFonts w:ascii="Calibri" w:hAnsi="Calibri" w:cs="Calibri"/>
                <w:b/>
                <w:bCs/>
              </w:rPr>
            </w:pPr>
          </w:p>
        </w:tc>
      </w:tr>
      <w:tr w:rsidR="00656AC1" w:rsidRPr="00203191">
        <w:tc>
          <w:tcPr>
            <w:tcW w:w="790" w:type="dxa"/>
          </w:tcPr>
          <w:p w:rsidR="00656AC1" w:rsidRPr="00203191" w:rsidRDefault="00656AC1" w:rsidP="00364E4D">
            <w:pPr>
              <w:tabs>
                <w:tab w:val="left" w:pos="9914"/>
              </w:tabs>
              <w:rPr>
                <w:rFonts w:ascii="Calibri" w:hAnsi="Calibri" w:cs="Calibri"/>
                <w:b/>
                <w:bCs/>
              </w:rPr>
            </w:pPr>
            <w:r w:rsidRPr="00203191">
              <w:rPr>
                <w:rFonts w:ascii="Calibri" w:hAnsi="Calibri" w:cs="Calibri"/>
              </w:rPr>
              <w:t>7</w:t>
            </w:r>
          </w:p>
        </w:tc>
        <w:tc>
          <w:tcPr>
            <w:tcW w:w="4320" w:type="dxa"/>
          </w:tcPr>
          <w:p w:rsidR="00656AC1" w:rsidRPr="00203191" w:rsidRDefault="00656AC1" w:rsidP="00364E4D">
            <w:pPr>
              <w:tabs>
                <w:tab w:val="left" w:pos="9914"/>
              </w:tabs>
              <w:rPr>
                <w:rFonts w:ascii="Calibri" w:hAnsi="Calibri" w:cs="Calibri"/>
                <w:b/>
                <w:bCs/>
              </w:rPr>
            </w:pPr>
            <w:r w:rsidRPr="00203191">
              <w:rPr>
                <w:rFonts w:ascii="Calibri" w:hAnsi="Calibri" w:cs="Calibri"/>
              </w:rPr>
              <w:t>Grubość podbudowy i ulepszonego podłoża</w:t>
            </w:r>
          </w:p>
        </w:tc>
        <w:tc>
          <w:tcPr>
            <w:tcW w:w="4500" w:type="dxa"/>
          </w:tcPr>
          <w:p w:rsidR="00656AC1" w:rsidRPr="00203191" w:rsidRDefault="00656AC1" w:rsidP="00364E4D">
            <w:pPr>
              <w:tabs>
                <w:tab w:val="left" w:pos="9914"/>
              </w:tabs>
              <w:rPr>
                <w:rFonts w:ascii="Calibri" w:hAnsi="Calibri" w:cs="Calibri"/>
                <w:b/>
                <w:bCs/>
              </w:rPr>
            </w:pPr>
            <w:r w:rsidRPr="00203191">
              <w:rPr>
                <w:rFonts w:ascii="Calibri" w:hAnsi="Calibri" w:cs="Calibri"/>
              </w:rPr>
              <w:t>w 3 punktach, lecz nie rzadziej niż raz na 2000 m</w:t>
            </w:r>
            <w:r w:rsidRPr="00203191">
              <w:rPr>
                <w:rFonts w:ascii="Calibri" w:hAnsi="Calibri" w:cs="Calibri"/>
                <w:vertAlign w:val="superscript"/>
              </w:rPr>
              <w:t>2</w:t>
            </w:r>
          </w:p>
        </w:tc>
      </w:tr>
    </w:tbl>
    <w:p w:rsidR="00656AC1" w:rsidRPr="00203191" w:rsidRDefault="00656AC1" w:rsidP="00364E4D">
      <w:pPr>
        <w:tabs>
          <w:tab w:val="left" w:pos="9914"/>
        </w:tabs>
        <w:ind w:hanging="284"/>
        <w:rPr>
          <w:rFonts w:ascii="Calibri" w:hAnsi="Calibri" w:cs="Calibri"/>
        </w:rPr>
      </w:pPr>
      <w:r w:rsidRPr="00203191">
        <w:rPr>
          <w:rFonts w:ascii="Calibri" w:hAnsi="Calibri" w:cs="Calibri"/>
        </w:rPr>
        <w:t>*) Dodatkowe pomiary spadków poprzecznych i ukształtowania osi w planie należy wykonać w punktach głównych łuków poziomych.</w:t>
      </w:r>
    </w:p>
    <w:p w:rsidR="00656AC1" w:rsidRPr="00203191" w:rsidRDefault="00656AC1" w:rsidP="00364E4D">
      <w:pPr>
        <w:keepNext/>
        <w:tabs>
          <w:tab w:val="left" w:pos="9914"/>
        </w:tabs>
        <w:rPr>
          <w:rFonts w:ascii="Calibri" w:hAnsi="Calibri" w:cs="Calibri"/>
          <w:b/>
          <w:bCs/>
          <w:i/>
          <w:iCs/>
        </w:rPr>
      </w:pPr>
      <w:r w:rsidRPr="00203191">
        <w:rPr>
          <w:rFonts w:ascii="Calibri" w:hAnsi="Calibri" w:cs="Calibri"/>
          <w:b/>
          <w:bCs/>
          <w:i/>
          <w:iCs/>
        </w:rPr>
        <w:t>6.4.2. Szerokość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Szerokość  ulepszonego podłoża nie może różnić się od szerokości projektowanej o więcej niż +10 cm, -5 cm.</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6.4.3. Równość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 xml:space="preserve">Nierówności podłużne ulepszonego podłoża należy mierzyć 4-metrową łatą . </w:t>
      </w:r>
    </w:p>
    <w:p w:rsidR="00656AC1" w:rsidRPr="00203191" w:rsidRDefault="00656AC1" w:rsidP="00364E4D">
      <w:pPr>
        <w:tabs>
          <w:tab w:val="left" w:pos="9914"/>
        </w:tabs>
        <w:rPr>
          <w:rFonts w:ascii="Calibri" w:hAnsi="Calibri" w:cs="Calibri"/>
        </w:rPr>
      </w:pPr>
      <w:r w:rsidRPr="00203191">
        <w:rPr>
          <w:rFonts w:ascii="Calibri" w:hAnsi="Calibri" w:cs="Calibri"/>
        </w:rPr>
        <w:t xml:space="preserve">Nierówności poprzeczne ulepszonego podłoża należy mierzyć 4-metrową łatą. </w:t>
      </w:r>
    </w:p>
    <w:p w:rsidR="00656AC1" w:rsidRPr="00203191" w:rsidRDefault="00656AC1" w:rsidP="00364E4D">
      <w:pPr>
        <w:tabs>
          <w:tab w:val="left" w:pos="9914"/>
        </w:tabs>
        <w:rPr>
          <w:rFonts w:ascii="Calibri" w:hAnsi="Calibri" w:cs="Calibri"/>
        </w:rPr>
      </w:pPr>
      <w:r w:rsidRPr="00203191">
        <w:rPr>
          <w:rFonts w:ascii="Calibri" w:hAnsi="Calibri" w:cs="Calibri"/>
        </w:rPr>
        <w:t>Nierówności nie powinny  przekraczać  15 mm .</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6.4.4. Spadki poprzeczne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 xml:space="preserve">Spadki poprzeczne ulepszonego podłoża powinny być zgodne z dokumentacją projektową z tolerancją </w:t>
      </w:r>
      <w:r>
        <w:rPr>
          <w:rFonts w:ascii="Calibri" w:hAnsi="Calibri" w:cs="Calibri"/>
        </w:rPr>
        <w:t>±</w:t>
      </w:r>
      <w:r w:rsidRPr="00203191">
        <w:rPr>
          <w:rFonts w:ascii="Calibri" w:hAnsi="Calibri" w:cs="Calibri"/>
        </w:rPr>
        <w:t xml:space="preserve"> 0,5 %.</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6.4.5. Rzędne wysokościowe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Różnice pomiędzy rzędnymi wykonanego ulepszonego podłoża a rzędnymi projektowanymi nie powinny przekraczać + 1 cm, -2 cm.</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6.4.6. Ukształtowanie osi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 xml:space="preserve">Oś ulepszonego podłoża w planie nie może być przesunięta w stosunku do osi projektowanej o więcej niż </w:t>
      </w:r>
      <w:r>
        <w:rPr>
          <w:rFonts w:ascii="Calibri" w:hAnsi="Calibri" w:cs="Calibri"/>
        </w:rPr>
        <w:t>±</w:t>
      </w:r>
      <w:r w:rsidRPr="00203191">
        <w:rPr>
          <w:rFonts w:ascii="Calibri" w:hAnsi="Calibri" w:cs="Calibri"/>
        </w:rPr>
        <w:t xml:space="preserve"> 5 cm.</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6.4.7. Grubość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Grubość ulepszonego podłoża nie może różnić się od grubości projektowanej o więcej niż +10%, -15%.</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6.5. Zasady postępowania z wadliwie wykonanymi odcinkami ulepszonego podłoża</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6.5.1. Niewłaściwe cechy geometryczne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Jeżeli po wykonaniu badań na stwardniałym ulepszonym podłożu stwierdzi się, że odchylenia cech geometrycznych przekraczają wielkości określone w p. 6.4, to warstwa zostanie zerwana na całą grubość i ponownie wykonana na koszt Wykonawcy. Dopuszcza się inny rodzaj naprawy wykonany na koszt Wykonawcy, o ile zostanie on zaakceptowany przez Inżyniera.</w:t>
      </w:r>
    </w:p>
    <w:p w:rsidR="00656AC1" w:rsidRPr="00203191" w:rsidRDefault="00656AC1" w:rsidP="00364E4D">
      <w:pPr>
        <w:tabs>
          <w:tab w:val="left" w:pos="9914"/>
        </w:tabs>
        <w:rPr>
          <w:rFonts w:ascii="Calibri" w:hAnsi="Calibri" w:cs="Calibri"/>
        </w:rPr>
      </w:pPr>
      <w:r w:rsidRPr="00203191">
        <w:rPr>
          <w:rFonts w:ascii="Calibri" w:hAnsi="Calibri" w:cs="Calibri"/>
        </w:rPr>
        <w:t>Jeżeli szerokość ulepszonego podłoża jest mniejsza od szerokości projektowanej o więcej niż 5 cm i nie zapewnia podparcia warstwom wyżej leżącym, to Wykonawca powinien poszerzyć ulepszone podłoże przez zerwanie warstwy na pełną grubość do połowy szerokości pasa ruchu i wbudowanie nowej mieszanki.</w:t>
      </w:r>
    </w:p>
    <w:p w:rsidR="00656AC1" w:rsidRPr="00203191" w:rsidRDefault="00656AC1" w:rsidP="00364E4D">
      <w:pPr>
        <w:tabs>
          <w:tab w:val="left" w:pos="9914"/>
        </w:tabs>
        <w:rPr>
          <w:rFonts w:ascii="Calibri" w:hAnsi="Calibri" w:cs="Calibri"/>
        </w:rPr>
      </w:pPr>
      <w:r w:rsidRPr="00203191">
        <w:rPr>
          <w:rFonts w:ascii="Calibri" w:hAnsi="Calibri" w:cs="Calibri"/>
        </w:rPr>
        <w:t>Nie dopuszcza się mieszania składników mieszanki na miejscu. Roboty te Wykonawca wykona na własny koszt.</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6.5.2. Niewłaściwa grubość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lastRenderedPageBreak/>
        <w:t>Na wszystkich powierzchniach wadliwych pod względem grubości Wykonawca wykona naprawę ulepszonego podłoża przez zerwanie wykonanej warstwy, usunięcie zerwanego materiału i ponowne wykonanie warstwy o odpowiednich właściwościach i o wymaganej grubości. Roboty te Wykonawca wykona na własny koszt. Po wykonaniu tych robót nastąpi ponowny pomiar i ocena grubości warstwy, na koszt Wykonawcy.</w:t>
      </w:r>
    </w:p>
    <w:p w:rsidR="00656AC1" w:rsidRPr="00203191" w:rsidRDefault="00656AC1" w:rsidP="00364E4D">
      <w:pPr>
        <w:tabs>
          <w:tab w:val="left" w:pos="9914"/>
        </w:tabs>
        <w:rPr>
          <w:rFonts w:ascii="Calibri" w:hAnsi="Calibri" w:cs="Calibri"/>
          <w:b/>
          <w:bCs/>
          <w:i/>
          <w:iCs/>
        </w:rPr>
      </w:pPr>
      <w:r w:rsidRPr="00203191">
        <w:rPr>
          <w:rFonts w:ascii="Calibri" w:hAnsi="Calibri" w:cs="Calibri"/>
          <w:b/>
          <w:bCs/>
          <w:i/>
          <w:iCs/>
        </w:rPr>
        <w:t>6.5.3. Niewłaściwa wytrzymałość ulepszonego podłoża</w:t>
      </w:r>
    </w:p>
    <w:p w:rsidR="00656AC1" w:rsidRPr="00203191" w:rsidRDefault="00656AC1" w:rsidP="00364E4D">
      <w:pPr>
        <w:tabs>
          <w:tab w:val="left" w:pos="9914"/>
        </w:tabs>
        <w:rPr>
          <w:rFonts w:ascii="Calibri" w:hAnsi="Calibri" w:cs="Calibri"/>
        </w:rPr>
      </w:pPr>
      <w:r w:rsidRPr="00203191">
        <w:rPr>
          <w:rFonts w:ascii="Calibri" w:hAnsi="Calibri" w:cs="Calibri"/>
        </w:rPr>
        <w:t xml:space="preserve">Jeżeli wytrzymałość średnia próbek będzie mniejsza od dolnej granicy określonej w niniejszej </w:t>
      </w:r>
      <w:r w:rsidR="005B48CA">
        <w:rPr>
          <w:rFonts w:ascii="Calibri" w:hAnsi="Calibri" w:cs="Calibri"/>
        </w:rPr>
        <w:t>STWiORB</w:t>
      </w:r>
      <w:r w:rsidRPr="00203191">
        <w:rPr>
          <w:rFonts w:ascii="Calibri" w:hAnsi="Calibri" w:cs="Calibri"/>
        </w:rPr>
        <w:t xml:space="preserve"> to warstwa wadliwie wykonana zostanie zerwana i wymieniona na nową o odpowiednich właściwościach na koszt Wykonawcy.</w:t>
      </w:r>
    </w:p>
    <w:p w:rsidR="00656AC1" w:rsidRPr="00203191" w:rsidRDefault="00656AC1" w:rsidP="00364E4D">
      <w:pPr>
        <w:pStyle w:val="Nagwek3"/>
        <w:tabs>
          <w:tab w:val="left" w:pos="9914"/>
        </w:tabs>
        <w:rPr>
          <w:rFonts w:ascii="Calibri" w:hAnsi="Calibri" w:cs="Calibri"/>
        </w:rPr>
      </w:pPr>
      <w:bookmarkStart w:id="1054" w:name="_Toc418394443"/>
      <w:bookmarkStart w:id="1055" w:name="_Toc423845944"/>
      <w:r w:rsidRPr="00203191">
        <w:rPr>
          <w:rFonts w:ascii="Calibri" w:hAnsi="Calibri" w:cs="Calibri"/>
        </w:rPr>
        <w:t>7. OBMIAR ROBÓT</w:t>
      </w:r>
      <w:bookmarkEnd w:id="1054"/>
      <w:bookmarkEnd w:id="1055"/>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7.1. Ogólne zasady obmiaru robót</w:t>
      </w:r>
    </w:p>
    <w:p w:rsidR="00ED260C" w:rsidRPr="00203191" w:rsidRDefault="00ED260C" w:rsidP="00ED260C">
      <w:pPr>
        <w:tabs>
          <w:tab w:val="left" w:pos="9914"/>
        </w:tabs>
        <w:rPr>
          <w:rFonts w:asciiTheme="minorHAnsi" w:hAnsiTheme="minorHAnsi"/>
        </w:rPr>
      </w:pPr>
      <w:r w:rsidRPr="00203191">
        <w:rPr>
          <w:rFonts w:asciiTheme="minorHAnsi" w:hAnsiTheme="minorHAnsi"/>
        </w:rPr>
        <w:t>Ogólne zasady obmiaru robót podano w STWiORB D-M-00.00.00 „Wymagania ogólne” pkt 7.</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7.2. Jednostka obmiarowa</w:t>
      </w:r>
    </w:p>
    <w:p w:rsidR="00ED260C" w:rsidRPr="00203191" w:rsidRDefault="00ED260C" w:rsidP="00ED260C">
      <w:pPr>
        <w:tabs>
          <w:tab w:val="left" w:pos="9914"/>
        </w:tabs>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2</w:t>
      </w:r>
      <w:r w:rsidRPr="00203191">
        <w:rPr>
          <w:rFonts w:asciiTheme="minorHAnsi" w:hAnsiTheme="minorHAnsi"/>
        </w:rPr>
        <w:t xml:space="preserve"> (metr kwadratowy) ulepszonego podłoża z gruntów lub kruszyw stabilizowanych cementem</w:t>
      </w:r>
    </w:p>
    <w:p w:rsidR="00656AC1" w:rsidRPr="00203191" w:rsidRDefault="00656AC1" w:rsidP="00364E4D">
      <w:pPr>
        <w:pStyle w:val="Nagwek3"/>
        <w:tabs>
          <w:tab w:val="left" w:pos="9914"/>
        </w:tabs>
        <w:rPr>
          <w:rFonts w:ascii="Calibri" w:hAnsi="Calibri" w:cs="Calibri"/>
        </w:rPr>
      </w:pPr>
      <w:bookmarkStart w:id="1056" w:name="_Toc418394444"/>
      <w:bookmarkStart w:id="1057" w:name="_Toc423845945"/>
      <w:r w:rsidRPr="00203191">
        <w:rPr>
          <w:rFonts w:ascii="Calibri" w:hAnsi="Calibri" w:cs="Calibri"/>
        </w:rPr>
        <w:t>8. ODBIÓR ROBÓT</w:t>
      </w:r>
      <w:bookmarkEnd w:id="1056"/>
      <w:bookmarkEnd w:id="1057"/>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FA0D9A" w:rsidRDefault="00656AC1" w:rsidP="00FA0D9A">
      <w:pPr>
        <w:tabs>
          <w:tab w:val="left" w:pos="9914"/>
        </w:tabs>
        <w:rPr>
          <w:rFonts w:ascii="Calibri" w:hAnsi="Calibri" w:cs="Calibri"/>
        </w:rPr>
      </w:pPr>
      <w:r w:rsidRPr="00203191">
        <w:rPr>
          <w:rFonts w:ascii="Calibri" w:hAnsi="Calibri" w:cs="Calibri"/>
        </w:rPr>
        <w:t xml:space="preserve">Roboty uznaje się za zgodne z dokumentacją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pkt 6 dały wyniki pozytywne.</w:t>
      </w:r>
    </w:p>
    <w:p w:rsidR="00AF470B" w:rsidRDefault="00AF470B" w:rsidP="00FA0D9A">
      <w:pPr>
        <w:tabs>
          <w:tab w:val="left" w:pos="9914"/>
        </w:tabs>
        <w:rPr>
          <w:rFonts w:ascii="Calibri" w:hAnsi="Calibri" w:cs="Calibri"/>
          <w:b/>
        </w:rPr>
      </w:pPr>
    </w:p>
    <w:p w:rsidR="00FA0D9A" w:rsidRDefault="00656AC1" w:rsidP="00FA0D9A">
      <w:pPr>
        <w:tabs>
          <w:tab w:val="left" w:pos="9914"/>
        </w:tabs>
        <w:rPr>
          <w:rFonts w:ascii="Calibri" w:hAnsi="Calibri" w:cs="Calibri"/>
          <w:b/>
        </w:rPr>
      </w:pPr>
      <w:r w:rsidRPr="00FA0D9A">
        <w:rPr>
          <w:rFonts w:ascii="Calibri" w:hAnsi="Calibri" w:cs="Calibri"/>
          <w:b/>
        </w:rPr>
        <w:t>9. PODSTAWA PŁATNOŚCI</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9.1. Ogólne ustalenia dotyczące podstawy płatności</w:t>
      </w:r>
    </w:p>
    <w:p w:rsidR="00ED260C" w:rsidRPr="00203191" w:rsidRDefault="00ED260C" w:rsidP="00ED260C">
      <w:pPr>
        <w:tabs>
          <w:tab w:val="left" w:pos="9914"/>
        </w:tabs>
        <w:rPr>
          <w:rFonts w:asciiTheme="minorHAnsi" w:hAnsiTheme="minorHAnsi"/>
        </w:rPr>
      </w:pPr>
      <w:r w:rsidRPr="00203191">
        <w:rPr>
          <w:rFonts w:asciiTheme="minorHAnsi" w:hAnsiTheme="minorHAnsi"/>
        </w:rPr>
        <w:t>Ogólne ustalenia dotyczące podstawy płatności podano w STWiORB D-M-00.00.00 „Wymagania ogólne” pkt 9.</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9.2. Cena jednostki obmiarowej</w:t>
      </w:r>
    </w:p>
    <w:p w:rsidR="00ED260C" w:rsidRPr="00203191" w:rsidRDefault="00ED260C" w:rsidP="00ED260C">
      <w:pPr>
        <w:tabs>
          <w:tab w:val="left" w:pos="9914"/>
        </w:tabs>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2"/>
        </w:smartTagPr>
        <w:r w:rsidRPr="00203191">
          <w:rPr>
            <w:rFonts w:asciiTheme="minorHAnsi" w:hAnsiTheme="minorHAnsi"/>
          </w:rPr>
          <w:t>1 m</w:t>
        </w:r>
        <w:r w:rsidRPr="00203191">
          <w:rPr>
            <w:rFonts w:asciiTheme="minorHAnsi" w:hAnsiTheme="minorHAnsi"/>
            <w:vertAlign w:val="superscript"/>
          </w:rPr>
          <w:t>2</w:t>
        </w:r>
      </w:smartTag>
      <w:r w:rsidRPr="00203191">
        <w:rPr>
          <w:rFonts w:asciiTheme="minorHAnsi" w:hAnsiTheme="minorHAnsi"/>
        </w:rPr>
        <w:t xml:space="preserve"> ulepszonego podłoża z gruntów lub kruszyw stabilizowanych cementem obejmuje:</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prace pomiarowe i roboty przygotowawcze,</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oznakowanie robót,</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dostarczenie materiałów, wyprodukowanie mieszanki i jej transport na miejsce wbudowania,</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dostarczenie, ustawienie, rozebranie i odwiezienie prowadnic oraz innych materiałów i urządzeń pomocniczych,</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rozłożenie i zagęszczenie mieszanki,</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pielęgnacja wykonanej warstwy</w:t>
      </w:r>
    </w:p>
    <w:p w:rsidR="00656AC1" w:rsidRPr="00203191" w:rsidRDefault="00ED260C" w:rsidP="00ED260C">
      <w:pPr>
        <w:tabs>
          <w:tab w:val="left" w:pos="9914"/>
        </w:tabs>
        <w:rPr>
          <w:rFonts w:ascii="Calibri" w:hAnsi="Calibri" w:cs="Calibri"/>
        </w:rPr>
      </w:pPr>
      <w:r w:rsidRPr="00203191">
        <w:rPr>
          <w:rFonts w:asciiTheme="minorHAnsi" w:hAnsiTheme="minorHAnsi"/>
        </w:rPr>
        <w:t>przeprowadzenie pomiarów i badań laboratoryjnych, wymaganych w specyfikacji technicznej,</w:t>
      </w:r>
    </w:p>
    <w:p w:rsidR="00656AC1" w:rsidRPr="00203191" w:rsidRDefault="00656AC1" w:rsidP="00364E4D">
      <w:pPr>
        <w:pStyle w:val="Nagwek3"/>
        <w:tabs>
          <w:tab w:val="left" w:pos="9914"/>
        </w:tabs>
        <w:rPr>
          <w:rFonts w:ascii="Calibri" w:hAnsi="Calibri" w:cs="Calibri"/>
        </w:rPr>
      </w:pPr>
      <w:bookmarkStart w:id="1058" w:name="_Toc423845947"/>
      <w:r w:rsidRPr="00203191">
        <w:rPr>
          <w:rFonts w:ascii="Calibri" w:hAnsi="Calibri" w:cs="Calibri"/>
        </w:rPr>
        <w:t>10. PRZEPISY ZWIĄZANE</w:t>
      </w:r>
      <w:bookmarkEnd w:id="1058"/>
    </w:p>
    <w:p w:rsidR="00656AC1" w:rsidRPr="00203191" w:rsidRDefault="00656AC1" w:rsidP="00364E4D">
      <w:pPr>
        <w:pStyle w:val="Nagwek4"/>
        <w:tabs>
          <w:tab w:val="left" w:pos="9914"/>
        </w:tabs>
        <w:rPr>
          <w:rFonts w:ascii="Calibri" w:hAnsi="Calibri" w:cs="Calibri"/>
        </w:rPr>
      </w:pPr>
      <w:r w:rsidRPr="00203191">
        <w:rPr>
          <w:rFonts w:ascii="Calibri" w:hAnsi="Calibri" w:cs="Calibri"/>
        </w:rPr>
        <w:t>10.1. Normy</w:t>
      </w:r>
    </w:p>
    <w:tbl>
      <w:tblPr>
        <w:tblW w:w="0" w:type="auto"/>
        <w:tblInd w:w="2" w:type="dxa"/>
        <w:tblLayout w:type="fixed"/>
        <w:tblCellMar>
          <w:left w:w="70" w:type="dxa"/>
          <w:right w:w="70" w:type="dxa"/>
        </w:tblCellMar>
        <w:tblLook w:val="0000"/>
      </w:tblPr>
      <w:tblGrid>
        <w:gridCol w:w="637"/>
        <w:gridCol w:w="1843"/>
        <w:gridCol w:w="7130"/>
      </w:tblGrid>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1.</w:t>
            </w:r>
          </w:p>
        </w:tc>
        <w:tc>
          <w:tcPr>
            <w:tcW w:w="1843" w:type="dxa"/>
          </w:tcPr>
          <w:p w:rsidR="00656AC1" w:rsidRPr="00203191" w:rsidRDefault="00656AC1" w:rsidP="00364E4D">
            <w:pPr>
              <w:tabs>
                <w:tab w:val="left" w:pos="9914"/>
              </w:tabs>
              <w:rPr>
                <w:rFonts w:ascii="Calibri" w:hAnsi="Calibri" w:cs="Calibri"/>
                <w:lang w:val="en-US"/>
              </w:rPr>
            </w:pPr>
            <w:r w:rsidRPr="00203191">
              <w:rPr>
                <w:rFonts w:ascii="Calibri" w:hAnsi="Calibri" w:cs="Calibri"/>
                <w:lang w:val="en-US"/>
              </w:rPr>
              <w:t>PN-EN-196-1:2006</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Metody badań cementu Część I Oznaczenie wytrzymałości</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2.</w:t>
            </w:r>
          </w:p>
        </w:tc>
        <w:tc>
          <w:tcPr>
            <w:tcW w:w="1843" w:type="dxa"/>
          </w:tcPr>
          <w:p w:rsidR="00656AC1" w:rsidRPr="00203191" w:rsidRDefault="00656AC1" w:rsidP="00364E4D">
            <w:pPr>
              <w:tabs>
                <w:tab w:val="left" w:pos="9914"/>
              </w:tabs>
              <w:rPr>
                <w:rFonts w:ascii="Calibri" w:hAnsi="Calibri" w:cs="Calibri"/>
                <w:lang w:val="en-US"/>
              </w:rPr>
            </w:pPr>
            <w:r w:rsidRPr="00203191">
              <w:rPr>
                <w:rFonts w:ascii="Calibri" w:hAnsi="Calibri" w:cs="Calibri"/>
                <w:lang w:val="en-US"/>
              </w:rPr>
              <w:t>PN-EN-196-3:2009</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Metody badań cementu Część 3 Oznaczanie czasów wiązania i stałości objętości</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3.</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PN-B-04481:1988</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Grunty budowlane. Badania próbek gruntu</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4.</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PN-EN 13242:2004</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Kruszywa do niezwiązanych i związanych hydraulicznie materiałów stosowanych w obiektach budowlanych i budownictwie drogowym</w:t>
            </w:r>
          </w:p>
        </w:tc>
      </w:tr>
      <w:tr w:rsidR="00656AC1" w:rsidRPr="00203191">
        <w:tc>
          <w:tcPr>
            <w:tcW w:w="637" w:type="dxa"/>
          </w:tcPr>
          <w:p w:rsidR="00656AC1" w:rsidRPr="00203191" w:rsidRDefault="00656AC1" w:rsidP="00364E4D">
            <w:pPr>
              <w:tabs>
                <w:tab w:val="left" w:pos="9914"/>
              </w:tabs>
              <w:rPr>
                <w:rFonts w:ascii="Calibri" w:hAnsi="Calibri" w:cs="Calibri"/>
                <w:lang w:val="en-US"/>
              </w:rPr>
            </w:pPr>
            <w:r w:rsidRPr="00203191">
              <w:rPr>
                <w:rFonts w:ascii="Calibri" w:hAnsi="Calibri" w:cs="Calibri"/>
              </w:rPr>
              <w:t xml:space="preserve">  </w:t>
            </w:r>
            <w:r w:rsidRPr="00203191">
              <w:rPr>
                <w:rFonts w:ascii="Calibri" w:hAnsi="Calibri" w:cs="Calibri"/>
                <w:lang w:val="en-US"/>
              </w:rPr>
              <w:t>5.</w:t>
            </w:r>
          </w:p>
        </w:tc>
        <w:tc>
          <w:tcPr>
            <w:tcW w:w="1843" w:type="dxa"/>
          </w:tcPr>
          <w:p w:rsidR="00656AC1" w:rsidRPr="00203191" w:rsidRDefault="00656AC1" w:rsidP="00364E4D">
            <w:pPr>
              <w:tabs>
                <w:tab w:val="left" w:pos="9914"/>
              </w:tabs>
              <w:rPr>
                <w:rFonts w:ascii="Calibri" w:hAnsi="Calibri" w:cs="Calibri"/>
                <w:lang w:val="en-US"/>
              </w:rPr>
            </w:pPr>
            <w:r w:rsidRPr="00203191">
              <w:rPr>
                <w:rFonts w:ascii="Calibri" w:hAnsi="Calibri" w:cs="Calibri"/>
                <w:lang w:val="en-US"/>
              </w:rPr>
              <w:t>PN-B-197-1:2002</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Cement. Część I. Skład, wymagania i kryteria zgodności cementów powszechnego użytku</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6.</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PN-B-30020:1997</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Wapno</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7.</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PN-EN-1008:2004</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Woda zarobowa do betonu Specyfikacja pobierania próbek, badania i ocena przedatności wody zarobowej do betonu, w tym wody odzyskanej z procesów </w:t>
            </w:r>
            <w:r w:rsidRPr="00203191">
              <w:rPr>
                <w:rFonts w:ascii="Calibri" w:hAnsi="Calibri" w:cs="Calibri"/>
              </w:rPr>
              <w:lastRenderedPageBreak/>
              <w:t>produkcji betonu</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lastRenderedPageBreak/>
              <w:t xml:space="preserve">  8.</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PN-C-84038</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Wodorotlenek sodowy techniczny</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 xml:space="preserve">  9.</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PN-C-84127</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Chlorek wapniowy techniczny</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10.</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PN-S-96035:1997</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Drogi samochodowe. Popioły lotne</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11.</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BN-88/6731-08</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Cement. Transport i przechowywanie</w:t>
            </w:r>
          </w:p>
        </w:tc>
      </w:tr>
      <w:tr w:rsidR="00656AC1" w:rsidRPr="00203191">
        <w:tc>
          <w:tcPr>
            <w:tcW w:w="637" w:type="dxa"/>
          </w:tcPr>
          <w:p w:rsidR="00656AC1" w:rsidRPr="00203191" w:rsidRDefault="00656AC1" w:rsidP="00364E4D">
            <w:pPr>
              <w:tabs>
                <w:tab w:val="left" w:pos="9914"/>
              </w:tabs>
              <w:rPr>
                <w:rFonts w:ascii="Calibri" w:hAnsi="Calibri" w:cs="Calibri"/>
              </w:rPr>
            </w:pPr>
            <w:r w:rsidRPr="00203191">
              <w:rPr>
                <w:rFonts w:ascii="Calibri" w:hAnsi="Calibri" w:cs="Calibri"/>
              </w:rPr>
              <w:t>12.</w:t>
            </w:r>
          </w:p>
        </w:tc>
        <w:tc>
          <w:tcPr>
            <w:tcW w:w="1843" w:type="dxa"/>
          </w:tcPr>
          <w:p w:rsidR="00656AC1" w:rsidRPr="00203191" w:rsidRDefault="00656AC1" w:rsidP="00364E4D">
            <w:pPr>
              <w:tabs>
                <w:tab w:val="left" w:pos="9914"/>
              </w:tabs>
              <w:rPr>
                <w:rFonts w:ascii="Calibri" w:hAnsi="Calibri" w:cs="Calibri"/>
              </w:rPr>
            </w:pPr>
            <w:r w:rsidRPr="00203191">
              <w:rPr>
                <w:rFonts w:ascii="Calibri" w:hAnsi="Calibri" w:cs="Calibri"/>
              </w:rPr>
              <w:t>BN-77/8931-12</w:t>
            </w:r>
          </w:p>
        </w:tc>
        <w:tc>
          <w:tcPr>
            <w:tcW w:w="7130" w:type="dxa"/>
          </w:tcPr>
          <w:p w:rsidR="00656AC1" w:rsidRPr="00203191" w:rsidRDefault="00656AC1" w:rsidP="00364E4D">
            <w:pPr>
              <w:tabs>
                <w:tab w:val="left" w:pos="9914"/>
              </w:tabs>
              <w:rPr>
                <w:rFonts w:ascii="Calibri" w:hAnsi="Calibri" w:cs="Calibri"/>
              </w:rPr>
            </w:pPr>
            <w:r w:rsidRPr="00203191">
              <w:rPr>
                <w:rFonts w:ascii="Calibri" w:hAnsi="Calibri" w:cs="Calibri"/>
              </w:rPr>
              <w:t>Oznaczanie wskaźnika zagęszczenia gruntu</w:t>
            </w:r>
          </w:p>
        </w:tc>
      </w:tr>
    </w:tbl>
    <w:p w:rsidR="00656AC1" w:rsidRPr="00203191" w:rsidRDefault="00656AC1" w:rsidP="00364E4D">
      <w:pPr>
        <w:tabs>
          <w:tab w:val="left" w:pos="9914"/>
        </w:tabs>
        <w:rPr>
          <w:rFonts w:ascii="Calibri" w:hAnsi="Calibri" w:cs="Calibri"/>
        </w:rPr>
      </w:pPr>
    </w:p>
    <w:p w:rsidR="00656AC1" w:rsidRPr="00203191" w:rsidRDefault="00656AC1" w:rsidP="00973D29">
      <w:pPr>
        <w:numPr>
          <w:ilvl w:val="1"/>
          <w:numId w:val="27"/>
        </w:numPr>
        <w:tabs>
          <w:tab w:val="left" w:pos="9914"/>
        </w:tabs>
        <w:rPr>
          <w:rFonts w:ascii="Calibri" w:hAnsi="Calibri" w:cs="Calibri"/>
          <w:b/>
          <w:bCs/>
        </w:rPr>
      </w:pPr>
      <w:r w:rsidRPr="00203191">
        <w:rPr>
          <w:rFonts w:ascii="Calibri" w:hAnsi="Calibri" w:cs="Calibri"/>
          <w:b/>
          <w:bCs/>
        </w:rPr>
        <w:t>Inne dokumenty</w:t>
      </w:r>
    </w:p>
    <w:p w:rsidR="00656AC1" w:rsidRPr="00FA0D9A" w:rsidRDefault="00656AC1" w:rsidP="00973D29">
      <w:pPr>
        <w:numPr>
          <w:ilvl w:val="0"/>
          <w:numId w:val="29"/>
        </w:numPr>
        <w:tabs>
          <w:tab w:val="left" w:pos="9914"/>
        </w:tabs>
        <w:rPr>
          <w:rFonts w:ascii="Calibri" w:hAnsi="Calibri" w:cs="Calibri"/>
        </w:rPr>
      </w:pPr>
      <w:r w:rsidRPr="00203191">
        <w:rPr>
          <w:rFonts w:ascii="Calibri" w:hAnsi="Calibri" w:cs="Calibri"/>
        </w:rPr>
        <w:t>WT-5 20010 Mieszanki związane spoiwem hydraulicznym do dróg krajowych Wymagania Techniczne</w:t>
      </w:r>
    </w:p>
    <w:p w:rsidR="00656AC1" w:rsidRPr="00203191" w:rsidRDefault="00656AC1" w:rsidP="00FA0D9A">
      <w:pPr>
        <w:rPr>
          <w:rFonts w:ascii="Calibri" w:hAnsi="Calibri" w:cs="Calibri"/>
          <w:b/>
          <w:bCs/>
          <w:sz w:val="28"/>
          <w:szCs w:val="28"/>
        </w:rPr>
      </w:pPr>
    </w:p>
    <w:p w:rsidR="00656AC1" w:rsidRPr="00AF470B" w:rsidRDefault="005B48CA" w:rsidP="00AF470B">
      <w:pPr>
        <w:pStyle w:val="Nagwek2"/>
      </w:pPr>
      <w:r w:rsidRPr="00AF470B">
        <w:lastRenderedPageBreak/>
        <w:t>SPECYFIKACJE TECHNICZNE</w:t>
      </w:r>
      <w:r w:rsidR="00E22F37" w:rsidRPr="00AF470B">
        <w:t xml:space="preserve"> WYKONANIA I ODBIORU ROBÓT BUDOWLANYCH</w:t>
      </w:r>
      <w:r w:rsidR="00656AC1" w:rsidRPr="00AF470B">
        <w:t xml:space="preserve"> </w:t>
      </w:r>
    </w:p>
    <w:p w:rsidR="00656AC1" w:rsidRPr="00AF470B" w:rsidRDefault="00656AC1" w:rsidP="00AF470B">
      <w:pPr>
        <w:pStyle w:val="Nagwek1"/>
      </w:pPr>
      <w:bookmarkStart w:id="1059" w:name="_Toc352837489"/>
      <w:bookmarkStart w:id="1060" w:name="_Toc427178274"/>
      <w:bookmarkStart w:id="1061" w:name="_Toc459929673"/>
      <w:r w:rsidRPr="00AF470B">
        <w:t>D-04.05.01a STABILIZACJE NA BAZIE MIESZANINY POPIOŁOWO</w:t>
      </w:r>
      <w:r w:rsidRPr="00AF470B">
        <w:softHyphen/>
        <w:t xml:space="preserve"> – ŻUŻLOWEJ 1,5-2,5 MPA</w:t>
      </w:r>
      <w:bookmarkEnd w:id="1059"/>
      <w:bookmarkEnd w:id="1060"/>
      <w:bookmarkEnd w:id="1061"/>
      <w:r w:rsidRPr="00AF470B">
        <w:t xml:space="preserve"> </w:t>
      </w:r>
    </w:p>
    <w:p w:rsidR="00656AC1" w:rsidRPr="00203191" w:rsidRDefault="00656AC1" w:rsidP="00364E4D">
      <w:pPr>
        <w:pStyle w:val="Default"/>
        <w:rPr>
          <w:rFonts w:ascii="Calibri" w:hAnsi="Calibri" w:cs="Calibri"/>
        </w:rPr>
      </w:pPr>
    </w:p>
    <w:p w:rsidR="00656AC1" w:rsidRPr="00203191" w:rsidRDefault="00656AC1" w:rsidP="00364E4D">
      <w:pPr>
        <w:pStyle w:val="Nagwek3"/>
        <w:tabs>
          <w:tab w:val="left" w:pos="9914"/>
        </w:tabs>
        <w:rPr>
          <w:rFonts w:ascii="Calibri" w:hAnsi="Calibri" w:cs="Calibri"/>
        </w:rPr>
      </w:pPr>
      <w:r w:rsidRPr="00203191">
        <w:rPr>
          <w:rFonts w:ascii="Calibri" w:hAnsi="Calibri" w:cs="Calibri"/>
        </w:rPr>
        <w:t>1. WSTĘP</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1.1. Przedmiot </w:t>
      </w:r>
      <w:r w:rsidR="005B48CA">
        <w:rPr>
          <w:rFonts w:ascii="Calibri" w:hAnsi="Calibri" w:cs="Calibri"/>
        </w:rPr>
        <w:t>STWiORB</w:t>
      </w:r>
      <w:r w:rsidRPr="00203191">
        <w:rPr>
          <w:rFonts w:ascii="Calibri" w:hAnsi="Calibri" w:cs="Calibri"/>
        </w:rPr>
        <w:t xml:space="preserve"> </w:t>
      </w:r>
    </w:p>
    <w:p w:rsidR="00656AC1" w:rsidRPr="00203191" w:rsidRDefault="00656AC1" w:rsidP="00364E4D">
      <w:pPr>
        <w:pStyle w:val="CM7"/>
        <w:spacing w:after="120" w:line="276" w:lineRule="atLeast"/>
        <w:jc w:val="both"/>
        <w:rPr>
          <w:rFonts w:ascii="Calibri" w:hAnsi="Calibri" w:cs="Calibri"/>
          <w:sz w:val="20"/>
          <w:szCs w:val="20"/>
        </w:rPr>
      </w:pPr>
      <w:r w:rsidRPr="00203191">
        <w:rPr>
          <w:rFonts w:ascii="Calibri" w:hAnsi="Calibri" w:cs="Calibri"/>
          <w:sz w:val="20"/>
          <w:szCs w:val="20"/>
        </w:rPr>
        <w:t xml:space="preserve">Przedmiotem </w:t>
      </w:r>
      <w:r w:rsidR="00ED6D29">
        <w:rPr>
          <w:rFonts w:ascii="Calibri" w:hAnsi="Calibri" w:cs="Calibri"/>
          <w:sz w:val="20"/>
          <w:szCs w:val="20"/>
        </w:rPr>
        <w:t>niniejszej</w:t>
      </w:r>
      <w:r w:rsidR="00FA0D9A">
        <w:rPr>
          <w:rFonts w:ascii="Calibri" w:hAnsi="Calibri" w:cs="Calibri"/>
          <w:sz w:val="20"/>
          <w:szCs w:val="20"/>
        </w:rPr>
        <w:t xml:space="preserve"> </w:t>
      </w:r>
      <w:r w:rsidR="00ED6D29">
        <w:rPr>
          <w:rFonts w:ascii="Calibri" w:hAnsi="Calibri" w:cs="Calibri"/>
          <w:sz w:val="20"/>
          <w:szCs w:val="20"/>
        </w:rPr>
        <w:t>specyfikacji</w:t>
      </w:r>
      <w:r w:rsidRPr="00203191">
        <w:rPr>
          <w:rFonts w:ascii="Calibri" w:hAnsi="Calibri" w:cs="Calibri"/>
          <w:sz w:val="20"/>
          <w:szCs w:val="20"/>
        </w:rPr>
        <w:t xml:space="preserve"> są wymagania dotyczące wykonania i odbioru robót związanych z wykonywaniem wzmocnienia podłoża za pomocą stabilizacji z mieszani</w:t>
      </w:r>
      <w:r w:rsidR="00FA0D9A">
        <w:rPr>
          <w:rFonts w:ascii="Calibri" w:hAnsi="Calibri" w:cs="Calibri"/>
          <w:sz w:val="20"/>
          <w:szCs w:val="20"/>
        </w:rPr>
        <w:t>ny popiołowo-żużlowo</w:t>
      </w:r>
      <w:r w:rsidR="00FA0D9A">
        <w:rPr>
          <w:rFonts w:ascii="Calibri" w:hAnsi="Calibri" w:cs="Calibri"/>
          <w:sz w:val="20"/>
          <w:szCs w:val="20"/>
        </w:rPr>
        <w:softHyphen/>
        <w:t>-cementowej</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1.2. Zakres stosowania </w:t>
      </w:r>
      <w:r w:rsidR="005B48CA">
        <w:rPr>
          <w:rFonts w:ascii="Calibri" w:hAnsi="Calibri" w:cs="Calibri"/>
        </w:rPr>
        <w:t>STWiORB</w:t>
      </w:r>
      <w:r w:rsidRPr="00203191">
        <w:rPr>
          <w:rFonts w:ascii="Calibri" w:hAnsi="Calibri" w:cs="Calibri"/>
        </w:rPr>
        <w:t xml:space="preserve"> </w:t>
      </w:r>
    </w:p>
    <w:p w:rsidR="00656AC1" w:rsidRPr="00203191" w:rsidRDefault="00FE60E3" w:rsidP="005E0A24">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2A6AFD">
        <w:rPr>
          <w:rFonts w:ascii="Calibri" w:hAnsi="Calibri" w:cs="Calibri"/>
        </w:rPr>
        <w:t>„</w:t>
      </w:r>
      <w:r w:rsidR="002A6AFD"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1.3. Określenia podstawowe </w:t>
      </w:r>
    </w:p>
    <w:p w:rsidR="00656AC1" w:rsidRPr="00203191" w:rsidRDefault="00656AC1" w:rsidP="00364E4D">
      <w:pPr>
        <w:pStyle w:val="CM7"/>
        <w:spacing w:after="120" w:line="276" w:lineRule="atLeast"/>
        <w:jc w:val="both"/>
        <w:rPr>
          <w:rFonts w:ascii="Calibri" w:hAnsi="Calibri" w:cs="Calibri"/>
          <w:sz w:val="20"/>
          <w:szCs w:val="20"/>
        </w:rPr>
      </w:pPr>
      <w:r w:rsidRPr="00203191">
        <w:rPr>
          <w:rFonts w:ascii="Calibri" w:hAnsi="Calibri" w:cs="Calibri"/>
          <w:b/>
          <w:bCs/>
          <w:i/>
          <w:iCs/>
          <w:sz w:val="20"/>
          <w:szCs w:val="20"/>
        </w:rPr>
        <w:t>1.3.1.</w:t>
      </w:r>
      <w:r w:rsidRPr="00203191">
        <w:rPr>
          <w:rFonts w:ascii="Calibri" w:hAnsi="Calibri" w:cs="Calibri"/>
          <w:sz w:val="20"/>
          <w:szCs w:val="20"/>
        </w:rPr>
        <w:t xml:space="preserve"> Ekostabilizacja – jedna lub dwie warstwy zagęszczonej mieszaniny, która po stwardnieniu poprawia właściwości fizykochemiczne oraz nośne podłoża, służąca do przenoszenia obciążeń od ruchu po drodze a jej wytrzymałość po 28 dniach wiązania wynosi od 1,5 do 2,5 MPa zgodnie z wymaganiami określonymi w normie PN-S-96012 </w:t>
      </w:r>
    </w:p>
    <w:p w:rsidR="00656AC1" w:rsidRPr="00203191" w:rsidRDefault="00656AC1" w:rsidP="00364E4D">
      <w:pPr>
        <w:pStyle w:val="CM7"/>
        <w:spacing w:after="120" w:line="276" w:lineRule="atLeast"/>
        <w:jc w:val="both"/>
        <w:rPr>
          <w:rFonts w:ascii="Calibri" w:hAnsi="Calibri" w:cs="Calibri"/>
          <w:sz w:val="20"/>
          <w:szCs w:val="20"/>
        </w:rPr>
      </w:pPr>
      <w:r w:rsidRPr="00203191">
        <w:rPr>
          <w:rFonts w:ascii="Calibri" w:hAnsi="Calibri" w:cs="Calibri"/>
          <w:b/>
          <w:bCs/>
          <w:i/>
          <w:iCs/>
          <w:sz w:val="20"/>
          <w:szCs w:val="20"/>
        </w:rPr>
        <w:t>1.3.2.</w:t>
      </w:r>
      <w:r w:rsidRPr="00203191">
        <w:rPr>
          <w:rFonts w:ascii="Calibri" w:hAnsi="Calibri" w:cs="Calibri"/>
          <w:sz w:val="20"/>
          <w:szCs w:val="20"/>
        </w:rPr>
        <w:t xml:space="preserve"> Grunt stabilizowany wielkopiecowym żużlem granulowanym -mieszanka żużlowo-gruntowa zagęszczona i stwardniała w wyniku ukończenia procesu wiązania wielkopiecowego żużla granulowanego. </w:t>
      </w:r>
    </w:p>
    <w:p w:rsidR="00656AC1" w:rsidRPr="00203191" w:rsidRDefault="00656AC1" w:rsidP="00364E4D">
      <w:pPr>
        <w:pStyle w:val="CM8"/>
        <w:spacing w:after="247" w:line="276" w:lineRule="atLeast"/>
        <w:jc w:val="both"/>
        <w:rPr>
          <w:rFonts w:ascii="Calibri" w:hAnsi="Calibri" w:cs="Calibri"/>
          <w:sz w:val="20"/>
          <w:szCs w:val="20"/>
        </w:rPr>
      </w:pPr>
      <w:r w:rsidRPr="00203191">
        <w:rPr>
          <w:rFonts w:ascii="Calibri" w:hAnsi="Calibri" w:cs="Calibri"/>
          <w:b/>
          <w:bCs/>
          <w:i/>
          <w:iCs/>
          <w:sz w:val="20"/>
          <w:szCs w:val="20"/>
        </w:rPr>
        <w:t>1.3.3.</w:t>
      </w:r>
      <w:r w:rsidRPr="00203191">
        <w:rPr>
          <w:rFonts w:ascii="Calibri" w:hAnsi="Calibri" w:cs="Calibri"/>
          <w:sz w:val="20"/>
          <w:szCs w:val="20"/>
        </w:rPr>
        <w:t xml:space="preserve"> Stabilizacja gruntu lub kruszywa wielkopiecowym żużlem granulowanym -proces technologiczny polegający na zmieszaniu rozdrobnionego gruntu lub kruszywa z optymalną ilością wielkopiecowego żużla granulowanego, aktywizatora i wody oraz zagęszczeniu wytworzonej mieszanki. </w:t>
      </w:r>
    </w:p>
    <w:p w:rsidR="00656AC1" w:rsidRPr="00203191" w:rsidRDefault="00656AC1" w:rsidP="00364E4D">
      <w:pPr>
        <w:pStyle w:val="CM8"/>
        <w:spacing w:after="247" w:line="276" w:lineRule="atLeast"/>
        <w:jc w:val="both"/>
        <w:rPr>
          <w:rFonts w:ascii="Calibri" w:hAnsi="Calibri" w:cs="Calibri"/>
          <w:sz w:val="20"/>
          <w:szCs w:val="20"/>
        </w:rPr>
      </w:pPr>
      <w:r w:rsidRPr="00203191">
        <w:rPr>
          <w:rFonts w:ascii="Calibri" w:hAnsi="Calibri" w:cs="Calibri"/>
          <w:b/>
          <w:bCs/>
          <w:i/>
          <w:iCs/>
          <w:sz w:val="20"/>
          <w:szCs w:val="20"/>
        </w:rPr>
        <w:t>1.3.4.</w:t>
      </w:r>
      <w:r w:rsidRPr="00203191">
        <w:rPr>
          <w:rFonts w:ascii="Calibri" w:hAnsi="Calibri" w:cs="Calibri"/>
          <w:sz w:val="20"/>
          <w:szCs w:val="20"/>
        </w:rPr>
        <w:t xml:space="preserve"> Pozostałe określenia są zgodne z obowiązującymi, odpowiednimi polskimi normami i z definicjami podanymi w </w:t>
      </w:r>
      <w:r w:rsidR="005B48CA">
        <w:rPr>
          <w:rFonts w:ascii="Calibri" w:hAnsi="Calibri" w:cs="Calibri"/>
          <w:sz w:val="20"/>
          <w:szCs w:val="20"/>
        </w:rPr>
        <w:t>STWiORB</w:t>
      </w:r>
      <w:r w:rsidRPr="00203191">
        <w:rPr>
          <w:rFonts w:ascii="Calibri" w:hAnsi="Calibri" w:cs="Calibri"/>
          <w:sz w:val="20"/>
          <w:szCs w:val="20"/>
        </w:rPr>
        <w:t xml:space="preserve"> D-M 00.00.00 „Wymagania ogólne” pkt 1.4.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1.4. Ogólne wymagania dotyczące robót </w:t>
      </w:r>
    </w:p>
    <w:p w:rsidR="00656AC1" w:rsidRPr="00203191" w:rsidRDefault="00656AC1" w:rsidP="00364E4D">
      <w:pPr>
        <w:pStyle w:val="CM8"/>
        <w:spacing w:after="247" w:line="276" w:lineRule="atLeast"/>
        <w:jc w:val="both"/>
        <w:rPr>
          <w:rFonts w:ascii="Calibri" w:hAnsi="Calibri" w:cs="Calibri"/>
          <w:sz w:val="20"/>
          <w:szCs w:val="20"/>
        </w:rPr>
      </w:pPr>
      <w:r w:rsidRPr="00203191">
        <w:rPr>
          <w:rFonts w:ascii="Calibri" w:hAnsi="Calibri" w:cs="Calibri"/>
          <w:sz w:val="20"/>
          <w:szCs w:val="20"/>
        </w:rPr>
        <w:t xml:space="preserve">Ogólne wymagania dotyczące robót podano w D-M 00.00.00 „Wymagania ogólne” pkt 1.5.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 xml:space="preserve">2. </w:t>
      </w:r>
      <w:r w:rsidR="00A95FEE">
        <w:rPr>
          <w:rFonts w:ascii="Calibri" w:hAnsi="Calibri" w:cs="Calibri"/>
        </w:rPr>
        <w:t>WYROBY BUDOWLANE</w:t>
      </w:r>
      <w:r w:rsidRPr="00203191">
        <w:rPr>
          <w:rFonts w:ascii="Calibri" w:hAnsi="Calibri" w:cs="Calibri"/>
        </w:rPr>
        <w:t xml:space="preserve">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2.1. Surowce do produkcji stabilizacji i podbudowy</w:t>
      </w:r>
    </w:p>
    <w:p w:rsidR="00656AC1" w:rsidRPr="00203191" w:rsidRDefault="00641C51" w:rsidP="00364E4D">
      <w:pPr>
        <w:pStyle w:val="CM7"/>
        <w:spacing w:after="120" w:line="276" w:lineRule="atLeast"/>
        <w:jc w:val="both"/>
        <w:rPr>
          <w:rFonts w:ascii="Calibri" w:hAnsi="Calibri" w:cs="Calibri"/>
          <w:sz w:val="20"/>
          <w:szCs w:val="20"/>
        </w:rPr>
      </w:pPr>
      <w:r>
        <w:rPr>
          <w:rFonts w:ascii="Calibri" w:hAnsi="Calibri" w:cs="Calibri"/>
          <w:sz w:val="20"/>
          <w:szCs w:val="20"/>
        </w:rPr>
        <w:t xml:space="preserve">Głównym surowcem </w:t>
      </w:r>
      <w:r w:rsidRPr="00203191">
        <w:rPr>
          <w:rFonts w:ascii="Calibri" w:hAnsi="Calibri" w:cs="Calibri"/>
          <w:sz w:val="20"/>
          <w:szCs w:val="20"/>
        </w:rPr>
        <w:t>mieszani</w:t>
      </w:r>
      <w:r>
        <w:rPr>
          <w:rFonts w:ascii="Calibri" w:hAnsi="Calibri" w:cs="Calibri"/>
          <w:sz w:val="20"/>
          <w:szCs w:val="20"/>
        </w:rPr>
        <w:t>ny popiołowo-żużlowo</w:t>
      </w:r>
      <w:r>
        <w:rPr>
          <w:rFonts w:ascii="Calibri" w:hAnsi="Calibri" w:cs="Calibri"/>
          <w:sz w:val="20"/>
          <w:szCs w:val="20"/>
        </w:rPr>
        <w:softHyphen/>
        <w:t>-cementowej</w:t>
      </w:r>
      <w:r w:rsidR="00656AC1" w:rsidRPr="00203191">
        <w:rPr>
          <w:rFonts w:ascii="Calibri" w:hAnsi="Calibri" w:cs="Calibri"/>
          <w:sz w:val="20"/>
          <w:szCs w:val="20"/>
        </w:rPr>
        <w:t xml:space="preserve"> jest mieszanina popiołowo-żużlowa pochodząca z elektrociepłowni, zgromadzona na suchym składowisku nadpoziomowym. Charakteryzuje się ona własnym potencjałem zestalającym i własnościami wiążącymi, co przy określonych możliwościach wykorzystania ma decydującą rolę. Podstawowe parametry mieszaniny popiołowo-żużlowej przedstawia tabela nr 1. </w:t>
      </w:r>
    </w:p>
    <w:p w:rsidR="00AF470B" w:rsidRDefault="00656AC1" w:rsidP="00AF470B">
      <w:pPr>
        <w:pStyle w:val="CM7"/>
        <w:jc w:val="both"/>
        <w:rPr>
          <w:rFonts w:ascii="Calibri" w:hAnsi="Calibri" w:cs="Calibri"/>
          <w:sz w:val="20"/>
          <w:szCs w:val="20"/>
        </w:rPr>
      </w:pPr>
      <w:r w:rsidRPr="00203191">
        <w:rPr>
          <w:rFonts w:ascii="Calibri" w:hAnsi="Calibri" w:cs="Calibri"/>
          <w:sz w:val="20"/>
          <w:szCs w:val="20"/>
        </w:rPr>
        <w:t xml:space="preserve">Własności zestalające popioło-żużli polegają w istocie na ich właściwościach pucolanowych. Podczas zagęszczania tej mieszaniny z cementem przy udziale wody w określonej ilości zachodzą reakcje pomiędzy minerałami krzemianowymi (pucolanami) a związkami wapnia. Popioły i żużle są z natury materiałami o charakterze alkalicznym, związanym z zawartością związków wapna. Pod tym względem są one podobne do tradycyjnych </w:t>
      </w:r>
      <w:r w:rsidRPr="00203191">
        <w:rPr>
          <w:rFonts w:ascii="Calibri" w:hAnsi="Calibri" w:cs="Calibri"/>
          <w:sz w:val="20"/>
          <w:szCs w:val="20"/>
        </w:rPr>
        <w:lastRenderedPageBreak/>
        <w:t xml:space="preserve">spoiw, czyli cementu i wapna, dlatego też oddziaływanie na środowisko i uwarunkowania BHP są takie same jak przy stosowaniu tradycyjnych spoiw budowlanych. </w:t>
      </w:r>
    </w:p>
    <w:p w:rsidR="00AF470B" w:rsidRDefault="00AF470B" w:rsidP="00AF470B">
      <w:pPr>
        <w:pStyle w:val="CM7"/>
        <w:jc w:val="both"/>
        <w:rPr>
          <w:rFonts w:ascii="Calibri" w:hAnsi="Calibri" w:cs="Calibri"/>
          <w:sz w:val="20"/>
          <w:szCs w:val="20"/>
        </w:rPr>
      </w:pPr>
    </w:p>
    <w:p w:rsidR="00656AC1" w:rsidRPr="00203191" w:rsidRDefault="00656AC1" w:rsidP="00AF470B">
      <w:pPr>
        <w:pStyle w:val="CM7"/>
        <w:jc w:val="both"/>
        <w:rPr>
          <w:rFonts w:ascii="Calibri" w:hAnsi="Calibri" w:cs="Calibri"/>
          <w:sz w:val="20"/>
          <w:szCs w:val="20"/>
        </w:rPr>
      </w:pPr>
      <w:r w:rsidRPr="00203191">
        <w:rPr>
          <w:rFonts w:ascii="Calibri" w:hAnsi="Calibri" w:cs="Calibri"/>
          <w:sz w:val="20"/>
          <w:szCs w:val="20"/>
        </w:rPr>
        <w:t>Tabl</w:t>
      </w:r>
      <w:r w:rsidR="00AF470B">
        <w:rPr>
          <w:rFonts w:ascii="Calibri" w:hAnsi="Calibri" w:cs="Calibri"/>
          <w:sz w:val="20"/>
          <w:szCs w:val="20"/>
        </w:rPr>
        <w:t>ica</w:t>
      </w:r>
      <w:r w:rsidRPr="00203191">
        <w:rPr>
          <w:rFonts w:ascii="Calibri" w:hAnsi="Calibri" w:cs="Calibri"/>
          <w:sz w:val="20"/>
          <w:szCs w:val="20"/>
        </w:rPr>
        <w:t xml:space="preserve">a 1. Zestawienie cech fizykochemicznych mieszaniny popiołowo-żużlowej ze składowiska </w:t>
      </w:r>
    </w:p>
    <w:p w:rsidR="00656AC1" w:rsidRPr="00203191" w:rsidRDefault="00656AC1" w:rsidP="00364E4D">
      <w:pPr>
        <w:pStyle w:val="CM8"/>
        <w:spacing w:after="247" w:line="276" w:lineRule="atLeast"/>
        <w:jc w:val="both"/>
        <w:rPr>
          <w:rFonts w:ascii="Calibri" w:hAnsi="Calibri" w:cs="Calibri"/>
          <w:sz w:val="20"/>
          <w:szCs w:val="20"/>
        </w:rPr>
      </w:pPr>
      <w:r w:rsidRPr="00203191">
        <w:rPr>
          <w:rFonts w:ascii="Calibri" w:hAnsi="Calibri" w:cs="Calibri"/>
          <w:sz w:val="20"/>
          <w:szCs w:val="20"/>
        </w:rPr>
        <w:t xml:space="preserve">elektrociepłowni </w:t>
      </w:r>
    </w:p>
    <w:tbl>
      <w:tblPr>
        <w:tblpPr w:leftFromText="141" w:rightFromText="141" w:vertAnchor="text" w:horzAnchor="margin" w:tblpY="81"/>
        <w:tblW w:w="6183" w:type="dxa"/>
        <w:tblLayout w:type="fixed"/>
        <w:tblLook w:val="0000"/>
      </w:tblPr>
      <w:tblGrid>
        <w:gridCol w:w="787"/>
        <w:gridCol w:w="3311"/>
        <w:gridCol w:w="2085"/>
      </w:tblGrid>
      <w:tr w:rsidR="00656AC1" w:rsidRPr="00203191">
        <w:trPr>
          <w:trHeight w:val="220"/>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Lp.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Cecha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Wynik badania </w:t>
            </w:r>
          </w:p>
        </w:tc>
      </w:tr>
      <w:tr w:rsidR="00656AC1" w:rsidRPr="00203191">
        <w:trPr>
          <w:trHeight w:val="211"/>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Wskaźnik piaskowy, Wp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28-30 </w:t>
            </w:r>
          </w:p>
        </w:tc>
      </w:tr>
      <w:tr w:rsidR="00656AC1" w:rsidRPr="00203191">
        <w:trPr>
          <w:trHeight w:val="212"/>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2.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Wilgotność naturalna, %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25 – 33 </w:t>
            </w:r>
          </w:p>
        </w:tc>
      </w:tr>
      <w:tr w:rsidR="00656AC1" w:rsidRPr="00203191">
        <w:trPr>
          <w:trHeight w:val="211"/>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3.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Wilgotność optymalna, %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32,5 </w:t>
            </w:r>
          </w:p>
        </w:tc>
      </w:tr>
      <w:tr w:rsidR="00656AC1" w:rsidRPr="00203191">
        <w:trPr>
          <w:trHeight w:val="212"/>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4.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Kapilarność bierna, m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1,0 </w:t>
            </w:r>
          </w:p>
        </w:tc>
      </w:tr>
      <w:tr w:rsidR="00656AC1" w:rsidRPr="00203191">
        <w:trPr>
          <w:trHeight w:val="212"/>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5.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Wskaźnik CBR, %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15 – 25 </w:t>
            </w:r>
          </w:p>
        </w:tc>
      </w:tr>
      <w:tr w:rsidR="00656AC1" w:rsidRPr="00203191">
        <w:trPr>
          <w:trHeight w:val="211"/>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6.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Straty prażenia, %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9,9 </w:t>
            </w:r>
          </w:p>
        </w:tc>
      </w:tr>
      <w:tr w:rsidR="00656AC1" w:rsidRPr="00203191">
        <w:trPr>
          <w:trHeight w:val="212"/>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7.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Odczyn pH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&gt;8 </w:t>
            </w:r>
          </w:p>
        </w:tc>
      </w:tr>
      <w:tr w:rsidR="00656AC1" w:rsidRPr="00203191">
        <w:trPr>
          <w:trHeight w:val="441"/>
        </w:trPr>
        <w:tc>
          <w:tcPr>
            <w:tcW w:w="787"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8. </w:t>
            </w:r>
          </w:p>
        </w:tc>
        <w:tc>
          <w:tcPr>
            <w:tcW w:w="331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SiO2, % Al2O3, % Fe2O3, % CaO, % MgO, % Na2O, % SO3, % </w:t>
            </w:r>
          </w:p>
        </w:tc>
        <w:tc>
          <w:tcPr>
            <w:tcW w:w="2085"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43,7 23,5 8,42 3,36 1,96 0,93 0,5 -0,9 </w:t>
            </w:r>
          </w:p>
        </w:tc>
      </w:tr>
    </w:tbl>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Default"/>
        <w:rPr>
          <w:rFonts w:ascii="Calibri" w:hAnsi="Calibri" w:cs="Calibri"/>
          <w:color w:val="auto"/>
          <w:sz w:val="20"/>
          <w:szCs w:val="20"/>
        </w:rPr>
      </w:pP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2.2. Podbudowy i stabilizacje na bazie mieszaniny popiołowo-żużlowej </w:t>
      </w:r>
    </w:p>
    <w:p w:rsidR="00656AC1" w:rsidRPr="00203191" w:rsidRDefault="00656AC1" w:rsidP="00364E4D">
      <w:pPr>
        <w:pStyle w:val="CM2"/>
        <w:jc w:val="both"/>
        <w:rPr>
          <w:rFonts w:ascii="Calibri" w:hAnsi="Calibri" w:cs="Calibri"/>
          <w:sz w:val="20"/>
          <w:szCs w:val="20"/>
        </w:rPr>
      </w:pPr>
      <w:r w:rsidRPr="00203191">
        <w:rPr>
          <w:rFonts w:ascii="Calibri" w:hAnsi="Calibri" w:cs="Calibri"/>
          <w:sz w:val="20"/>
          <w:szCs w:val="20"/>
        </w:rPr>
        <w:t xml:space="preserve">Wymagane wytrzymałości na ściskanie </w:t>
      </w:r>
      <w:r w:rsidR="00641C51" w:rsidRPr="00203191">
        <w:rPr>
          <w:rFonts w:ascii="Calibri" w:hAnsi="Calibri" w:cs="Calibri"/>
          <w:sz w:val="20"/>
          <w:szCs w:val="20"/>
        </w:rPr>
        <w:t>mieszani</w:t>
      </w:r>
      <w:r w:rsidR="00641C51">
        <w:rPr>
          <w:rFonts w:ascii="Calibri" w:hAnsi="Calibri" w:cs="Calibri"/>
          <w:sz w:val="20"/>
          <w:szCs w:val="20"/>
        </w:rPr>
        <w:t>ny popiołowo-żużlowo</w:t>
      </w:r>
      <w:r w:rsidR="00641C51">
        <w:rPr>
          <w:rFonts w:ascii="Calibri" w:hAnsi="Calibri" w:cs="Calibri"/>
          <w:sz w:val="20"/>
          <w:szCs w:val="20"/>
        </w:rPr>
        <w:softHyphen/>
        <w:t>-cementowej</w:t>
      </w:r>
      <w:r w:rsidRPr="00203191">
        <w:rPr>
          <w:rFonts w:ascii="Calibri" w:hAnsi="Calibri" w:cs="Calibri"/>
          <w:sz w:val="20"/>
          <w:szCs w:val="20"/>
        </w:rPr>
        <w:t xml:space="preserve"> oraz wymagane wskaźniki mrozoodporności próbek w zależności od rodzaju warstwy w konstrukcji nawierzchni drogowej podano w tablicy nr 2 zgodnie z PN-S-96012 </w:t>
      </w:r>
    </w:p>
    <w:p w:rsidR="00656AC1" w:rsidRPr="00203191" w:rsidRDefault="00656AC1" w:rsidP="00364E4D">
      <w:pPr>
        <w:pStyle w:val="CM2"/>
        <w:jc w:val="both"/>
        <w:rPr>
          <w:rFonts w:ascii="Calibri" w:hAnsi="Calibri" w:cs="Calibri"/>
          <w:sz w:val="20"/>
          <w:szCs w:val="20"/>
        </w:rPr>
      </w:pPr>
    </w:p>
    <w:p w:rsidR="00656AC1" w:rsidRPr="00203191" w:rsidRDefault="00656AC1" w:rsidP="00364E4D">
      <w:pPr>
        <w:pStyle w:val="CM2"/>
        <w:jc w:val="both"/>
        <w:rPr>
          <w:rFonts w:ascii="Calibri" w:hAnsi="Calibri" w:cs="Calibri"/>
          <w:sz w:val="20"/>
          <w:szCs w:val="20"/>
        </w:rPr>
      </w:pPr>
      <w:r w:rsidRPr="00203191">
        <w:rPr>
          <w:rFonts w:ascii="Calibri" w:hAnsi="Calibri" w:cs="Calibri"/>
          <w:sz w:val="20"/>
          <w:szCs w:val="20"/>
        </w:rPr>
        <w:t xml:space="preserve">Tablica nr 2. </w:t>
      </w:r>
    </w:p>
    <w:p w:rsidR="00656AC1" w:rsidRPr="00203191" w:rsidRDefault="00656AC1" w:rsidP="00364E4D">
      <w:pPr>
        <w:pStyle w:val="Default"/>
        <w:rPr>
          <w:rFonts w:ascii="Calibri" w:hAnsi="Calibri" w:cs="Calibri"/>
          <w:color w:val="auto"/>
          <w:sz w:val="20"/>
          <w:szCs w:val="20"/>
        </w:rPr>
      </w:pPr>
    </w:p>
    <w:tbl>
      <w:tblPr>
        <w:tblW w:w="0" w:type="auto"/>
        <w:tblInd w:w="2" w:type="dxa"/>
        <w:tblLayout w:type="fixed"/>
        <w:tblLook w:val="0000"/>
      </w:tblPr>
      <w:tblGrid>
        <w:gridCol w:w="622"/>
        <w:gridCol w:w="2516"/>
        <w:gridCol w:w="1648"/>
        <w:gridCol w:w="1559"/>
        <w:gridCol w:w="2551"/>
      </w:tblGrid>
      <w:tr w:rsidR="00656AC1" w:rsidRPr="00203191">
        <w:trPr>
          <w:trHeight w:val="220"/>
        </w:trPr>
        <w:tc>
          <w:tcPr>
            <w:tcW w:w="622" w:type="dxa"/>
            <w:vMerge w:val="restart"/>
            <w:tcBorders>
              <w:top w:val="single" w:sz="6" w:space="0" w:color="000000"/>
              <w:left w:val="single" w:sz="4"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Lp. </w:t>
            </w:r>
          </w:p>
        </w:tc>
        <w:tc>
          <w:tcPr>
            <w:tcW w:w="2516" w:type="dxa"/>
            <w:vMerge w:val="restart"/>
            <w:tcBorders>
              <w:top w:val="single" w:sz="6" w:space="0" w:color="000000"/>
              <w:left w:val="single" w:sz="4"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Rodzaj warstwy w konstrukcji nawierzchni drogowej</w:t>
            </w:r>
          </w:p>
        </w:tc>
        <w:tc>
          <w:tcPr>
            <w:tcW w:w="3207" w:type="dxa"/>
            <w:gridSpan w:val="2"/>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Wytrzymałość na ściskanie próbek nasyconych wodą (MPa)</w:t>
            </w:r>
          </w:p>
        </w:tc>
        <w:tc>
          <w:tcPr>
            <w:tcW w:w="2551" w:type="dxa"/>
            <w:vMerge w:val="restart"/>
            <w:tcBorders>
              <w:top w:val="single" w:sz="6" w:space="0" w:color="000000"/>
              <w:left w:val="single" w:sz="4"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Współczynnik mrozoodporności(k) </w:t>
            </w:r>
          </w:p>
        </w:tc>
      </w:tr>
      <w:tr w:rsidR="00656AC1" w:rsidRPr="00203191">
        <w:trPr>
          <w:trHeight w:val="220"/>
        </w:trPr>
        <w:tc>
          <w:tcPr>
            <w:tcW w:w="622" w:type="dxa"/>
            <w:vMerge/>
            <w:tcBorders>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p>
        </w:tc>
        <w:tc>
          <w:tcPr>
            <w:tcW w:w="2516" w:type="dxa"/>
            <w:vMerge/>
            <w:tcBorders>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p>
        </w:tc>
        <w:tc>
          <w:tcPr>
            <w:tcW w:w="1648"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R7</w:t>
            </w:r>
          </w:p>
        </w:tc>
        <w:tc>
          <w:tcPr>
            <w:tcW w:w="1559"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R28</w:t>
            </w:r>
          </w:p>
        </w:tc>
        <w:tc>
          <w:tcPr>
            <w:tcW w:w="2551" w:type="dxa"/>
            <w:vMerge/>
            <w:tcBorders>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p>
        </w:tc>
      </w:tr>
      <w:tr w:rsidR="00656AC1" w:rsidRPr="00203191">
        <w:trPr>
          <w:trHeight w:val="220"/>
        </w:trPr>
        <w:tc>
          <w:tcPr>
            <w:tcW w:w="622"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1</w:t>
            </w:r>
          </w:p>
        </w:tc>
        <w:tc>
          <w:tcPr>
            <w:tcW w:w="2516"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Stabilizacja gruntu</w:t>
            </w:r>
          </w:p>
        </w:tc>
        <w:tc>
          <w:tcPr>
            <w:tcW w:w="1648"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1÷1,6</w:t>
            </w:r>
          </w:p>
        </w:tc>
        <w:tc>
          <w:tcPr>
            <w:tcW w:w="1559"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1,5÷2,5</w:t>
            </w:r>
          </w:p>
        </w:tc>
        <w:tc>
          <w:tcPr>
            <w:tcW w:w="2551"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0,7</w:t>
            </w:r>
          </w:p>
        </w:tc>
      </w:tr>
    </w:tbl>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2.3. Woda </w:t>
      </w:r>
    </w:p>
    <w:p w:rsidR="00656AC1" w:rsidRPr="00203191" w:rsidRDefault="00656AC1" w:rsidP="00364E4D">
      <w:pPr>
        <w:pStyle w:val="CM8"/>
        <w:spacing w:after="247" w:line="278" w:lineRule="atLeast"/>
        <w:rPr>
          <w:rFonts w:ascii="Calibri" w:hAnsi="Calibri" w:cs="Calibri"/>
          <w:sz w:val="20"/>
          <w:szCs w:val="20"/>
        </w:rPr>
      </w:pPr>
      <w:r w:rsidRPr="00203191">
        <w:rPr>
          <w:rFonts w:ascii="Calibri" w:hAnsi="Calibri" w:cs="Calibri"/>
          <w:sz w:val="20"/>
          <w:szCs w:val="20"/>
        </w:rPr>
        <w:t>Woda stosowana do stabilizacji i ewentualnie do pielęgnacji powinna odpowiadać wymaganiom PN</w:t>
      </w:r>
      <w:r w:rsidRPr="00203191">
        <w:rPr>
          <w:rFonts w:ascii="Calibri" w:hAnsi="Calibri" w:cs="Calibri"/>
          <w:sz w:val="20"/>
          <w:szCs w:val="20"/>
        </w:rPr>
        <w:softHyphen/>
        <w:t xml:space="preserve">B-32250. Bez badań można stosować wodę wodociągową.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 xml:space="preserve">3. SPRZĘT </w:t>
      </w:r>
    </w:p>
    <w:p w:rsidR="00656AC1" w:rsidRPr="00203191" w:rsidRDefault="00656AC1" w:rsidP="00364E4D">
      <w:pPr>
        <w:pStyle w:val="CM8"/>
        <w:spacing w:after="247" w:line="278" w:lineRule="atLeast"/>
        <w:rPr>
          <w:rFonts w:ascii="Calibri" w:hAnsi="Calibri" w:cs="Calibri"/>
          <w:sz w:val="20"/>
          <w:szCs w:val="20"/>
        </w:rPr>
      </w:pPr>
      <w:r w:rsidRPr="00203191">
        <w:rPr>
          <w:rFonts w:ascii="Calibri" w:hAnsi="Calibri" w:cs="Calibri"/>
          <w:sz w:val="20"/>
          <w:szCs w:val="20"/>
        </w:rPr>
        <w:t xml:space="preserve">Do rozgarniania i wstępnego rozprowadzania wilgotnych mieszanek dostarczonych samochodami samowyładowczymi stosuje się sprzęt; spycharki, równiarki, rozściełacze, koparko-ładowarki z szerokim lemieszem. Do zagęszczenia zasadniczego i końcowego stosuje się sprzęt ciężki w postaci walców wibracyjnych, ogumionych oraz ręcznych ciężkich płyt wibracyjnych. W przypadku konieczności pielęgnacji przesuszonej warstwy stosuje się zraszarki. Przed wyjazdem pojazdów z terenu budowy konieczne jest umycie kół przed wyjazdem na drogi publiczne. </w:t>
      </w:r>
    </w:p>
    <w:p w:rsidR="00656AC1" w:rsidRPr="00203191" w:rsidRDefault="00656AC1" w:rsidP="00364E4D">
      <w:pPr>
        <w:pStyle w:val="CM7"/>
        <w:spacing w:after="120" w:line="278" w:lineRule="atLeast"/>
        <w:rPr>
          <w:rFonts w:ascii="Calibri" w:hAnsi="Calibri" w:cs="Calibri"/>
          <w:b/>
          <w:bCs/>
          <w:caps/>
          <w:sz w:val="20"/>
          <w:szCs w:val="20"/>
        </w:rPr>
      </w:pPr>
      <w:r w:rsidRPr="00203191">
        <w:rPr>
          <w:rFonts w:ascii="Calibri" w:hAnsi="Calibri" w:cs="Calibri"/>
          <w:b/>
          <w:bCs/>
          <w:caps/>
          <w:sz w:val="20"/>
          <w:szCs w:val="20"/>
        </w:rPr>
        <w:t xml:space="preserve">4. TRANSPORT </w:t>
      </w:r>
    </w:p>
    <w:p w:rsidR="00656AC1" w:rsidRPr="00203191" w:rsidRDefault="00656AC1" w:rsidP="00364E4D">
      <w:pPr>
        <w:pStyle w:val="CM8"/>
        <w:spacing w:after="247" w:line="278" w:lineRule="atLeast"/>
        <w:rPr>
          <w:rFonts w:ascii="Calibri" w:hAnsi="Calibri" w:cs="Calibri"/>
          <w:sz w:val="20"/>
          <w:szCs w:val="20"/>
        </w:rPr>
      </w:pPr>
      <w:r w:rsidRPr="00203191">
        <w:rPr>
          <w:rFonts w:ascii="Calibri" w:hAnsi="Calibri" w:cs="Calibri"/>
          <w:sz w:val="20"/>
          <w:szCs w:val="20"/>
        </w:rPr>
        <w:t xml:space="preserve">Gotowa wilgotna mieszanka popiołowo-żużlowo przewożona samochodami samowyładowczymi powinna być zabezpieczona przed nadmiernym przesuszaniem lub opadami atmosferycznymi plandekami lub żaluzjami.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lastRenderedPageBreak/>
        <w:t xml:space="preserve">5. WYKONANIE ROBÓT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5.1. Ogólne zasady wykonania robót </w:t>
      </w:r>
    </w:p>
    <w:p w:rsidR="00656AC1" w:rsidRPr="00203191" w:rsidRDefault="00656AC1" w:rsidP="00364E4D">
      <w:pPr>
        <w:pStyle w:val="CM3"/>
        <w:rPr>
          <w:rFonts w:ascii="Calibri" w:hAnsi="Calibri" w:cs="Calibri"/>
          <w:sz w:val="20"/>
          <w:szCs w:val="20"/>
        </w:rPr>
      </w:pPr>
      <w:r w:rsidRPr="00203191">
        <w:rPr>
          <w:rFonts w:ascii="Calibri" w:hAnsi="Calibri" w:cs="Calibri"/>
          <w:sz w:val="20"/>
          <w:szCs w:val="20"/>
        </w:rPr>
        <w:t xml:space="preserve">Materiał należy układać mechanicznie. Grubość układanej warstwy powinna być taka, aby zapewnić uzyskanie wymaganej grubości warstwy po zagęszczeniu. Zagęszczenie i profilowanie mieszanki powinno być zakończone w dniu jej przywiezienia na budowę. Należy wykonać wstępne zagęszczenie sprzętem lekkim a następnie zasadnicze zagęszczenie sprzętem ciężkim; walce wibracyjne (2-3 przejazdy) lub ciężkie płyty wibracyjne (4 przejazdy). Nie należy pozostawiać niezagęszczonej warstwy na dzień następny. Konieczne jest zabezpieczenie górnej powierzchni mieszanki przed działaniem warunków atmosferycznych. W przypadku długotrwałych opadów atmosferycznych należy przerwać układnie lub układanie, gdy wilgotność przekroczy optymalną o 5%. Wznowienie układania lub zagęszczania może mieć miejsce po ustaniu opadów i przeschnięciu warstwy do wilgotności zbliżonej do optymalnej. Skład mieszanki dobrany jest w wytwórni i zapewnia jej jednorodność, dlatego nie wolno mieszać mieszanki na miejscu z gruntem, piaskiem, wapnem, cementem lub popiołem lotnym. Specjalną uwagę należy poświęcić zagęszczaniu mieszanki w sąsiedztwie spoin roboczych podłużnych i poprzecznych oraz wszelkich urządzeń obcych. Wszelkie miejsca luźne, rozsegregowane, spękane podczas zagęszczania lub w inny sposób wadliwe, muszą być naprawione przez zerwanie wadliwej warstwy na pełną jej grubość, a następnie wbudowanie nowej mieszanki o odpowiednim składzie i wilgotności. Po zakończeniu prac na działce roboczej, należy zadbać o jej pielęgnację poprzez; -zraszanie wodą, -przykrycie warstwą piasku lub mieszanki kamiennej, -przykrycie geowłókniną nasączoną wodą lub folią budowlaną.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5.2. Warunki przystąpienia do robót </w:t>
      </w:r>
    </w:p>
    <w:p w:rsidR="00656AC1" w:rsidRPr="00203191" w:rsidRDefault="00656AC1" w:rsidP="00364E4D">
      <w:pPr>
        <w:pStyle w:val="CM9"/>
        <w:rPr>
          <w:rFonts w:ascii="Calibri" w:hAnsi="Calibri" w:cs="Calibri"/>
          <w:sz w:val="20"/>
          <w:szCs w:val="20"/>
        </w:rPr>
      </w:pPr>
      <w:r w:rsidRPr="00203191">
        <w:rPr>
          <w:rFonts w:ascii="Calibri" w:hAnsi="Calibri" w:cs="Calibri"/>
          <w:sz w:val="20"/>
          <w:szCs w:val="20"/>
        </w:rPr>
        <w:t xml:space="preserve">Mieszaniną popiołowo-żużlowa nie może być wbudowywana gdy podłoże jest zamarznięte oraz podczas silnych opadów atmosferycznych. Nie należy rozpoczynać układania mieszanin popiołowo-żużlowych jeżeli prognozy meteorologiczne wskazują na możliwy spadek temperatury poniżej 0oC w czasie najbliższych 3 dni.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5.3. Skład mieszaniny popiołowo-żużlowej </w:t>
      </w:r>
    </w:p>
    <w:p w:rsidR="00656AC1" w:rsidRPr="00203191" w:rsidRDefault="00641C51" w:rsidP="00364E4D">
      <w:pPr>
        <w:pStyle w:val="CM7"/>
        <w:spacing w:line="278" w:lineRule="atLeast"/>
        <w:rPr>
          <w:rFonts w:ascii="Calibri" w:hAnsi="Calibri" w:cs="Calibri"/>
          <w:sz w:val="20"/>
          <w:szCs w:val="20"/>
        </w:rPr>
      </w:pPr>
      <w:r>
        <w:rPr>
          <w:rFonts w:ascii="Calibri" w:hAnsi="Calibri" w:cs="Calibri"/>
          <w:sz w:val="20"/>
          <w:szCs w:val="20"/>
        </w:rPr>
        <w:t>M</w:t>
      </w:r>
      <w:r w:rsidRPr="00203191">
        <w:rPr>
          <w:rFonts w:ascii="Calibri" w:hAnsi="Calibri" w:cs="Calibri"/>
          <w:sz w:val="20"/>
          <w:szCs w:val="20"/>
        </w:rPr>
        <w:t>ieszani</w:t>
      </w:r>
      <w:r>
        <w:rPr>
          <w:rFonts w:ascii="Calibri" w:hAnsi="Calibri" w:cs="Calibri"/>
          <w:sz w:val="20"/>
          <w:szCs w:val="20"/>
        </w:rPr>
        <w:t>na popiołowo-żużlowo</w:t>
      </w:r>
      <w:r>
        <w:rPr>
          <w:rFonts w:ascii="Calibri" w:hAnsi="Calibri" w:cs="Calibri"/>
          <w:sz w:val="20"/>
          <w:szCs w:val="20"/>
        </w:rPr>
        <w:softHyphen/>
        <w:t>-cementowej</w:t>
      </w:r>
      <w:r w:rsidR="00656AC1" w:rsidRPr="00203191">
        <w:rPr>
          <w:rFonts w:ascii="Calibri" w:hAnsi="Calibri" w:cs="Calibri"/>
          <w:sz w:val="20"/>
          <w:szCs w:val="20"/>
        </w:rPr>
        <w:t xml:space="preserve"> może być wytwarzana wyłącznie przy zastosowaniu technologii mieszania w wytwórniach stacjonarnych. Mieszanki zgodnie z recepturami IBDiM oraz PWR powinny być przygotowywane na węźle sterowanym komputerowo, posiadającym system pomiaru wilgotności składników mieszanki oraz wyrobów gotowych. Dozowanie składników powinno odbywać się w systemie wagowym. Dodatki ulepszające powinny być dozowane w miarę potrzeb i ustaleń laboratoryjnych.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5.4. Grubość warstwy </w:t>
      </w:r>
    </w:p>
    <w:p w:rsidR="00656AC1" w:rsidRPr="00203191" w:rsidRDefault="00656AC1" w:rsidP="00364E4D">
      <w:pPr>
        <w:pStyle w:val="CM9"/>
        <w:spacing w:line="278" w:lineRule="atLeast"/>
        <w:rPr>
          <w:rFonts w:ascii="Calibri" w:hAnsi="Calibri" w:cs="Calibri"/>
          <w:sz w:val="20"/>
          <w:szCs w:val="20"/>
        </w:rPr>
      </w:pPr>
      <w:r w:rsidRPr="00203191">
        <w:rPr>
          <w:rFonts w:ascii="Calibri" w:hAnsi="Calibri" w:cs="Calibri"/>
          <w:sz w:val="20"/>
          <w:szCs w:val="20"/>
        </w:rPr>
        <w:t xml:space="preserve">Grubość warstwy </w:t>
      </w:r>
      <w:r w:rsidR="005B7C6E" w:rsidRPr="00203191">
        <w:rPr>
          <w:rFonts w:ascii="Calibri" w:hAnsi="Calibri" w:cs="Calibri"/>
          <w:sz w:val="20"/>
          <w:szCs w:val="20"/>
        </w:rPr>
        <w:t>mieszani</w:t>
      </w:r>
      <w:r w:rsidR="005B7C6E">
        <w:rPr>
          <w:rFonts w:ascii="Calibri" w:hAnsi="Calibri" w:cs="Calibri"/>
          <w:sz w:val="20"/>
          <w:szCs w:val="20"/>
        </w:rPr>
        <w:t>ny popiołowo-żużlowo</w:t>
      </w:r>
      <w:r w:rsidR="005B7C6E">
        <w:rPr>
          <w:rFonts w:ascii="Calibri" w:hAnsi="Calibri" w:cs="Calibri"/>
          <w:sz w:val="20"/>
          <w:szCs w:val="20"/>
        </w:rPr>
        <w:softHyphen/>
        <w:t>-cementowej</w:t>
      </w:r>
      <w:r w:rsidRPr="00203191">
        <w:rPr>
          <w:rFonts w:ascii="Calibri" w:hAnsi="Calibri" w:cs="Calibri"/>
          <w:sz w:val="20"/>
          <w:szCs w:val="20"/>
        </w:rPr>
        <w:t xml:space="preserve"> powinna być zgodna z dokumentacją projektową.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5.5. Spoiny robocze </w:t>
      </w:r>
    </w:p>
    <w:p w:rsidR="00656AC1" w:rsidRPr="00203191" w:rsidRDefault="00656AC1" w:rsidP="00364E4D">
      <w:pPr>
        <w:pStyle w:val="CM9"/>
        <w:spacing w:line="278" w:lineRule="atLeast"/>
        <w:rPr>
          <w:rFonts w:ascii="Calibri" w:hAnsi="Calibri" w:cs="Calibri"/>
          <w:sz w:val="20"/>
          <w:szCs w:val="20"/>
        </w:rPr>
      </w:pPr>
      <w:r w:rsidRPr="00203191">
        <w:rPr>
          <w:rFonts w:ascii="Calibri" w:hAnsi="Calibri" w:cs="Calibri"/>
          <w:sz w:val="20"/>
          <w:szCs w:val="20"/>
        </w:rPr>
        <w:t xml:space="preserve">W miarę możliwości należy unikać podłużnych spoin roboczych, poprzez wykonanie warstwy na całej szerokości. Jeśli jest to niemożliwe, przy nowej wykonywanej warstwie, przed wykonaniem kolejnego pasa należy pionową krawędź istniejącego pasa odciąć ręcznie lub mechanicznie i zwilżyć wodą. Jeżeli w niżej położonej warstwie podbudowy występują spoiny robocze, to spoiny w warstwie leżącej wyżej powinny być względem nich przesunięte o co najmniej 50cm.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5.6. Ruch technologiczny </w:t>
      </w:r>
    </w:p>
    <w:p w:rsidR="00656AC1" w:rsidRPr="00203191" w:rsidRDefault="00656AC1" w:rsidP="00364E4D">
      <w:pPr>
        <w:pStyle w:val="CM8"/>
        <w:spacing w:line="278" w:lineRule="atLeast"/>
        <w:rPr>
          <w:rFonts w:ascii="Calibri" w:hAnsi="Calibri" w:cs="Calibri"/>
          <w:sz w:val="20"/>
          <w:szCs w:val="20"/>
        </w:rPr>
      </w:pPr>
      <w:r w:rsidRPr="00203191">
        <w:rPr>
          <w:rFonts w:ascii="Calibri" w:hAnsi="Calibri" w:cs="Calibri"/>
          <w:sz w:val="20"/>
          <w:szCs w:val="20"/>
        </w:rPr>
        <w:t xml:space="preserve">Nie dopuszcza się prowadzenia ruchu technologicznego ciężkiego na </w:t>
      </w:r>
      <w:r w:rsidR="005B7C6E" w:rsidRPr="00203191">
        <w:rPr>
          <w:rFonts w:ascii="Calibri" w:hAnsi="Calibri" w:cs="Calibri"/>
          <w:sz w:val="20"/>
          <w:szCs w:val="20"/>
        </w:rPr>
        <w:t>mieszani</w:t>
      </w:r>
      <w:r w:rsidR="005B7C6E">
        <w:rPr>
          <w:rFonts w:ascii="Calibri" w:hAnsi="Calibri" w:cs="Calibri"/>
          <w:sz w:val="20"/>
          <w:szCs w:val="20"/>
        </w:rPr>
        <w:t>nie popiołowo-żużlowo</w:t>
      </w:r>
      <w:r w:rsidR="005B7C6E">
        <w:rPr>
          <w:rFonts w:ascii="Calibri" w:hAnsi="Calibri" w:cs="Calibri"/>
          <w:sz w:val="20"/>
          <w:szCs w:val="20"/>
        </w:rPr>
        <w:softHyphen/>
        <w:t>-cementowej</w:t>
      </w:r>
      <w:r w:rsidRPr="00203191">
        <w:rPr>
          <w:rFonts w:ascii="Calibri" w:hAnsi="Calibri" w:cs="Calibri"/>
          <w:sz w:val="20"/>
          <w:szCs w:val="20"/>
        </w:rPr>
        <w:t xml:space="preserve"> do czasu osiągnięcia odpowiedniej wytrzymałości. Jeżeli jednak taka konieczność nastąpi, należy unikać gwałtownych ruchów pojazdów, skręcania kół w miejscu gdyż może wpłynąć to na zniszczenie górnej warstwy dojrzewającej jeszcze mieszaniny. W celu uniknięcia usterek należy ułożyć warstwę ochronna, np. mieszankę kamienną grubości 10 cm.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lastRenderedPageBreak/>
        <w:t xml:space="preserve">6. KONTROLA JAKOŚCI ROBÓT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6.1. Ogólne zasady kontroli jakości robót, badania i pomiarów przedstawiono w tabeli 3 i 4.</w:t>
      </w:r>
    </w:p>
    <w:p w:rsidR="00656AC1" w:rsidRPr="00203191" w:rsidRDefault="00656AC1" w:rsidP="00364E4D">
      <w:pPr>
        <w:pStyle w:val="CM3"/>
        <w:rPr>
          <w:rFonts w:ascii="Calibri" w:hAnsi="Calibri" w:cs="Calibri"/>
          <w:sz w:val="20"/>
          <w:szCs w:val="20"/>
        </w:rPr>
      </w:pPr>
    </w:p>
    <w:p w:rsidR="00656AC1" w:rsidRPr="00203191" w:rsidRDefault="00656AC1" w:rsidP="00364E4D">
      <w:pPr>
        <w:pStyle w:val="CM3"/>
        <w:rPr>
          <w:rFonts w:ascii="Calibri" w:hAnsi="Calibri" w:cs="Calibri"/>
          <w:sz w:val="20"/>
          <w:szCs w:val="20"/>
        </w:rPr>
      </w:pPr>
      <w:r w:rsidRPr="00203191">
        <w:rPr>
          <w:rFonts w:ascii="Calibri" w:hAnsi="Calibri" w:cs="Calibri"/>
          <w:sz w:val="20"/>
          <w:szCs w:val="20"/>
        </w:rPr>
        <w:t xml:space="preserve"> Tabela 3 – częstość pomiarów</w:t>
      </w:r>
    </w:p>
    <w:tbl>
      <w:tblPr>
        <w:tblW w:w="0" w:type="auto"/>
        <w:tblInd w:w="2" w:type="dxa"/>
        <w:tblLayout w:type="fixed"/>
        <w:tblCellMar>
          <w:left w:w="70" w:type="dxa"/>
          <w:right w:w="70" w:type="dxa"/>
        </w:tblCellMar>
        <w:tblLook w:val="0000"/>
      </w:tblPr>
      <w:tblGrid>
        <w:gridCol w:w="496"/>
        <w:gridCol w:w="5694"/>
        <w:gridCol w:w="1440"/>
        <w:gridCol w:w="1980"/>
      </w:tblGrid>
      <w:tr w:rsidR="00656AC1" w:rsidRPr="00203191">
        <w:tc>
          <w:tcPr>
            <w:tcW w:w="496" w:type="dxa"/>
            <w:tcBorders>
              <w:top w:val="single" w:sz="6" w:space="0" w:color="auto"/>
              <w:left w:val="single" w:sz="6" w:space="0" w:color="auto"/>
            </w:tcBorders>
          </w:tcPr>
          <w:p w:rsidR="00656AC1" w:rsidRPr="00203191" w:rsidRDefault="00656AC1" w:rsidP="00364E4D">
            <w:pPr>
              <w:pStyle w:val="tekstost"/>
              <w:jc w:val="center"/>
              <w:rPr>
                <w:rFonts w:ascii="Calibri" w:hAnsi="Calibri" w:cs="Calibri"/>
              </w:rPr>
            </w:pPr>
          </w:p>
        </w:tc>
        <w:tc>
          <w:tcPr>
            <w:tcW w:w="5694" w:type="dxa"/>
            <w:tcBorders>
              <w:top w:val="single" w:sz="6" w:space="0" w:color="auto"/>
              <w:left w:val="single" w:sz="6" w:space="0" w:color="auto"/>
            </w:tcBorders>
          </w:tcPr>
          <w:p w:rsidR="00656AC1" w:rsidRPr="00203191" w:rsidRDefault="00656AC1" w:rsidP="00364E4D">
            <w:pPr>
              <w:pStyle w:val="tekstost"/>
              <w:jc w:val="center"/>
              <w:rPr>
                <w:rFonts w:ascii="Calibri" w:hAnsi="Calibri" w:cs="Calibri"/>
              </w:rPr>
            </w:pPr>
          </w:p>
        </w:tc>
        <w:tc>
          <w:tcPr>
            <w:tcW w:w="3420"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Częstotliwość badań</w:t>
            </w:r>
          </w:p>
        </w:tc>
      </w:tr>
      <w:tr w:rsidR="00656AC1" w:rsidRPr="00203191">
        <w:tc>
          <w:tcPr>
            <w:tcW w:w="496" w:type="dxa"/>
            <w:tcBorders>
              <w:left w:val="single" w:sz="6" w:space="0" w:color="auto"/>
              <w:bottom w:val="double" w:sz="6" w:space="0" w:color="auto"/>
              <w:right w:val="single" w:sz="6" w:space="0" w:color="auto"/>
            </w:tcBorders>
          </w:tcPr>
          <w:p w:rsidR="00656AC1" w:rsidRPr="00203191" w:rsidRDefault="00656AC1" w:rsidP="00364E4D">
            <w:pPr>
              <w:pStyle w:val="tekstost"/>
              <w:jc w:val="center"/>
              <w:rPr>
                <w:rFonts w:ascii="Calibri" w:hAnsi="Calibri" w:cs="Calibri"/>
              </w:rPr>
            </w:pPr>
          </w:p>
          <w:p w:rsidR="00656AC1" w:rsidRPr="00203191" w:rsidRDefault="00656AC1" w:rsidP="00364E4D">
            <w:pPr>
              <w:pStyle w:val="tekstost"/>
              <w:spacing w:before="120"/>
              <w:jc w:val="center"/>
              <w:rPr>
                <w:rFonts w:ascii="Calibri" w:hAnsi="Calibri" w:cs="Calibri"/>
              </w:rPr>
            </w:pPr>
            <w:r w:rsidRPr="00203191">
              <w:rPr>
                <w:rFonts w:ascii="Calibri" w:hAnsi="Calibri" w:cs="Calibri"/>
              </w:rPr>
              <w:t>Lp.</w:t>
            </w:r>
          </w:p>
        </w:tc>
        <w:tc>
          <w:tcPr>
            <w:tcW w:w="5694" w:type="dxa"/>
            <w:tcBorders>
              <w:bottom w:val="double" w:sz="6" w:space="0" w:color="auto"/>
            </w:tcBorders>
          </w:tcPr>
          <w:p w:rsidR="00656AC1" w:rsidRPr="00203191" w:rsidRDefault="00656AC1" w:rsidP="00364E4D">
            <w:pPr>
              <w:pStyle w:val="tekstost"/>
              <w:rPr>
                <w:rFonts w:ascii="Calibri" w:hAnsi="Calibri" w:cs="Calibri"/>
              </w:rPr>
            </w:pPr>
          </w:p>
          <w:p w:rsidR="00656AC1" w:rsidRPr="00203191" w:rsidRDefault="00656AC1" w:rsidP="00364E4D">
            <w:pPr>
              <w:pStyle w:val="tekstost"/>
              <w:spacing w:before="120"/>
              <w:jc w:val="center"/>
              <w:rPr>
                <w:rFonts w:ascii="Calibri" w:hAnsi="Calibri" w:cs="Calibri"/>
              </w:rPr>
            </w:pPr>
            <w:r w:rsidRPr="00203191">
              <w:rPr>
                <w:rFonts w:ascii="Calibri" w:hAnsi="Calibri" w:cs="Calibri"/>
              </w:rPr>
              <w:t>Wyszczególnienie badań</w:t>
            </w:r>
          </w:p>
        </w:tc>
        <w:tc>
          <w:tcPr>
            <w:tcW w:w="1440"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tekstost"/>
              <w:jc w:val="center"/>
              <w:rPr>
                <w:rFonts w:ascii="Calibri" w:hAnsi="Calibri" w:cs="Calibri"/>
              </w:rPr>
            </w:pPr>
          </w:p>
          <w:p w:rsidR="00656AC1" w:rsidRPr="00203191" w:rsidRDefault="00656AC1" w:rsidP="00364E4D">
            <w:pPr>
              <w:pStyle w:val="tekstost"/>
              <w:spacing w:before="120"/>
              <w:jc w:val="center"/>
              <w:rPr>
                <w:rFonts w:ascii="Calibri" w:hAnsi="Calibri" w:cs="Calibri"/>
              </w:rPr>
            </w:pPr>
            <w:r w:rsidRPr="00203191">
              <w:rPr>
                <w:rFonts w:ascii="Calibri" w:hAnsi="Calibri" w:cs="Calibri"/>
              </w:rPr>
              <w:t>Minimalna liczba badań na dziennej działce roboczej</w:t>
            </w:r>
          </w:p>
        </w:tc>
        <w:tc>
          <w:tcPr>
            <w:tcW w:w="1980"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pStyle w:val="tekstost"/>
              <w:jc w:val="left"/>
              <w:rPr>
                <w:rFonts w:ascii="Calibri" w:hAnsi="Calibri" w:cs="Calibri"/>
              </w:rPr>
            </w:pPr>
            <w:r w:rsidRPr="00203191">
              <w:rPr>
                <w:rFonts w:ascii="Calibri" w:hAnsi="Calibri" w:cs="Calibri"/>
              </w:rPr>
              <w:t>Maksymalna powierzchnia podbudowy lub ulepszonego pod-</w:t>
            </w:r>
          </w:p>
          <w:p w:rsidR="00656AC1" w:rsidRPr="00203191" w:rsidRDefault="00656AC1" w:rsidP="00364E4D">
            <w:pPr>
              <w:pStyle w:val="tekstost"/>
              <w:jc w:val="left"/>
              <w:rPr>
                <w:rFonts w:ascii="Calibri" w:hAnsi="Calibri" w:cs="Calibri"/>
              </w:rPr>
            </w:pPr>
            <w:r w:rsidRPr="00203191">
              <w:rPr>
                <w:rFonts w:ascii="Calibri" w:hAnsi="Calibri" w:cs="Calibri"/>
              </w:rPr>
              <w:t>łoża przypadająca</w:t>
            </w:r>
          </w:p>
          <w:p w:rsidR="00656AC1" w:rsidRPr="00203191" w:rsidRDefault="00656AC1" w:rsidP="00364E4D">
            <w:pPr>
              <w:pStyle w:val="tekstost"/>
              <w:jc w:val="left"/>
              <w:rPr>
                <w:rFonts w:ascii="Calibri" w:hAnsi="Calibri" w:cs="Calibri"/>
              </w:rPr>
            </w:pPr>
            <w:r w:rsidRPr="00203191">
              <w:rPr>
                <w:rFonts w:ascii="Calibri" w:hAnsi="Calibri" w:cs="Calibri"/>
              </w:rPr>
              <w:t>na jedno badanie</w:t>
            </w:r>
          </w:p>
        </w:tc>
      </w:tr>
      <w:tr w:rsidR="00656AC1" w:rsidRPr="00203191">
        <w:tc>
          <w:tcPr>
            <w:tcW w:w="496" w:type="dxa"/>
            <w:tcBorders>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1</w:t>
            </w:r>
          </w:p>
        </w:tc>
        <w:tc>
          <w:tcPr>
            <w:tcW w:w="5694" w:type="dxa"/>
            <w:tcBorders>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Uziarnienie mieszanki gruntu lub kruszywa</w:t>
            </w:r>
          </w:p>
        </w:tc>
        <w:tc>
          <w:tcPr>
            <w:tcW w:w="1440" w:type="dxa"/>
            <w:tcBorders>
              <w:left w:val="single" w:sz="6" w:space="0" w:color="auto"/>
            </w:tcBorders>
          </w:tcPr>
          <w:p w:rsidR="00656AC1" w:rsidRPr="00203191" w:rsidRDefault="00656AC1" w:rsidP="00364E4D">
            <w:pPr>
              <w:pStyle w:val="tekstost"/>
              <w:jc w:val="center"/>
              <w:rPr>
                <w:rFonts w:ascii="Calibri" w:hAnsi="Calibri" w:cs="Calibri"/>
              </w:rPr>
            </w:pPr>
          </w:p>
        </w:tc>
        <w:tc>
          <w:tcPr>
            <w:tcW w:w="1980" w:type="dxa"/>
            <w:tcBorders>
              <w:left w:val="single" w:sz="6" w:space="0" w:color="auto"/>
              <w:right w:val="single" w:sz="6" w:space="0" w:color="auto"/>
            </w:tcBorders>
          </w:tcPr>
          <w:p w:rsidR="00656AC1" w:rsidRPr="00203191" w:rsidRDefault="00656AC1" w:rsidP="00364E4D">
            <w:pPr>
              <w:pStyle w:val="tekstost"/>
              <w:jc w:val="center"/>
              <w:rPr>
                <w:rFonts w:ascii="Calibri" w:hAnsi="Calibri" w:cs="Calibri"/>
              </w:rPr>
            </w:pP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2</w:t>
            </w:r>
          </w:p>
        </w:tc>
        <w:tc>
          <w:tcPr>
            <w:tcW w:w="569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Wilgotność mieszanki gruntu lub kruszywa ze spoiwem</w:t>
            </w:r>
          </w:p>
        </w:tc>
        <w:tc>
          <w:tcPr>
            <w:tcW w:w="1440" w:type="dxa"/>
            <w:tcBorders>
              <w:left w:val="single" w:sz="6" w:space="0" w:color="auto"/>
            </w:tcBorders>
          </w:tcPr>
          <w:p w:rsidR="00656AC1" w:rsidRPr="00203191" w:rsidRDefault="00656AC1" w:rsidP="00364E4D">
            <w:pPr>
              <w:pStyle w:val="tekstost"/>
              <w:jc w:val="center"/>
              <w:rPr>
                <w:rFonts w:ascii="Calibri" w:hAnsi="Calibri" w:cs="Calibri"/>
              </w:rPr>
            </w:pPr>
          </w:p>
        </w:tc>
        <w:tc>
          <w:tcPr>
            <w:tcW w:w="1980" w:type="dxa"/>
            <w:tcBorders>
              <w:left w:val="single" w:sz="6" w:space="0" w:color="auto"/>
              <w:right w:val="single" w:sz="6" w:space="0" w:color="auto"/>
            </w:tcBorders>
          </w:tcPr>
          <w:p w:rsidR="00656AC1" w:rsidRPr="00203191" w:rsidRDefault="00656AC1" w:rsidP="00364E4D">
            <w:pPr>
              <w:pStyle w:val="tekstost"/>
              <w:jc w:val="center"/>
              <w:rPr>
                <w:rFonts w:ascii="Calibri" w:hAnsi="Calibri" w:cs="Calibri"/>
              </w:rPr>
            </w:pP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3</w:t>
            </w:r>
          </w:p>
        </w:tc>
        <w:tc>
          <w:tcPr>
            <w:tcW w:w="569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Rozdrobnienie gruntu (tylko dla gruntów spoistych)</w:t>
            </w:r>
          </w:p>
        </w:tc>
        <w:tc>
          <w:tcPr>
            <w:tcW w:w="1440" w:type="dxa"/>
            <w:tcBorders>
              <w:lef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2</w:t>
            </w:r>
          </w:p>
        </w:tc>
        <w:tc>
          <w:tcPr>
            <w:tcW w:w="1980" w:type="dxa"/>
            <w:tcBorders>
              <w:left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600 m2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4</w:t>
            </w:r>
          </w:p>
        </w:tc>
        <w:tc>
          <w:tcPr>
            <w:tcW w:w="569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 xml:space="preserve">Jednorodność i głębokość wymieszania </w:t>
            </w:r>
          </w:p>
        </w:tc>
        <w:tc>
          <w:tcPr>
            <w:tcW w:w="1440" w:type="dxa"/>
            <w:tcBorders>
              <w:left w:val="single" w:sz="6" w:space="0" w:color="auto"/>
            </w:tcBorders>
          </w:tcPr>
          <w:p w:rsidR="00656AC1" w:rsidRPr="00203191" w:rsidRDefault="00656AC1" w:rsidP="00364E4D">
            <w:pPr>
              <w:pStyle w:val="tekstost"/>
              <w:jc w:val="center"/>
              <w:rPr>
                <w:rFonts w:ascii="Calibri" w:hAnsi="Calibri" w:cs="Calibri"/>
              </w:rPr>
            </w:pPr>
          </w:p>
        </w:tc>
        <w:tc>
          <w:tcPr>
            <w:tcW w:w="1980" w:type="dxa"/>
            <w:tcBorders>
              <w:left w:val="single" w:sz="6" w:space="0" w:color="auto"/>
              <w:right w:val="single" w:sz="6" w:space="0" w:color="auto"/>
            </w:tcBorders>
          </w:tcPr>
          <w:p w:rsidR="00656AC1" w:rsidRPr="00203191" w:rsidRDefault="00656AC1" w:rsidP="00364E4D">
            <w:pPr>
              <w:pStyle w:val="tekstost"/>
              <w:jc w:val="center"/>
              <w:rPr>
                <w:rFonts w:ascii="Calibri" w:hAnsi="Calibri" w:cs="Calibri"/>
              </w:rPr>
            </w:pP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5</w:t>
            </w:r>
          </w:p>
        </w:tc>
        <w:tc>
          <w:tcPr>
            <w:tcW w:w="5694" w:type="dxa"/>
            <w:tcBorders>
              <w:top w:val="single" w:sz="6" w:space="0" w:color="auto"/>
              <w:left w:val="single" w:sz="6" w:space="0" w:color="auto"/>
              <w:bottom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Zagęszczenie warstwy</w:t>
            </w:r>
          </w:p>
        </w:tc>
        <w:tc>
          <w:tcPr>
            <w:tcW w:w="1440" w:type="dxa"/>
            <w:tcBorders>
              <w:left w:val="single" w:sz="6" w:space="0" w:color="auto"/>
              <w:bottom w:val="single" w:sz="6" w:space="0" w:color="auto"/>
            </w:tcBorders>
          </w:tcPr>
          <w:p w:rsidR="00656AC1" w:rsidRPr="00203191" w:rsidRDefault="00656AC1" w:rsidP="00364E4D">
            <w:pPr>
              <w:pStyle w:val="tekstost"/>
              <w:jc w:val="center"/>
              <w:rPr>
                <w:rFonts w:ascii="Calibri" w:hAnsi="Calibri" w:cs="Calibri"/>
              </w:rPr>
            </w:pPr>
          </w:p>
        </w:tc>
        <w:tc>
          <w:tcPr>
            <w:tcW w:w="1980" w:type="dxa"/>
            <w:tcBorders>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p>
        </w:tc>
      </w:tr>
      <w:tr w:rsidR="00656AC1" w:rsidRPr="00203191">
        <w:tc>
          <w:tcPr>
            <w:tcW w:w="496" w:type="dxa"/>
            <w:tcBorders>
              <w:left w:val="single" w:sz="6" w:space="0" w:color="auto"/>
              <w:bottom w:val="single" w:sz="6" w:space="0" w:color="auto"/>
              <w:right w:val="single" w:sz="6" w:space="0" w:color="auto"/>
            </w:tcBorders>
          </w:tcPr>
          <w:p w:rsidR="00656AC1" w:rsidRPr="00203191" w:rsidRDefault="00656AC1" w:rsidP="00364E4D">
            <w:pPr>
              <w:pStyle w:val="tekstost"/>
              <w:spacing w:before="60" w:after="60"/>
              <w:jc w:val="center"/>
              <w:rPr>
                <w:rFonts w:ascii="Calibri" w:hAnsi="Calibri" w:cs="Calibri"/>
              </w:rPr>
            </w:pPr>
            <w:r w:rsidRPr="00203191">
              <w:rPr>
                <w:rFonts w:ascii="Calibri" w:hAnsi="Calibri" w:cs="Calibri"/>
              </w:rPr>
              <w:t>6</w:t>
            </w:r>
          </w:p>
        </w:tc>
        <w:tc>
          <w:tcPr>
            <w:tcW w:w="5694" w:type="dxa"/>
            <w:tcBorders>
              <w:left w:val="single" w:sz="6" w:space="0" w:color="auto"/>
              <w:bottom w:val="single" w:sz="6" w:space="0" w:color="auto"/>
              <w:right w:val="single" w:sz="6" w:space="0" w:color="auto"/>
            </w:tcBorders>
          </w:tcPr>
          <w:p w:rsidR="00656AC1" w:rsidRPr="00203191" w:rsidRDefault="00656AC1" w:rsidP="00364E4D">
            <w:pPr>
              <w:pStyle w:val="tekstost"/>
              <w:spacing w:before="60" w:after="60"/>
              <w:rPr>
                <w:rFonts w:ascii="Calibri" w:hAnsi="Calibri" w:cs="Calibri"/>
              </w:rPr>
            </w:pPr>
            <w:r w:rsidRPr="00203191">
              <w:rPr>
                <w:rFonts w:ascii="Calibri" w:hAnsi="Calibri" w:cs="Calibri"/>
              </w:rPr>
              <w:t>Grubość podbudowy lub ulepszonego podłoża</w:t>
            </w:r>
          </w:p>
        </w:tc>
        <w:tc>
          <w:tcPr>
            <w:tcW w:w="1440" w:type="dxa"/>
            <w:tcBorders>
              <w:left w:val="single" w:sz="6" w:space="0" w:color="auto"/>
              <w:bottom w:val="single" w:sz="6" w:space="0" w:color="auto"/>
              <w:right w:val="single" w:sz="6" w:space="0" w:color="auto"/>
            </w:tcBorders>
          </w:tcPr>
          <w:p w:rsidR="00656AC1" w:rsidRPr="00203191" w:rsidRDefault="00656AC1" w:rsidP="00364E4D">
            <w:pPr>
              <w:pStyle w:val="tekstost"/>
              <w:spacing w:before="60" w:after="60"/>
              <w:jc w:val="center"/>
              <w:rPr>
                <w:rFonts w:ascii="Calibri" w:hAnsi="Calibri" w:cs="Calibri"/>
              </w:rPr>
            </w:pPr>
            <w:r w:rsidRPr="00203191">
              <w:rPr>
                <w:rFonts w:ascii="Calibri" w:hAnsi="Calibri" w:cs="Calibri"/>
              </w:rPr>
              <w:t>3</w:t>
            </w:r>
          </w:p>
        </w:tc>
        <w:tc>
          <w:tcPr>
            <w:tcW w:w="1980" w:type="dxa"/>
            <w:tcBorders>
              <w:bottom w:val="single" w:sz="6" w:space="0" w:color="auto"/>
              <w:right w:val="single" w:sz="6" w:space="0" w:color="auto"/>
            </w:tcBorders>
          </w:tcPr>
          <w:p w:rsidR="00656AC1" w:rsidRPr="00203191" w:rsidRDefault="00656AC1" w:rsidP="00364E4D">
            <w:pPr>
              <w:pStyle w:val="tekstost"/>
              <w:spacing w:before="60" w:after="60"/>
              <w:jc w:val="center"/>
              <w:rPr>
                <w:rFonts w:ascii="Calibri" w:hAnsi="Calibri" w:cs="Calibri"/>
              </w:rPr>
            </w:pPr>
            <w:r w:rsidRPr="00203191">
              <w:rPr>
                <w:rFonts w:ascii="Calibri" w:hAnsi="Calibri" w:cs="Calibri"/>
              </w:rPr>
              <w:t>400 m2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7</w:t>
            </w:r>
          </w:p>
        </w:tc>
        <w:tc>
          <w:tcPr>
            <w:tcW w:w="56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Wytrzymałość na ściskanie</w:t>
            </w:r>
          </w:p>
          <w:p w:rsidR="00656AC1" w:rsidRPr="00203191" w:rsidRDefault="00656AC1" w:rsidP="00954A11">
            <w:pPr>
              <w:pStyle w:val="tekstost"/>
              <w:numPr>
                <w:ilvl w:val="0"/>
                <w:numId w:val="1"/>
              </w:numPr>
              <w:jc w:val="left"/>
              <w:rPr>
                <w:rFonts w:ascii="Calibri" w:hAnsi="Calibri" w:cs="Calibri"/>
              </w:rPr>
            </w:pPr>
            <w:r w:rsidRPr="00203191">
              <w:rPr>
                <w:rFonts w:ascii="Calibri" w:hAnsi="Calibri" w:cs="Calibri"/>
              </w:rPr>
              <w:t xml:space="preserve">7 i 28-dniowa </w:t>
            </w:r>
          </w:p>
        </w:tc>
        <w:tc>
          <w:tcPr>
            <w:tcW w:w="1440"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jc w:val="center"/>
              <w:rPr>
                <w:rFonts w:ascii="Calibri" w:hAnsi="Calibri" w:cs="Calibri"/>
              </w:rPr>
            </w:pPr>
          </w:p>
          <w:p w:rsidR="00656AC1" w:rsidRPr="00203191" w:rsidRDefault="00656AC1" w:rsidP="00364E4D">
            <w:pPr>
              <w:pStyle w:val="tekstost"/>
              <w:numPr>
                <w:ilvl w:val="12"/>
                <w:numId w:val="0"/>
              </w:numPr>
              <w:jc w:val="center"/>
              <w:rPr>
                <w:rFonts w:ascii="Calibri" w:hAnsi="Calibri" w:cs="Calibri"/>
              </w:rPr>
            </w:pPr>
            <w:r w:rsidRPr="00203191">
              <w:rPr>
                <w:rFonts w:ascii="Calibri" w:hAnsi="Calibri" w:cs="Calibri"/>
              </w:rPr>
              <w:t>6 próbek</w:t>
            </w:r>
          </w:p>
          <w:p w:rsidR="00656AC1" w:rsidRPr="00203191" w:rsidRDefault="00656AC1" w:rsidP="00364E4D">
            <w:pPr>
              <w:pStyle w:val="tekstost"/>
              <w:numPr>
                <w:ilvl w:val="12"/>
                <w:numId w:val="0"/>
              </w:numPr>
              <w:rPr>
                <w:rFonts w:ascii="Calibri" w:hAnsi="Calibri" w:cs="Calibri"/>
              </w:rPr>
            </w:pPr>
          </w:p>
        </w:tc>
        <w:tc>
          <w:tcPr>
            <w:tcW w:w="1980" w:type="dxa"/>
            <w:tcBorders>
              <w:top w:val="single" w:sz="6" w:space="0" w:color="auto"/>
              <w:bottom w:val="single" w:sz="6" w:space="0" w:color="auto"/>
              <w:right w:val="single" w:sz="6" w:space="0" w:color="auto"/>
            </w:tcBorders>
          </w:tcPr>
          <w:p w:rsidR="00656AC1" w:rsidRPr="00203191" w:rsidRDefault="00656AC1" w:rsidP="00364E4D">
            <w:pPr>
              <w:pStyle w:val="tekstost"/>
              <w:numPr>
                <w:ilvl w:val="12"/>
                <w:numId w:val="0"/>
              </w:numPr>
              <w:jc w:val="center"/>
              <w:rPr>
                <w:rFonts w:ascii="Calibri" w:hAnsi="Calibri" w:cs="Calibri"/>
              </w:rPr>
            </w:pPr>
          </w:p>
          <w:p w:rsidR="00656AC1" w:rsidRPr="00203191" w:rsidRDefault="00656AC1" w:rsidP="00364E4D">
            <w:pPr>
              <w:pStyle w:val="tekstost"/>
              <w:numPr>
                <w:ilvl w:val="12"/>
                <w:numId w:val="0"/>
              </w:numPr>
              <w:jc w:val="center"/>
              <w:rPr>
                <w:rFonts w:ascii="Calibri" w:hAnsi="Calibri" w:cs="Calibri"/>
              </w:rPr>
            </w:pPr>
            <w:r w:rsidRPr="00203191">
              <w:rPr>
                <w:rFonts w:ascii="Calibri" w:hAnsi="Calibri" w:cs="Calibri"/>
              </w:rPr>
              <w:t>400 m2</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spacing w:before="120"/>
              <w:jc w:val="center"/>
              <w:rPr>
                <w:rFonts w:ascii="Calibri" w:hAnsi="Calibri" w:cs="Calibri"/>
              </w:rPr>
            </w:pPr>
            <w:r w:rsidRPr="00203191">
              <w:rPr>
                <w:rFonts w:ascii="Calibri" w:hAnsi="Calibri" w:cs="Calibri"/>
              </w:rPr>
              <w:t>8</w:t>
            </w:r>
          </w:p>
        </w:tc>
        <w:tc>
          <w:tcPr>
            <w:tcW w:w="56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spacing w:before="120"/>
              <w:rPr>
                <w:rFonts w:ascii="Calibri" w:hAnsi="Calibri" w:cs="Calibri"/>
              </w:rPr>
            </w:pPr>
            <w:r w:rsidRPr="00203191">
              <w:rPr>
                <w:rFonts w:ascii="Calibri" w:hAnsi="Calibri" w:cs="Calibri"/>
              </w:rPr>
              <w:t>Mrozoodporność</w:t>
            </w:r>
          </w:p>
        </w:tc>
        <w:tc>
          <w:tcPr>
            <w:tcW w:w="3420"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jc w:val="center"/>
              <w:rPr>
                <w:rFonts w:ascii="Calibri" w:hAnsi="Calibri" w:cs="Calibri"/>
              </w:rPr>
            </w:pPr>
            <w:r w:rsidRPr="00203191">
              <w:rPr>
                <w:rFonts w:ascii="Calibri" w:hAnsi="Calibri" w:cs="Calibri"/>
              </w:rPr>
              <w:t>przy projektowaniu i w przypadkach wątpliwych</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spacing w:before="60"/>
              <w:jc w:val="center"/>
              <w:rPr>
                <w:rFonts w:ascii="Calibri" w:hAnsi="Calibri" w:cs="Calibri"/>
              </w:rPr>
            </w:pPr>
            <w:r w:rsidRPr="00203191">
              <w:rPr>
                <w:rFonts w:ascii="Calibri" w:hAnsi="Calibri" w:cs="Calibri"/>
              </w:rPr>
              <w:t>9</w:t>
            </w:r>
          </w:p>
          <w:p w:rsidR="00656AC1" w:rsidRPr="00203191" w:rsidRDefault="00656AC1" w:rsidP="00364E4D">
            <w:pPr>
              <w:pStyle w:val="tekstost"/>
              <w:numPr>
                <w:ilvl w:val="12"/>
                <w:numId w:val="0"/>
              </w:numPr>
              <w:rPr>
                <w:rFonts w:ascii="Calibri" w:hAnsi="Calibri" w:cs="Calibri"/>
              </w:rPr>
            </w:pPr>
          </w:p>
        </w:tc>
        <w:tc>
          <w:tcPr>
            <w:tcW w:w="56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numPr>
                <w:ilvl w:val="12"/>
                <w:numId w:val="0"/>
              </w:numPr>
              <w:rPr>
                <w:rFonts w:ascii="Calibri" w:hAnsi="Calibri" w:cs="Calibri"/>
              </w:rPr>
            </w:pPr>
            <w:r w:rsidRPr="00203191">
              <w:rPr>
                <w:rFonts w:ascii="Calibri" w:hAnsi="Calibri" w:cs="Calibri"/>
              </w:rPr>
              <w:t>Badanie spoiw</w:t>
            </w:r>
          </w:p>
          <w:p w:rsidR="00656AC1" w:rsidRPr="00203191" w:rsidRDefault="00656AC1" w:rsidP="00973D29">
            <w:pPr>
              <w:pStyle w:val="tekstost"/>
              <w:numPr>
                <w:ilvl w:val="0"/>
                <w:numId w:val="34"/>
              </w:numPr>
              <w:rPr>
                <w:rFonts w:ascii="Calibri" w:hAnsi="Calibri" w:cs="Calibri"/>
              </w:rPr>
            </w:pPr>
            <w:r w:rsidRPr="00203191">
              <w:rPr>
                <w:rFonts w:ascii="Calibri" w:hAnsi="Calibri" w:cs="Calibri"/>
              </w:rPr>
              <w:t>Cementu</w:t>
            </w:r>
          </w:p>
          <w:p w:rsidR="00656AC1" w:rsidRPr="00203191" w:rsidRDefault="00656AC1" w:rsidP="00973D29">
            <w:pPr>
              <w:pStyle w:val="tekstost"/>
              <w:numPr>
                <w:ilvl w:val="0"/>
                <w:numId w:val="34"/>
              </w:numPr>
              <w:rPr>
                <w:rFonts w:ascii="Calibri" w:hAnsi="Calibri" w:cs="Calibri"/>
              </w:rPr>
            </w:pPr>
            <w:r w:rsidRPr="00203191">
              <w:rPr>
                <w:rFonts w:ascii="Calibri" w:hAnsi="Calibri" w:cs="Calibri"/>
              </w:rPr>
              <w:t>Mieszaniny popiołowo-żużlowej</w:t>
            </w:r>
          </w:p>
        </w:tc>
        <w:tc>
          <w:tcPr>
            <w:tcW w:w="3420"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przy projektowaniu składu mieszanki i przy każdej zmianie</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spacing w:before="120"/>
              <w:jc w:val="center"/>
              <w:rPr>
                <w:rFonts w:ascii="Calibri" w:hAnsi="Calibri" w:cs="Calibri"/>
              </w:rPr>
            </w:pPr>
            <w:r w:rsidRPr="00203191">
              <w:rPr>
                <w:rFonts w:ascii="Calibri" w:hAnsi="Calibri" w:cs="Calibri"/>
              </w:rPr>
              <w:t>10</w:t>
            </w:r>
          </w:p>
        </w:tc>
        <w:tc>
          <w:tcPr>
            <w:tcW w:w="56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spacing w:before="120"/>
              <w:rPr>
                <w:rFonts w:ascii="Calibri" w:hAnsi="Calibri" w:cs="Calibri"/>
              </w:rPr>
            </w:pPr>
            <w:r w:rsidRPr="00203191">
              <w:rPr>
                <w:rFonts w:ascii="Calibri" w:hAnsi="Calibri" w:cs="Calibri"/>
              </w:rPr>
              <w:t>Badanie wody</w:t>
            </w:r>
          </w:p>
        </w:tc>
        <w:tc>
          <w:tcPr>
            <w:tcW w:w="3420"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dla każdego wątpliwego źródła</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p>
          <w:p w:rsidR="00656AC1" w:rsidRPr="00203191" w:rsidRDefault="00656AC1" w:rsidP="00364E4D">
            <w:pPr>
              <w:pStyle w:val="tekstost"/>
              <w:jc w:val="center"/>
              <w:rPr>
                <w:rFonts w:ascii="Calibri" w:hAnsi="Calibri" w:cs="Calibri"/>
              </w:rPr>
            </w:pPr>
            <w:r w:rsidRPr="00203191">
              <w:rPr>
                <w:rFonts w:ascii="Calibri" w:hAnsi="Calibri" w:cs="Calibri"/>
              </w:rPr>
              <w:t>11</w:t>
            </w:r>
          </w:p>
        </w:tc>
        <w:tc>
          <w:tcPr>
            <w:tcW w:w="56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p>
          <w:p w:rsidR="00656AC1" w:rsidRPr="00203191" w:rsidRDefault="00656AC1" w:rsidP="00364E4D">
            <w:pPr>
              <w:pStyle w:val="tekstost"/>
              <w:rPr>
                <w:rFonts w:ascii="Calibri" w:hAnsi="Calibri" w:cs="Calibri"/>
              </w:rPr>
            </w:pPr>
            <w:r w:rsidRPr="00203191">
              <w:rPr>
                <w:rFonts w:ascii="Calibri" w:hAnsi="Calibri" w:cs="Calibri"/>
              </w:rPr>
              <w:t>Badanie właściwości gruntu lub kruszywa</w:t>
            </w:r>
          </w:p>
        </w:tc>
        <w:tc>
          <w:tcPr>
            <w:tcW w:w="3420"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dla każdej partii i przy każdej zmianie rodzaju gruntu lub kruszywa</w:t>
            </w:r>
          </w:p>
        </w:tc>
      </w:tr>
      <w:tr w:rsidR="00656AC1" w:rsidRPr="00203191">
        <w:tc>
          <w:tcPr>
            <w:tcW w:w="496"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12</w:t>
            </w:r>
          </w:p>
        </w:tc>
        <w:tc>
          <w:tcPr>
            <w:tcW w:w="5694" w:type="dxa"/>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rPr>
                <w:rFonts w:ascii="Calibri" w:hAnsi="Calibri" w:cs="Calibri"/>
              </w:rPr>
            </w:pPr>
            <w:r w:rsidRPr="00203191">
              <w:rPr>
                <w:rFonts w:ascii="Calibri" w:hAnsi="Calibri" w:cs="Calibri"/>
              </w:rPr>
              <w:t>Wskaźnik nośności CBR</w:t>
            </w:r>
          </w:p>
        </w:tc>
        <w:tc>
          <w:tcPr>
            <w:tcW w:w="3420"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pStyle w:val="tekstost"/>
              <w:jc w:val="center"/>
              <w:rPr>
                <w:rFonts w:ascii="Calibri" w:hAnsi="Calibri" w:cs="Calibri"/>
              </w:rPr>
            </w:pPr>
            <w:r w:rsidRPr="00203191">
              <w:rPr>
                <w:rFonts w:ascii="Calibri" w:hAnsi="Calibri" w:cs="Calibri"/>
              </w:rPr>
              <w:t xml:space="preserve">W przypadkach wątpliwych i na zlecenie inżyniera </w:t>
            </w:r>
          </w:p>
        </w:tc>
      </w:tr>
    </w:tbl>
    <w:p w:rsidR="00656AC1" w:rsidRPr="00203191" w:rsidRDefault="00656AC1" w:rsidP="00364E4D">
      <w:pPr>
        <w:pStyle w:val="CM3"/>
        <w:rPr>
          <w:rFonts w:ascii="Calibri" w:hAnsi="Calibri" w:cs="Calibri"/>
          <w:sz w:val="20"/>
          <w:szCs w:val="20"/>
        </w:rPr>
      </w:pPr>
    </w:p>
    <w:p w:rsidR="00656AC1" w:rsidRPr="00203191" w:rsidRDefault="00656AC1" w:rsidP="00364E4D">
      <w:pPr>
        <w:pStyle w:val="CM9"/>
        <w:spacing w:after="395" w:line="276" w:lineRule="atLeast"/>
        <w:jc w:val="both"/>
        <w:rPr>
          <w:rFonts w:ascii="Calibri" w:hAnsi="Calibri" w:cs="Calibri"/>
          <w:sz w:val="20"/>
          <w:szCs w:val="20"/>
        </w:rPr>
      </w:pPr>
      <w:r w:rsidRPr="00203191">
        <w:rPr>
          <w:rFonts w:ascii="Calibri" w:hAnsi="Calibri" w:cs="Calibri"/>
          <w:sz w:val="20"/>
          <w:szCs w:val="20"/>
        </w:rPr>
        <w:t>Tabela nr 5. Częstotliwość oraz zakres badań i pomiarów dotyczących cech geometrycznych ekostabilizacji</w:t>
      </w:r>
    </w:p>
    <w:tbl>
      <w:tblPr>
        <w:tblW w:w="9186" w:type="dxa"/>
        <w:tblInd w:w="2" w:type="dxa"/>
        <w:tblLayout w:type="fixed"/>
        <w:tblLook w:val="0000"/>
      </w:tblPr>
      <w:tblGrid>
        <w:gridCol w:w="622"/>
        <w:gridCol w:w="3172"/>
        <w:gridCol w:w="425"/>
        <w:gridCol w:w="4967"/>
      </w:tblGrid>
      <w:tr w:rsidR="00656AC1" w:rsidRPr="00203191">
        <w:trPr>
          <w:trHeight w:val="240"/>
        </w:trPr>
        <w:tc>
          <w:tcPr>
            <w:tcW w:w="622"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p>
        </w:tc>
        <w:tc>
          <w:tcPr>
            <w:tcW w:w="3172" w:type="dxa"/>
            <w:tcBorders>
              <w:top w:val="single" w:sz="6" w:space="0" w:color="000000"/>
              <w:left w:val="single" w:sz="4" w:space="0" w:color="000000"/>
              <w:bottom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Wyszczególnienie badań i pomiarów</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Minimalna częstość badań i pomiarów</w:t>
            </w:r>
          </w:p>
        </w:tc>
      </w:tr>
      <w:tr w:rsidR="00656AC1" w:rsidRPr="00203191">
        <w:trPr>
          <w:trHeight w:val="240"/>
        </w:trPr>
        <w:tc>
          <w:tcPr>
            <w:tcW w:w="622"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 </w:t>
            </w:r>
          </w:p>
        </w:tc>
        <w:tc>
          <w:tcPr>
            <w:tcW w:w="3172" w:type="dxa"/>
            <w:tcBorders>
              <w:top w:val="single" w:sz="6" w:space="0" w:color="000000"/>
              <w:left w:val="single" w:sz="4" w:space="0" w:color="000000"/>
              <w:bottom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Szerokość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10 razy na 1 km </w:t>
            </w:r>
          </w:p>
        </w:tc>
      </w:tr>
      <w:tr w:rsidR="00656AC1" w:rsidRPr="00203191">
        <w:trPr>
          <w:trHeight w:val="281"/>
        </w:trPr>
        <w:tc>
          <w:tcPr>
            <w:tcW w:w="622"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2. </w:t>
            </w:r>
          </w:p>
        </w:tc>
        <w:tc>
          <w:tcPr>
            <w:tcW w:w="3172" w:type="dxa"/>
            <w:tcBorders>
              <w:top w:val="single" w:sz="6" w:space="0" w:color="000000"/>
              <w:left w:val="single" w:sz="4" w:space="0" w:color="000000"/>
              <w:bottom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Równość podłużna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 sposób ciągły planografem albo co 20 m łatą na każdym pasie ruchu </w:t>
            </w:r>
          </w:p>
        </w:tc>
      </w:tr>
      <w:tr w:rsidR="00656AC1" w:rsidRPr="00203191">
        <w:trPr>
          <w:trHeight w:val="276"/>
        </w:trPr>
        <w:tc>
          <w:tcPr>
            <w:tcW w:w="622"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3. </w:t>
            </w:r>
          </w:p>
        </w:tc>
        <w:tc>
          <w:tcPr>
            <w:tcW w:w="3172" w:type="dxa"/>
            <w:tcBorders>
              <w:top w:val="single" w:sz="6" w:space="0" w:color="000000"/>
              <w:left w:val="single" w:sz="4" w:space="0" w:color="000000"/>
              <w:bottom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Równość poprzeczna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10 razy na 1 km </w:t>
            </w:r>
          </w:p>
        </w:tc>
      </w:tr>
      <w:tr w:rsidR="00656AC1" w:rsidRPr="00203191">
        <w:trPr>
          <w:trHeight w:val="226"/>
        </w:trPr>
        <w:tc>
          <w:tcPr>
            <w:tcW w:w="622" w:type="dxa"/>
            <w:tcBorders>
              <w:top w:val="single" w:sz="6" w:space="0" w:color="000000"/>
              <w:left w:val="single" w:sz="4"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4. </w:t>
            </w:r>
          </w:p>
        </w:tc>
        <w:tc>
          <w:tcPr>
            <w:tcW w:w="3172" w:type="dxa"/>
            <w:tcBorders>
              <w:top w:val="single" w:sz="6" w:space="0" w:color="000000"/>
              <w:left w:val="single" w:sz="4" w:space="0" w:color="000000"/>
              <w:bottom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Spadki poprzeczne *)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10 razy na 1 km </w:t>
            </w:r>
          </w:p>
        </w:tc>
      </w:tr>
      <w:tr w:rsidR="00656AC1" w:rsidRPr="00203191">
        <w:trPr>
          <w:trHeight w:val="142"/>
        </w:trPr>
        <w:tc>
          <w:tcPr>
            <w:tcW w:w="622" w:type="dxa"/>
            <w:tcBorders>
              <w:top w:val="single" w:sz="6" w:space="0" w:color="000000"/>
              <w:left w:val="single" w:sz="4" w:space="0" w:color="000000"/>
              <w:bottom w:val="single" w:sz="6" w:space="0" w:color="000000"/>
              <w:right w:val="single" w:sz="4"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5. </w:t>
            </w:r>
          </w:p>
        </w:tc>
        <w:tc>
          <w:tcPr>
            <w:tcW w:w="3172" w:type="dxa"/>
            <w:tcBorders>
              <w:top w:val="single" w:sz="6" w:space="0" w:color="000000"/>
              <w:left w:val="single" w:sz="4" w:space="0" w:color="000000"/>
              <w:bottom w:val="single" w:sz="6"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Rzędne wysokościowe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vMerge w:val="restart"/>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co 100 m </w:t>
            </w:r>
          </w:p>
        </w:tc>
      </w:tr>
      <w:tr w:rsidR="00656AC1" w:rsidRPr="00203191">
        <w:trPr>
          <w:trHeight w:val="142"/>
        </w:trPr>
        <w:tc>
          <w:tcPr>
            <w:tcW w:w="622" w:type="dxa"/>
            <w:tcBorders>
              <w:top w:val="single" w:sz="6" w:space="0" w:color="000000"/>
              <w:left w:val="single" w:sz="4" w:space="0" w:color="000000"/>
              <w:bottom w:val="single" w:sz="6" w:space="0" w:color="000000"/>
              <w:right w:val="single" w:sz="4"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6. </w:t>
            </w:r>
          </w:p>
        </w:tc>
        <w:tc>
          <w:tcPr>
            <w:tcW w:w="3172" w:type="dxa"/>
            <w:tcBorders>
              <w:top w:val="single" w:sz="6" w:space="0" w:color="000000"/>
              <w:left w:val="single" w:sz="4" w:space="0" w:color="000000"/>
              <w:bottom w:val="single" w:sz="6"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Ukształtowanie osi w Planie *)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rPr>
                <w:rFonts w:ascii="Calibri" w:hAnsi="Calibri" w:cs="Calibri"/>
                <w:color w:val="auto"/>
                <w:sz w:val="20"/>
                <w:szCs w:val="20"/>
              </w:rPr>
            </w:pPr>
          </w:p>
        </w:tc>
        <w:tc>
          <w:tcPr>
            <w:tcW w:w="4967" w:type="dxa"/>
            <w:vMerge/>
            <w:tcBorders>
              <w:top w:val="single" w:sz="6" w:space="0" w:color="000000"/>
              <w:left w:val="single" w:sz="4" w:space="0" w:color="000000"/>
              <w:bottom w:val="single" w:sz="6" w:space="0" w:color="000000"/>
              <w:right w:val="single" w:sz="6" w:space="0" w:color="000000"/>
            </w:tcBorders>
          </w:tcPr>
          <w:p w:rsidR="00656AC1" w:rsidRPr="00203191" w:rsidRDefault="00656AC1" w:rsidP="00364E4D">
            <w:pPr>
              <w:pStyle w:val="Default"/>
              <w:rPr>
                <w:rFonts w:ascii="Calibri" w:hAnsi="Calibri" w:cs="Calibri"/>
                <w:color w:val="auto"/>
                <w:sz w:val="20"/>
                <w:szCs w:val="20"/>
              </w:rPr>
            </w:pPr>
          </w:p>
        </w:tc>
      </w:tr>
      <w:tr w:rsidR="00656AC1" w:rsidRPr="00203191">
        <w:trPr>
          <w:trHeight w:val="143"/>
        </w:trPr>
        <w:tc>
          <w:tcPr>
            <w:tcW w:w="622" w:type="dxa"/>
            <w:tcBorders>
              <w:top w:val="single" w:sz="6" w:space="0" w:color="000000"/>
              <w:left w:val="single" w:sz="4" w:space="0" w:color="000000"/>
              <w:bottom w:val="single" w:sz="6" w:space="0" w:color="000000"/>
              <w:right w:val="single" w:sz="4"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7. </w:t>
            </w:r>
          </w:p>
        </w:tc>
        <w:tc>
          <w:tcPr>
            <w:tcW w:w="3172" w:type="dxa"/>
            <w:tcBorders>
              <w:top w:val="single" w:sz="6" w:space="0" w:color="000000"/>
              <w:left w:val="single" w:sz="4" w:space="0" w:color="000000"/>
              <w:bottom w:val="single" w:sz="6"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Grubość Ekostabilizacji, </w:t>
            </w:r>
          </w:p>
        </w:tc>
        <w:tc>
          <w:tcPr>
            <w:tcW w:w="425" w:type="dxa"/>
            <w:tcBorders>
              <w:top w:val="single" w:sz="6" w:space="0" w:color="000000"/>
              <w:bottom w:val="single" w:sz="6" w:space="0" w:color="000000"/>
              <w:right w:val="single" w:sz="4" w:space="0" w:color="000000"/>
            </w:tcBorders>
          </w:tcPr>
          <w:p w:rsidR="00656AC1" w:rsidRPr="00203191" w:rsidRDefault="00656AC1" w:rsidP="00364E4D">
            <w:pPr>
              <w:pStyle w:val="Default"/>
              <w:jc w:val="right"/>
              <w:rPr>
                <w:rFonts w:ascii="Calibri" w:hAnsi="Calibri" w:cs="Calibri"/>
                <w:color w:val="auto"/>
                <w:sz w:val="20"/>
                <w:szCs w:val="20"/>
              </w:rPr>
            </w:pPr>
          </w:p>
        </w:tc>
        <w:tc>
          <w:tcPr>
            <w:tcW w:w="4967" w:type="dxa"/>
            <w:tcBorders>
              <w:top w:val="single" w:sz="6" w:space="0" w:color="000000"/>
              <w:left w:val="single" w:sz="4" w:space="0" w:color="000000"/>
              <w:bottom w:val="single" w:sz="6" w:space="0" w:color="000000"/>
              <w:right w:val="single" w:sz="6" w:space="0" w:color="000000"/>
            </w:tcBorders>
            <w:vAlign w:val="center"/>
          </w:tcPr>
          <w:p w:rsidR="00656AC1" w:rsidRPr="00203191" w:rsidRDefault="00656AC1" w:rsidP="00364E4D">
            <w:pPr>
              <w:pStyle w:val="Default"/>
              <w:rPr>
                <w:rFonts w:ascii="Calibri" w:hAnsi="Calibri" w:cs="Calibri"/>
                <w:color w:val="auto"/>
                <w:sz w:val="20"/>
                <w:szCs w:val="20"/>
              </w:rPr>
            </w:pPr>
            <w:r w:rsidRPr="00203191">
              <w:rPr>
                <w:rFonts w:ascii="Calibri" w:hAnsi="Calibri" w:cs="Calibri"/>
                <w:color w:val="auto"/>
                <w:sz w:val="20"/>
                <w:szCs w:val="20"/>
              </w:rPr>
              <w:t xml:space="preserve">w 3 punktach, lecz nie rzadziej niż raz na 2000 m2 </w:t>
            </w:r>
          </w:p>
        </w:tc>
      </w:tr>
    </w:tbl>
    <w:p w:rsidR="00656AC1" w:rsidRPr="00203191" w:rsidRDefault="00656AC1" w:rsidP="00364E4D">
      <w:pPr>
        <w:pStyle w:val="CM2"/>
        <w:jc w:val="both"/>
        <w:rPr>
          <w:rFonts w:ascii="Calibri" w:hAnsi="Calibri" w:cs="Calibri"/>
          <w:sz w:val="20"/>
          <w:szCs w:val="20"/>
        </w:rPr>
      </w:pPr>
      <w:r w:rsidRPr="00203191">
        <w:rPr>
          <w:rFonts w:ascii="Calibri" w:hAnsi="Calibri" w:cs="Calibri"/>
          <w:sz w:val="20"/>
          <w:szCs w:val="20"/>
        </w:rPr>
        <w:t xml:space="preserve">*) Dodatkowe pomiary spadków poprzecznych i ukształtowania osi w planie należy wykonać w punktach głównych łuków poziomych.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lastRenderedPageBreak/>
        <w:t xml:space="preserve">7. OBMIAR ROBÓT </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7.1. Ogólne zasady obmiaru robót</w:t>
      </w:r>
    </w:p>
    <w:p w:rsidR="00ED260C" w:rsidRPr="00203191" w:rsidRDefault="00ED260C" w:rsidP="00ED260C">
      <w:pPr>
        <w:tabs>
          <w:tab w:val="left" w:pos="9914"/>
        </w:tabs>
        <w:rPr>
          <w:rFonts w:asciiTheme="minorHAnsi" w:hAnsiTheme="minorHAnsi"/>
        </w:rPr>
      </w:pPr>
      <w:r w:rsidRPr="00203191">
        <w:rPr>
          <w:rFonts w:asciiTheme="minorHAnsi" w:hAnsiTheme="minorHAnsi"/>
        </w:rPr>
        <w:t>Ogólne zasady obmiaru robót podano w STWiORB D-M-00.00.00 „Wymagania ogólne” pkt 7.</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7.2. Jednostka obmiarowa</w:t>
      </w:r>
    </w:p>
    <w:p w:rsidR="00656AC1" w:rsidRPr="00203191" w:rsidRDefault="00ED260C" w:rsidP="00ED260C">
      <w:pPr>
        <w:tabs>
          <w:tab w:val="left" w:pos="9914"/>
        </w:tabs>
        <w:rPr>
          <w:rFonts w:ascii="Calibri" w:hAnsi="Calibri" w:cs="Calibri"/>
        </w:rPr>
      </w:pPr>
      <w:r w:rsidRPr="00203191">
        <w:rPr>
          <w:rFonts w:asciiTheme="minorHAnsi" w:hAnsiTheme="minorHAnsi"/>
        </w:rPr>
        <w:t>Jednostką obmiarową jest  m</w:t>
      </w:r>
      <w:r w:rsidRPr="00203191">
        <w:rPr>
          <w:rFonts w:asciiTheme="minorHAnsi" w:hAnsiTheme="minorHAnsi"/>
          <w:vertAlign w:val="superscript"/>
        </w:rPr>
        <w:t>2</w:t>
      </w:r>
      <w:r w:rsidRPr="00203191">
        <w:rPr>
          <w:rFonts w:asciiTheme="minorHAnsi" w:hAnsiTheme="minorHAnsi"/>
        </w:rPr>
        <w:t xml:space="preserve"> (metr kw</w:t>
      </w:r>
      <w:r>
        <w:rPr>
          <w:rFonts w:asciiTheme="minorHAnsi" w:hAnsiTheme="minorHAnsi"/>
        </w:rPr>
        <w:t>adratowy) ulepszonego podłoża stabilizowanego popiołami lotnymi</w:t>
      </w:r>
      <w:r w:rsidR="00656AC1" w:rsidRPr="00203191">
        <w:rPr>
          <w:rFonts w:ascii="Calibri" w:hAnsi="Calibri" w:cs="Calibri"/>
        </w:rPr>
        <w:t xml:space="preserve">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 xml:space="preserve">8. ODBIÓR ROBÓT </w:t>
      </w:r>
    </w:p>
    <w:p w:rsidR="00656AC1" w:rsidRPr="00203191" w:rsidRDefault="00656AC1" w:rsidP="00364E4D">
      <w:pPr>
        <w:pStyle w:val="CM8"/>
        <w:rPr>
          <w:rFonts w:ascii="Calibri" w:hAnsi="Calibri" w:cs="Calibri"/>
          <w:sz w:val="20"/>
          <w:szCs w:val="20"/>
        </w:rPr>
      </w:pPr>
      <w:r w:rsidRPr="00203191">
        <w:rPr>
          <w:rFonts w:ascii="Calibri" w:hAnsi="Calibri" w:cs="Calibri"/>
          <w:sz w:val="20"/>
          <w:szCs w:val="20"/>
        </w:rPr>
        <w:t xml:space="preserve">Ogólne zasady odbioru robót podano w </w:t>
      </w:r>
      <w:r w:rsidR="005B48CA">
        <w:rPr>
          <w:rFonts w:ascii="Calibri" w:hAnsi="Calibri" w:cs="Calibri"/>
          <w:sz w:val="20"/>
          <w:szCs w:val="20"/>
        </w:rPr>
        <w:t>STWiORB</w:t>
      </w:r>
      <w:r w:rsidRPr="00203191">
        <w:rPr>
          <w:rFonts w:ascii="Calibri" w:hAnsi="Calibri" w:cs="Calibri"/>
          <w:sz w:val="20"/>
          <w:szCs w:val="20"/>
        </w:rPr>
        <w:t xml:space="preserve"> D-M-00.00.00 „Wymagania ogólne” pkt 8. </w:t>
      </w:r>
    </w:p>
    <w:p w:rsidR="00656AC1" w:rsidRPr="00203191" w:rsidRDefault="00656AC1" w:rsidP="00364E4D">
      <w:pPr>
        <w:pStyle w:val="CM3"/>
        <w:rPr>
          <w:rFonts w:ascii="Calibri" w:hAnsi="Calibri" w:cs="Calibri"/>
          <w:sz w:val="20"/>
          <w:szCs w:val="20"/>
        </w:rPr>
      </w:pPr>
      <w:r w:rsidRPr="00203191">
        <w:rPr>
          <w:rFonts w:ascii="Calibri" w:hAnsi="Calibri" w:cs="Calibri"/>
          <w:sz w:val="20"/>
          <w:szCs w:val="20"/>
        </w:rPr>
        <w:t xml:space="preserve">Roboty uznaje się za zgodne z dokumentacją projektową, </w:t>
      </w:r>
      <w:r w:rsidR="005B48CA">
        <w:rPr>
          <w:rFonts w:ascii="Calibri" w:hAnsi="Calibri" w:cs="Calibri"/>
          <w:sz w:val="20"/>
          <w:szCs w:val="20"/>
        </w:rPr>
        <w:t>STWiORB</w:t>
      </w:r>
      <w:r w:rsidRPr="00203191">
        <w:rPr>
          <w:rFonts w:ascii="Calibri" w:hAnsi="Calibri" w:cs="Calibri"/>
          <w:sz w:val="20"/>
          <w:szCs w:val="20"/>
        </w:rPr>
        <w:t xml:space="preserve"> i wymaganiami inżyniera, jeżeli wszystkie pomiary i badania z zachowaniem tolerancji wg pkt 6 dały wyniki pozytywne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 xml:space="preserve">9. PODSTAWA PŁATNOŚCI </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9.1. Ogólne ustalenia dotyczące podstawy płatności</w:t>
      </w:r>
    </w:p>
    <w:p w:rsidR="00ED260C" w:rsidRPr="00203191" w:rsidRDefault="00ED260C" w:rsidP="00ED260C">
      <w:pPr>
        <w:tabs>
          <w:tab w:val="left" w:pos="9914"/>
        </w:tabs>
        <w:rPr>
          <w:rFonts w:asciiTheme="minorHAnsi" w:hAnsiTheme="minorHAnsi"/>
        </w:rPr>
      </w:pPr>
      <w:r w:rsidRPr="00203191">
        <w:rPr>
          <w:rFonts w:asciiTheme="minorHAnsi" w:hAnsiTheme="minorHAnsi"/>
        </w:rPr>
        <w:t>Ogólne ustalenia dotyczące podstawy płatności podano w STWiORB D-M-00.00.00 „Wymagania ogólne” pkt 9.</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9.2. Cena jednostki obmiarowej</w:t>
      </w:r>
    </w:p>
    <w:p w:rsidR="00ED260C" w:rsidRPr="00203191" w:rsidRDefault="00ED260C" w:rsidP="00ED260C">
      <w:pPr>
        <w:tabs>
          <w:tab w:val="left" w:pos="9914"/>
        </w:tabs>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2"/>
        </w:smartTagPr>
        <w:r w:rsidRPr="00203191">
          <w:rPr>
            <w:rFonts w:asciiTheme="minorHAnsi" w:hAnsiTheme="minorHAnsi"/>
          </w:rPr>
          <w:t>1 m</w:t>
        </w:r>
        <w:r w:rsidRPr="00203191">
          <w:rPr>
            <w:rFonts w:asciiTheme="minorHAnsi" w:hAnsiTheme="minorHAnsi"/>
            <w:vertAlign w:val="superscript"/>
          </w:rPr>
          <w:t>2</w:t>
        </w:r>
      </w:smartTag>
      <w:r w:rsidRPr="00203191">
        <w:rPr>
          <w:rFonts w:asciiTheme="minorHAnsi" w:hAnsiTheme="minorHAnsi"/>
        </w:rPr>
        <w:t xml:space="preserve"> </w:t>
      </w:r>
      <w:r>
        <w:rPr>
          <w:rFonts w:asciiTheme="minorHAnsi" w:hAnsiTheme="minorHAnsi"/>
        </w:rPr>
        <w:t>stabilizacji popiołami lotnymi obejmuje</w:t>
      </w:r>
      <w:r w:rsidRPr="00203191">
        <w:rPr>
          <w:rFonts w:asciiTheme="minorHAnsi" w:hAnsiTheme="minorHAnsi"/>
        </w:rPr>
        <w:t>:</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prace pomiarowe i roboty przygotowawcze,</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oznakowanie robót,</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dostarczenie materiałów, wyprodukowanie mieszanki i jej transport na miejsce wbudowania,</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dostarczenie, ustawienie, rozebranie i odwiezienie prowadnic oraz innych materiałów i urządzeń pomocniczych,</w:t>
      </w:r>
    </w:p>
    <w:p w:rsidR="00ED260C" w:rsidRPr="00203191" w:rsidRDefault="00ED260C" w:rsidP="00ED260C">
      <w:pPr>
        <w:numPr>
          <w:ilvl w:val="0"/>
          <w:numId w:val="38"/>
        </w:numPr>
        <w:tabs>
          <w:tab w:val="left" w:pos="9914"/>
        </w:tabs>
        <w:rPr>
          <w:rFonts w:asciiTheme="minorHAnsi" w:hAnsiTheme="minorHAnsi"/>
        </w:rPr>
      </w:pPr>
      <w:r w:rsidRPr="00203191">
        <w:rPr>
          <w:rFonts w:asciiTheme="minorHAnsi" w:hAnsiTheme="minorHAnsi"/>
        </w:rPr>
        <w:t>rozłożenie i zagęszczenie mieszanki,</w:t>
      </w:r>
    </w:p>
    <w:p w:rsidR="00ED260C" w:rsidRDefault="00ED260C" w:rsidP="00ED260C">
      <w:pPr>
        <w:numPr>
          <w:ilvl w:val="0"/>
          <w:numId w:val="38"/>
        </w:numPr>
        <w:tabs>
          <w:tab w:val="left" w:pos="9914"/>
        </w:tabs>
        <w:rPr>
          <w:rFonts w:asciiTheme="minorHAnsi" w:hAnsiTheme="minorHAnsi"/>
        </w:rPr>
      </w:pPr>
      <w:r w:rsidRPr="00203191">
        <w:rPr>
          <w:rFonts w:asciiTheme="minorHAnsi" w:hAnsiTheme="minorHAnsi"/>
        </w:rPr>
        <w:t>pielęgnacja wykonanej warstwy</w:t>
      </w:r>
    </w:p>
    <w:p w:rsidR="00656AC1" w:rsidRPr="00ED260C" w:rsidRDefault="00ED260C" w:rsidP="00ED260C">
      <w:pPr>
        <w:numPr>
          <w:ilvl w:val="0"/>
          <w:numId w:val="38"/>
        </w:numPr>
        <w:tabs>
          <w:tab w:val="left" w:pos="9914"/>
        </w:tabs>
        <w:rPr>
          <w:rFonts w:asciiTheme="minorHAnsi" w:hAnsiTheme="minorHAnsi"/>
        </w:rPr>
      </w:pPr>
      <w:r w:rsidRPr="00ED260C">
        <w:rPr>
          <w:rFonts w:asciiTheme="minorHAnsi" w:hAnsiTheme="minorHAnsi"/>
        </w:rPr>
        <w:t>przeprowadzenie pomiarów i badań laboratoryjnych, wymaganych w specyfikacji technicznej,</w:t>
      </w:r>
      <w:r w:rsidR="00656AC1" w:rsidRPr="00ED260C">
        <w:rPr>
          <w:rFonts w:ascii="Calibri" w:hAnsi="Calibri" w:cs="Calibri"/>
        </w:rPr>
        <w:t xml:space="preserve">, </w:t>
      </w:r>
    </w:p>
    <w:p w:rsidR="00656AC1" w:rsidRPr="00203191" w:rsidRDefault="00656AC1" w:rsidP="00364E4D">
      <w:pPr>
        <w:pStyle w:val="Nagwek3"/>
        <w:tabs>
          <w:tab w:val="left" w:pos="9914"/>
        </w:tabs>
        <w:rPr>
          <w:rFonts w:ascii="Calibri" w:hAnsi="Calibri" w:cs="Calibri"/>
        </w:rPr>
      </w:pPr>
      <w:r w:rsidRPr="00203191">
        <w:rPr>
          <w:rFonts w:ascii="Calibri" w:hAnsi="Calibri" w:cs="Calibri"/>
        </w:rPr>
        <w:t xml:space="preserve">10. PRZEPISY ZWIĄZANE </w:t>
      </w:r>
    </w:p>
    <w:p w:rsidR="00656AC1" w:rsidRPr="00203191" w:rsidRDefault="00656AC1" w:rsidP="00364E4D">
      <w:pPr>
        <w:pStyle w:val="CM10"/>
        <w:spacing w:line="278" w:lineRule="atLeast"/>
        <w:rPr>
          <w:rFonts w:ascii="Calibri" w:hAnsi="Calibri" w:cs="Calibri"/>
          <w:sz w:val="20"/>
          <w:szCs w:val="20"/>
        </w:rPr>
      </w:pPr>
      <w:r w:rsidRPr="00203191">
        <w:rPr>
          <w:rFonts w:ascii="Calibri" w:hAnsi="Calibri" w:cs="Calibri"/>
          <w:sz w:val="20"/>
          <w:szCs w:val="20"/>
        </w:rPr>
        <w:t xml:space="preserve">Normy i przepisy związane podano poniżej;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PN-B-04300 Cement. Metody badań.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Oznaczanie cech fizycznych PN-B-04481 Grunty budowlane. Badania próbek gruntu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PN-B-06714-12 Kruszywa mineralne. Badania. Oznaczanie zawartości zanieczyszczeń obcych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PN-B-06714-26 Kruszywa mineralne. Badania. Oznaczanie składu ziarnowego</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PN-B-06714-26 Kruszywa Mineralne. Badania. Oznaczenie zawartości zanieczyszczeń organicznych</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PN-B-06714-28 Kruszywa mineralne. Badania. Oznaczanie zawartości siarki metodą bromową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N-B-06714-37 Kruszywa mineralne. Badania. Oznaczanie rozpadu krzemianowego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PN-B-06714-38 Kruszywa mineralne. Badania. Oznaczanie rozpadu wapniowego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PN-B-06714-39 Kruszywa mineralne. Badania. Oznaczanie rozpadu żelazawego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PN-B-06714-42 Kruszywa mineralne. Badania. Oznaczanie ścieralności w bębnie Los Angeles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PN-B-19701 Cement. Cement powszechnego użytku. Skład, wymagania i ocena zgodności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PN-B-30020 Wapno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PN-B-32250 Materiały budowlane. Woda do betonów i zapraw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PN-C-84038 Wodorotlenek sodowy techniczny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PN-C-84127 Chlorek wapniowy techniczny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PN-S-06103:1997  Drogi samochodowe. Podbudowa z betonu popiołowego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PN-S-02205:1998 Drogi samochodowe. Roboty ziemne. Wymagania i badania.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lastRenderedPageBreak/>
        <w:t xml:space="preserve">PN-S-02201:1998 Drogi samochodowe. Nawierzchnie drogowe. Podział, nazwy, określenia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PN-S-96011 Drogi samochodowe. Stabilizacja gruntów wapnem do celów drogowych P</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N-S-96012 Drogi samochodowe. Podbudowa i ulepszone podłoże z gruntu stabilizowanego cementem PN-S-96013:1997 Drogi samochodowe. Podbudowa z chudego betonu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PN-S-96035 Drogi samochodowe. Popioły lotne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BN-88/6731-08 Cement. Transport i przechowywanie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BN-64/8931-01 Drogi samochodowe. Oznaczanie wskaźnika piaskowego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BN-64/8931-02 Drogi samochodowe. Oznaczanie modułu odkształcenia nawierzchni podatnych i podłoża przez obciążenie płytą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BN-68/8931-04 Drogi samochodowe. Pomiar równości nawierzchni planografem i łatą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BN-70/8931-05 Drogi samochodowe. Oznaczanie wskaźnika nośności gruntu jako podłoża nawierzchni podatnych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BN-73/8931-10 Drogi samochodowe. Oznaczanie wskaźnika aktywności pucolanowej popiołów lotnych z węgla kamiennego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BN-77/8931-12 Oznaczanie wskaźnika zagęszczenia gruntu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BN-71/8933-10 Drogi samochodowe. Podbudowa z gruntów stabilizowanych aktywnymi popiołami lotnymi. </w:t>
      </w:r>
    </w:p>
    <w:p w:rsidR="00656AC1" w:rsidRPr="003C628C" w:rsidRDefault="00656AC1" w:rsidP="00973D29">
      <w:pPr>
        <w:pStyle w:val="CM7"/>
        <w:numPr>
          <w:ilvl w:val="0"/>
          <w:numId w:val="33"/>
        </w:numPr>
        <w:spacing w:line="278" w:lineRule="atLeast"/>
        <w:ind w:left="360"/>
        <w:rPr>
          <w:rFonts w:ascii="Calibri" w:hAnsi="Calibri" w:cs="Calibri"/>
          <w:sz w:val="18"/>
          <w:szCs w:val="18"/>
        </w:rPr>
      </w:pPr>
      <w:r w:rsidRPr="003C628C">
        <w:rPr>
          <w:rFonts w:ascii="Calibri" w:hAnsi="Calibri" w:cs="Calibri"/>
          <w:sz w:val="18"/>
          <w:szCs w:val="18"/>
        </w:rPr>
        <w:t xml:space="preserve">PN-88/B-Grunty budowlane. Badania próbek. 04481:1988 PN-EN-450:1998 Popiół Lotny do betonu </w:t>
      </w:r>
    </w:p>
    <w:p w:rsidR="00656AC1" w:rsidRPr="00651A3F" w:rsidRDefault="00A95FEE" w:rsidP="00651A3F">
      <w:pPr>
        <w:pStyle w:val="Nagwek2"/>
      </w:pPr>
      <w:r w:rsidRPr="00651A3F">
        <w:lastRenderedPageBreak/>
        <w:t>SPECYFIKACJE TECHNICZNE</w:t>
      </w:r>
      <w:r w:rsidR="00E22F37" w:rsidRPr="00651A3F">
        <w:t xml:space="preserve"> WYKONANIA I ODBIORU ROBÓT BUDOWLANYCH</w:t>
      </w:r>
    </w:p>
    <w:p w:rsidR="00656AC1" w:rsidRPr="00651A3F" w:rsidRDefault="00656AC1" w:rsidP="00651A3F">
      <w:pPr>
        <w:pStyle w:val="Nagwek1"/>
      </w:pPr>
      <w:bookmarkStart w:id="1062" w:name="_Toc285044247"/>
      <w:bookmarkStart w:id="1063" w:name="_Toc296923115"/>
      <w:bookmarkStart w:id="1064" w:name="_Toc333441681"/>
      <w:bookmarkStart w:id="1065" w:name="_Toc333657258"/>
      <w:bookmarkStart w:id="1066" w:name="_Toc334095443"/>
      <w:bookmarkStart w:id="1067" w:name="_Toc352837496"/>
      <w:bookmarkStart w:id="1068" w:name="_Toc427178281"/>
      <w:bookmarkStart w:id="1069" w:name="_Toc459929674"/>
      <w:r w:rsidRPr="00651A3F">
        <w:t>D-07.01.01 OZNAKOWANIE POZIOME</w:t>
      </w:r>
      <w:bookmarkEnd w:id="1062"/>
      <w:bookmarkEnd w:id="1063"/>
      <w:bookmarkEnd w:id="1064"/>
      <w:bookmarkEnd w:id="1065"/>
      <w:bookmarkEnd w:id="1066"/>
      <w:bookmarkEnd w:id="1067"/>
      <w:bookmarkEnd w:id="1068"/>
      <w:bookmarkEnd w:id="1069"/>
    </w:p>
    <w:p w:rsidR="00656AC1" w:rsidRPr="00203191" w:rsidRDefault="00656AC1" w:rsidP="00364E4D">
      <w:pPr>
        <w:pStyle w:val="Nagwek3"/>
        <w:tabs>
          <w:tab w:val="num" w:pos="0"/>
        </w:tabs>
        <w:rPr>
          <w:rFonts w:ascii="Calibri" w:hAnsi="Calibri" w:cs="Calibri"/>
        </w:rPr>
      </w:pPr>
      <w:bookmarkStart w:id="1070" w:name="_Toc420816680"/>
      <w:bookmarkStart w:id="1071" w:name="_Toc235079944"/>
      <w:r w:rsidRPr="00203191">
        <w:rPr>
          <w:rFonts w:ascii="Calibri" w:hAnsi="Calibri" w:cs="Calibri"/>
        </w:rPr>
        <w:t>1. WSTĘP</w:t>
      </w:r>
      <w:bookmarkEnd w:id="1070"/>
      <w:bookmarkEnd w:id="1071"/>
    </w:p>
    <w:p w:rsidR="00656AC1" w:rsidRPr="00203191" w:rsidRDefault="00656AC1" w:rsidP="00364E4D">
      <w:pPr>
        <w:pStyle w:val="Nagwek4"/>
        <w:rPr>
          <w:rFonts w:ascii="Calibri" w:hAnsi="Calibri" w:cs="Calibri"/>
        </w:rPr>
      </w:pPr>
      <w:bookmarkStart w:id="1072" w:name="_Toc235079945"/>
      <w:r w:rsidRPr="00203191">
        <w:rPr>
          <w:rFonts w:ascii="Calibri" w:hAnsi="Calibri" w:cs="Calibri"/>
        </w:rPr>
        <w:t xml:space="preserve">1.1. Przedmiot </w:t>
      </w:r>
      <w:bookmarkEnd w:id="1072"/>
      <w:r w:rsidR="005B48CA">
        <w:rPr>
          <w:rFonts w:ascii="Calibri" w:hAnsi="Calibri" w:cs="Calibri"/>
        </w:rPr>
        <w:t>STWiORB</w:t>
      </w:r>
    </w:p>
    <w:p w:rsidR="00656AC1" w:rsidRPr="00203191" w:rsidRDefault="00656AC1" w:rsidP="00364E4D">
      <w:pPr>
        <w:pStyle w:val="Standardowytekst"/>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A46FA8">
        <w:rPr>
          <w:rFonts w:ascii="Calibri" w:hAnsi="Calibri" w:cs="Calibri"/>
        </w:rPr>
        <w:t xml:space="preserve"> </w:t>
      </w:r>
      <w:r w:rsidR="00ED6D29">
        <w:rPr>
          <w:rFonts w:ascii="Calibri" w:hAnsi="Calibri" w:cs="Calibri"/>
        </w:rPr>
        <w:t>specyfikacji</w:t>
      </w:r>
      <w:r w:rsidRPr="00203191">
        <w:rPr>
          <w:rFonts w:ascii="Calibri" w:hAnsi="Calibri" w:cs="Calibri"/>
        </w:rPr>
        <w:t xml:space="preserve"> wykonania</w:t>
      </w:r>
      <w:r w:rsidR="00A46FA8">
        <w:rPr>
          <w:rFonts w:ascii="Calibri" w:hAnsi="Calibri" w:cs="Calibri"/>
        </w:rPr>
        <w:t xml:space="preserve"> i</w:t>
      </w:r>
      <w:r w:rsidRPr="00203191">
        <w:rPr>
          <w:rFonts w:ascii="Calibri" w:hAnsi="Calibri" w:cs="Calibri"/>
        </w:rPr>
        <w:t xml:space="preserve"> o odbioru robót budowlanych (</w:t>
      </w:r>
      <w:r w:rsidR="005B48CA">
        <w:rPr>
          <w:rFonts w:ascii="Calibri" w:hAnsi="Calibri" w:cs="Calibri"/>
        </w:rPr>
        <w:t>STWiORB</w:t>
      </w:r>
      <w:r w:rsidRPr="00203191">
        <w:rPr>
          <w:rFonts w:ascii="Calibri" w:hAnsi="Calibri" w:cs="Calibri"/>
        </w:rPr>
        <w:t>) są wymagania dotyczące wykonania i odbioru oznakowania poziomego dróg.</w:t>
      </w:r>
    </w:p>
    <w:p w:rsidR="00656AC1" w:rsidRPr="00203191" w:rsidRDefault="00656AC1" w:rsidP="00364E4D">
      <w:pPr>
        <w:pStyle w:val="Nagwek4"/>
        <w:rPr>
          <w:rFonts w:ascii="Calibri" w:hAnsi="Calibri" w:cs="Calibri"/>
        </w:rPr>
      </w:pPr>
      <w:bookmarkStart w:id="1073" w:name="_Toc235079947"/>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891619">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364E4D">
      <w:pPr>
        <w:pStyle w:val="Nagwek4"/>
        <w:rPr>
          <w:rFonts w:ascii="Calibri" w:hAnsi="Calibri" w:cs="Calibri"/>
        </w:rPr>
      </w:pPr>
      <w:r w:rsidRPr="00203191">
        <w:rPr>
          <w:rFonts w:ascii="Calibri" w:hAnsi="Calibri" w:cs="Calibri"/>
        </w:rPr>
        <w:t xml:space="preserve">1.3. Zakres robót objętych </w:t>
      </w:r>
      <w:bookmarkEnd w:id="1073"/>
      <w:r w:rsidR="005B48CA">
        <w:rPr>
          <w:rFonts w:ascii="Calibri" w:hAnsi="Calibri" w:cs="Calibri"/>
        </w:rPr>
        <w:t>STWiORB</w:t>
      </w:r>
    </w:p>
    <w:p w:rsidR="00656AC1" w:rsidRPr="00203191" w:rsidRDefault="00656AC1" w:rsidP="00364E4D">
      <w:pPr>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 wykonywaniem i odbiorem oznakowania poziomego stosowanego na drogach o nawierzchni twardej.</w:t>
      </w:r>
    </w:p>
    <w:p w:rsidR="00656AC1" w:rsidRPr="00203191" w:rsidRDefault="00656AC1" w:rsidP="00364E4D">
      <w:pPr>
        <w:pStyle w:val="Nagwek4"/>
        <w:rPr>
          <w:rFonts w:ascii="Calibri" w:hAnsi="Calibri" w:cs="Calibri"/>
        </w:rPr>
      </w:pPr>
      <w:bookmarkStart w:id="1074" w:name="_Toc235079948"/>
      <w:r w:rsidRPr="00203191">
        <w:rPr>
          <w:rFonts w:ascii="Calibri" w:hAnsi="Calibri" w:cs="Calibri"/>
        </w:rPr>
        <w:t>1.4. Określenia podstawowe</w:t>
      </w:r>
      <w:bookmarkEnd w:id="1074"/>
    </w:p>
    <w:p w:rsidR="00656AC1" w:rsidRPr="00203191" w:rsidRDefault="00656AC1" w:rsidP="00364E4D">
      <w:pPr>
        <w:rPr>
          <w:rFonts w:ascii="Calibri" w:hAnsi="Calibri" w:cs="Calibri"/>
        </w:rPr>
      </w:pPr>
      <w:r w:rsidRPr="00203191">
        <w:rPr>
          <w:rFonts w:ascii="Calibri" w:hAnsi="Calibri" w:cs="Calibri"/>
          <w:b/>
          <w:bCs/>
          <w:i/>
          <w:iCs/>
        </w:rPr>
        <w:t>1.4.1.</w:t>
      </w:r>
      <w:r w:rsidRPr="00203191">
        <w:rPr>
          <w:rFonts w:ascii="Calibri" w:hAnsi="Calibri" w:cs="Calibri"/>
          <w:b/>
          <w:bCs/>
        </w:rPr>
        <w:t xml:space="preserve"> </w:t>
      </w:r>
      <w:r w:rsidRPr="00203191">
        <w:rPr>
          <w:rFonts w:ascii="Calibri" w:hAnsi="Calibri" w:cs="Calibri"/>
        </w:rPr>
        <w:t>Oznakowanie poziome - znaki drogowe poziome, umieszczone na nawierzchni w postaci linii ciągłych lub przerywanych, pojedynczych lub podwójnych, strzałek, napisów, symboli oraz innych linii związanych z oznaczeniem określonych miejsc na tej nawierzchni.</w:t>
      </w:r>
    </w:p>
    <w:p w:rsidR="00656AC1" w:rsidRPr="00203191" w:rsidRDefault="00656AC1" w:rsidP="00364E4D">
      <w:pPr>
        <w:spacing w:before="120"/>
        <w:rPr>
          <w:rFonts w:ascii="Calibri" w:hAnsi="Calibri" w:cs="Calibri"/>
        </w:rPr>
      </w:pPr>
      <w:r w:rsidRPr="00203191">
        <w:rPr>
          <w:rFonts w:ascii="Calibri" w:hAnsi="Calibri" w:cs="Calibri"/>
          <w:b/>
          <w:bCs/>
          <w:i/>
          <w:iCs/>
        </w:rPr>
        <w:t>1.4.2.</w:t>
      </w:r>
      <w:r w:rsidRPr="00203191">
        <w:rPr>
          <w:rFonts w:ascii="Calibri" w:hAnsi="Calibri" w:cs="Calibri"/>
          <w:b/>
          <w:bCs/>
        </w:rPr>
        <w:t xml:space="preserve"> </w:t>
      </w:r>
      <w:r w:rsidRPr="00203191">
        <w:rPr>
          <w:rFonts w:ascii="Calibri" w:hAnsi="Calibri" w:cs="Calibri"/>
        </w:rPr>
        <w:t>Znaki podłużne - linie równoległe do osi jezdni lub odchylone od niej pod niewielkim kątem, występujące jako linie segregacyjne lub krawędziowe, przerywane lub ciągłe.</w:t>
      </w:r>
    </w:p>
    <w:p w:rsidR="00656AC1" w:rsidRPr="00203191" w:rsidRDefault="00656AC1" w:rsidP="00364E4D">
      <w:pPr>
        <w:spacing w:before="120"/>
        <w:rPr>
          <w:rFonts w:ascii="Calibri" w:hAnsi="Calibri" w:cs="Calibri"/>
        </w:rPr>
      </w:pPr>
      <w:r w:rsidRPr="00203191">
        <w:rPr>
          <w:rFonts w:ascii="Calibri" w:hAnsi="Calibri" w:cs="Calibri"/>
          <w:b/>
          <w:bCs/>
          <w:i/>
          <w:iCs/>
        </w:rPr>
        <w:t>1.4.3.</w:t>
      </w:r>
      <w:r w:rsidRPr="00203191">
        <w:rPr>
          <w:rFonts w:ascii="Calibri" w:hAnsi="Calibri" w:cs="Calibri"/>
          <w:b/>
          <w:bCs/>
        </w:rPr>
        <w:t xml:space="preserve"> </w:t>
      </w:r>
      <w:r w:rsidRPr="00203191">
        <w:rPr>
          <w:rFonts w:ascii="Calibri" w:hAnsi="Calibri" w:cs="Calibri"/>
        </w:rPr>
        <w:t>Strzałki - znaki poziome na nawierzchni, występujące jako strzałki kierunkowe służące do wskazania dozwolonego kierunku jazdy oraz strzałki naprowadzające, które uprzedzają o konieczności opuszczenia pasa, na którym się znajdują.</w:t>
      </w:r>
    </w:p>
    <w:p w:rsidR="00656AC1" w:rsidRPr="00203191" w:rsidRDefault="00656AC1" w:rsidP="00364E4D">
      <w:pPr>
        <w:spacing w:before="120"/>
        <w:rPr>
          <w:rFonts w:ascii="Calibri" w:hAnsi="Calibri" w:cs="Calibri"/>
        </w:rPr>
      </w:pPr>
      <w:r w:rsidRPr="00203191">
        <w:rPr>
          <w:rFonts w:ascii="Calibri" w:hAnsi="Calibri" w:cs="Calibri"/>
          <w:b/>
          <w:bCs/>
          <w:i/>
          <w:iCs/>
        </w:rPr>
        <w:t>1.4.4.</w:t>
      </w:r>
      <w:r w:rsidRPr="00203191">
        <w:rPr>
          <w:rFonts w:ascii="Calibri" w:hAnsi="Calibri" w:cs="Calibri"/>
          <w:b/>
          <w:bCs/>
        </w:rPr>
        <w:t xml:space="preserve"> </w:t>
      </w:r>
      <w:r w:rsidRPr="00203191">
        <w:rPr>
          <w:rFonts w:ascii="Calibri" w:hAnsi="Calibri" w:cs="Calibri"/>
        </w:rPr>
        <w:t>Znaki poprzeczne - znaki wyznaczające miejsca przeznaczone do ruchu pieszych i rowerzystów w poprzek jezdni oraz miejsca zatrzymania pojazdów.</w:t>
      </w:r>
    </w:p>
    <w:p w:rsidR="00656AC1" w:rsidRPr="00203191" w:rsidRDefault="00656AC1" w:rsidP="00364E4D">
      <w:pPr>
        <w:spacing w:before="120"/>
        <w:rPr>
          <w:rFonts w:ascii="Calibri" w:hAnsi="Calibri" w:cs="Calibri"/>
        </w:rPr>
      </w:pPr>
      <w:r w:rsidRPr="00203191">
        <w:rPr>
          <w:rFonts w:ascii="Calibri" w:hAnsi="Calibri" w:cs="Calibri"/>
          <w:b/>
          <w:bCs/>
          <w:i/>
          <w:iCs/>
        </w:rPr>
        <w:t>1.4.5.</w:t>
      </w:r>
      <w:r w:rsidRPr="00203191">
        <w:rPr>
          <w:rFonts w:ascii="Calibri" w:hAnsi="Calibri" w:cs="Calibri"/>
          <w:b/>
          <w:bCs/>
        </w:rPr>
        <w:t xml:space="preserve"> </w:t>
      </w:r>
      <w:r w:rsidRPr="00203191">
        <w:rPr>
          <w:rFonts w:ascii="Calibri" w:hAnsi="Calibri" w:cs="Calibri"/>
        </w:rPr>
        <w:t>Znaki uzupełniające - znaki w postaci symboli, napisów, linii przystankowych oraz inne określające szczególne miejsca na nawierzchni.</w:t>
      </w:r>
    </w:p>
    <w:p w:rsidR="00656AC1" w:rsidRPr="00203191" w:rsidRDefault="00656AC1" w:rsidP="00364E4D">
      <w:pPr>
        <w:spacing w:before="120"/>
        <w:rPr>
          <w:rFonts w:ascii="Calibri" w:hAnsi="Calibri" w:cs="Calibri"/>
        </w:rPr>
      </w:pPr>
      <w:r w:rsidRPr="00203191">
        <w:rPr>
          <w:rFonts w:ascii="Calibri" w:hAnsi="Calibri" w:cs="Calibri"/>
          <w:b/>
          <w:bCs/>
          <w:i/>
          <w:iCs/>
        </w:rPr>
        <w:t>1.4.6.</w:t>
      </w:r>
      <w:r w:rsidRPr="00203191">
        <w:rPr>
          <w:rFonts w:ascii="Calibri" w:hAnsi="Calibri" w:cs="Calibri"/>
          <w:b/>
          <w:bCs/>
        </w:rPr>
        <w:t xml:space="preserve"> </w:t>
      </w:r>
      <w:r w:rsidR="00A95FEE">
        <w:rPr>
          <w:rFonts w:ascii="Calibri" w:hAnsi="Calibri" w:cs="Calibri"/>
        </w:rPr>
        <w:t>Wyroby budowlane</w:t>
      </w:r>
      <w:r w:rsidRPr="00203191">
        <w:rPr>
          <w:rFonts w:ascii="Calibri" w:hAnsi="Calibri" w:cs="Calibri"/>
        </w:rPr>
        <w:t xml:space="preserve"> do poziomego znakowania dróg - </w:t>
      </w:r>
      <w:r w:rsidR="00A95FEE">
        <w:rPr>
          <w:rFonts w:ascii="Calibri" w:hAnsi="Calibri" w:cs="Calibri"/>
        </w:rPr>
        <w:t>wyroby budowlane</w:t>
      </w:r>
      <w:r w:rsidRPr="00203191">
        <w:rPr>
          <w:rFonts w:ascii="Calibri" w:hAnsi="Calibri" w:cs="Calibri"/>
        </w:rPr>
        <w:t xml:space="preserve">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w:t>
      </w:r>
      <w:r w:rsidR="00A95FEE">
        <w:rPr>
          <w:rFonts w:ascii="Calibri" w:hAnsi="Calibri" w:cs="Calibri"/>
        </w:rPr>
        <w:t>Wyroby budowlane</w:t>
      </w:r>
      <w:r w:rsidRPr="00203191">
        <w:rPr>
          <w:rFonts w:ascii="Calibri" w:hAnsi="Calibri" w:cs="Calibri"/>
        </w:rPr>
        <w:t xml:space="preserve"> te powinny być retrorefleksyjne.</w:t>
      </w:r>
    </w:p>
    <w:p w:rsidR="00656AC1" w:rsidRPr="00203191" w:rsidRDefault="00656AC1" w:rsidP="00364E4D">
      <w:pPr>
        <w:spacing w:before="120"/>
        <w:rPr>
          <w:rFonts w:ascii="Calibri" w:hAnsi="Calibri" w:cs="Calibri"/>
        </w:rPr>
      </w:pPr>
      <w:r w:rsidRPr="00203191">
        <w:rPr>
          <w:rFonts w:ascii="Calibri" w:hAnsi="Calibri" w:cs="Calibri"/>
          <w:b/>
          <w:bCs/>
          <w:i/>
          <w:iCs/>
        </w:rPr>
        <w:t>1.4.7.</w:t>
      </w:r>
      <w:r w:rsidRPr="00203191">
        <w:rPr>
          <w:rFonts w:ascii="Calibri" w:hAnsi="Calibri" w:cs="Calibri"/>
          <w:b/>
          <w:bCs/>
        </w:rPr>
        <w:t xml:space="preserve"> </w:t>
      </w:r>
      <w:r w:rsidR="00A95FEE">
        <w:rPr>
          <w:rFonts w:ascii="Calibri" w:hAnsi="Calibri" w:cs="Calibri"/>
        </w:rPr>
        <w:t>Wyroby budowlane</w:t>
      </w:r>
      <w:r w:rsidRPr="00203191">
        <w:rPr>
          <w:rFonts w:ascii="Calibri" w:hAnsi="Calibri" w:cs="Calibri"/>
        </w:rPr>
        <w:t xml:space="preserve"> do znakowania cienkowarstwowego - farby nakładane warstwą grubości od 0,3 mm do 0,8 mm.</w:t>
      </w:r>
    </w:p>
    <w:p w:rsidR="00656AC1" w:rsidRPr="00203191" w:rsidRDefault="00656AC1" w:rsidP="00364E4D">
      <w:pPr>
        <w:spacing w:before="120"/>
        <w:rPr>
          <w:rFonts w:ascii="Calibri" w:hAnsi="Calibri" w:cs="Calibri"/>
        </w:rPr>
      </w:pPr>
      <w:r w:rsidRPr="00203191">
        <w:rPr>
          <w:rFonts w:ascii="Calibri" w:hAnsi="Calibri" w:cs="Calibri"/>
          <w:b/>
          <w:bCs/>
          <w:i/>
          <w:iCs/>
        </w:rPr>
        <w:t>1.4.</w:t>
      </w:r>
      <w:r w:rsidR="00B26222">
        <w:rPr>
          <w:rFonts w:ascii="Calibri" w:hAnsi="Calibri" w:cs="Calibri"/>
          <w:b/>
          <w:bCs/>
          <w:i/>
          <w:iCs/>
        </w:rPr>
        <w:t>8</w:t>
      </w:r>
      <w:r w:rsidRPr="00203191">
        <w:rPr>
          <w:rFonts w:ascii="Calibri" w:hAnsi="Calibri" w:cs="Calibri"/>
          <w:b/>
          <w:bCs/>
          <w:i/>
          <w:iCs/>
        </w:rPr>
        <w:t>.</w:t>
      </w:r>
      <w:r w:rsidRPr="00203191">
        <w:rPr>
          <w:rFonts w:ascii="Calibri" w:hAnsi="Calibri" w:cs="Calibri"/>
          <w:b/>
          <w:bCs/>
        </w:rPr>
        <w:t xml:space="preserve"> </w:t>
      </w:r>
      <w:r w:rsidRPr="00203191">
        <w:rPr>
          <w:rFonts w:ascii="Calibri" w:hAnsi="Calibri" w:cs="Calibri"/>
        </w:rPr>
        <w:t>Tymczasowe oznakowanie drogowe - oznakowanie z materiału o barwie żółtej, którego czas użytkowania wynosi do 3 miesięcy lub do czasu zakończenia robót.</w:t>
      </w:r>
    </w:p>
    <w:p w:rsidR="00656AC1" w:rsidRPr="00203191" w:rsidRDefault="00656AC1" w:rsidP="00364E4D">
      <w:pPr>
        <w:spacing w:before="120"/>
        <w:rPr>
          <w:rFonts w:ascii="Calibri" w:hAnsi="Calibri" w:cs="Calibri"/>
        </w:rPr>
      </w:pPr>
      <w:r w:rsidRPr="00203191">
        <w:rPr>
          <w:rFonts w:ascii="Calibri" w:hAnsi="Calibri" w:cs="Calibri"/>
          <w:b/>
          <w:bCs/>
          <w:i/>
          <w:iCs/>
        </w:rPr>
        <w:t>1.4.</w:t>
      </w:r>
      <w:r w:rsidR="00B26222">
        <w:rPr>
          <w:rFonts w:ascii="Calibri" w:hAnsi="Calibri" w:cs="Calibri"/>
          <w:b/>
          <w:bCs/>
          <w:i/>
          <w:iCs/>
        </w:rPr>
        <w:t>9</w:t>
      </w:r>
      <w:r w:rsidRPr="00203191">
        <w:rPr>
          <w:rFonts w:ascii="Calibri" w:hAnsi="Calibri" w:cs="Calibri"/>
          <w:b/>
          <w:bCs/>
          <w:i/>
          <w:iCs/>
        </w:rPr>
        <w:t>.</w:t>
      </w:r>
      <w:r w:rsidRPr="00203191">
        <w:rPr>
          <w:rFonts w:ascii="Calibri" w:hAnsi="Calibri" w:cs="Calibri"/>
          <w:b/>
          <w:bCs/>
        </w:rPr>
        <w:t xml:space="preserve"> </w:t>
      </w:r>
      <w:r w:rsidRPr="00203191">
        <w:rPr>
          <w:rFonts w:ascii="Calibri" w:hAnsi="Calibri" w:cs="Calibri"/>
        </w:rPr>
        <w:t>Okresowe oznakowanie drogowe - oznakowanie, którego czas użytkowania wynosi do 6 miesięcy.</w:t>
      </w:r>
    </w:p>
    <w:p w:rsidR="00656AC1" w:rsidRPr="00203191" w:rsidRDefault="00656AC1" w:rsidP="00364E4D">
      <w:pPr>
        <w:spacing w:before="120"/>
        <w:rPr>
          <w:rFonts w:ascii="Calibri" w:hAnsi="Calibri" w:cs="Calibri"/>
        </w:rPr>
      </w:pPr>
      <w:r w:rsidRPr="00203191">
        <w:rPr>
          <w:rFonts w:ascii="Calibri" w:hAnsi="Calibri" w:cs="Calibri"/>
          <w:b/>
          <w:bCs/>
          <w:i/>
          <w:iCs/>
        </w:rPr>
        <w:t>1.4.1</w:t>
      </w:r>
      <w:r w:rsidR="00B26222">
        <w:rPr>
          <w:rFonts w:ascii="Calibri" w:hAnsi="Calibri" w:cs="Calibri"/>
          <w:b/>
          <w:bCs/>
          <w:i/>
          <w:iCs/>
        </w:rPr>
        <w:t>0</w:t>
      </w:r>
      <w:r w:rsidRPr="00203191">
        <w:rPr>
          <w:rFonts w:ascii="Calibri" w:hAnsi="Calibri" w:cs="Calibri"/>
          <w:b/>
          <w:bCs/>
          <w:i/>
          <w:iCs/>
        </w:rPr>
        <w:t>.</w:t>
      </w:r>
      <w:r w:rsidRPr="00203191">
        <w:rPr>
          <w:rFonts w:ascii="Calibri" w:hAnsi="Calibri" w:cs="Calibri"/>
          <w:b/>
          <w:bCs/>
        </w:rPr>
        <w:t xml:space="preserve"> </w:t>
      </w:r>
      <w:r w:rsidRPr="00203191">
        <w:rPr>
          <w:rFonts w:ascii="Calibri" w:hAnsi="Calibri" w:cs="Calibri"/>
        </w:rPr>
        <w:t>Kulki szklane - materiał do posypywania lub narzucania pod ciśnieniem na oznakowanie wykonane materiałami w stanie ciekłym, w celu uzyskania widzialności oznakowania w nocy.</w:t>
      </w:r>
    </w:p>
    <w:p w:rsidR="00656AC1" w:rsidRPr="00203191" w:rsidRDefault="00656AC1" w:rsidP="00364E4D">
      <w:pPr>
        <w:spacing w:before="120"/>
        <w:rPr>
          <w:rFonts w:ascii="Calibri" w:hAnsi="Calibri" w:cs="Calibri"/>
        </w:rPr>
      </w:pPr>
      <w:r w:rsidRPr="00203191">
        <w:rPr>
          <w:rFonts w:ascii="Calibri" w:hAnsi="Calibri" w:cs="Calibri"/>
          <w:b/>
          <w:bCs/>
          <w:i/>
          <w:iCs/>
        </w:rPr>
        <w:t>1.4.1</w:t>
      </w:r>
      <w:r w:rsidR="00B26222">
        <w:rPr>
          <w:rFonts w:ascii="Calibri" w:hAnsi="Calibri" w:cs="Calibri"/>
          <w:b/>
          <w:bCs/>
          <w:i/>
          <w:iCs/>
        </w:rPr>
        <w:t>1</w:t>
      </w:r>
      <w:r w:rsidRPr="00203191">
        <w:rPr>
          <w:rFonts w:ascii="Calibri" w:hAnsi="Calibri" w:cs="Calibri"/>
          <w:b/>
          <w:bCs/>
          <w:i/>
          <w:iCs/>
        </w:rPr>
        <w:t>.</w:t>
      </w:r>
      <w:r w:rsidRPr="00203191">
        <w:rPr>
          <w:rFonts w:ascii="Calibri" w:hAnsi="Calibri" w:cs="Calibri"/>
          <w:b/>
          <w:bCs/>
        </w:rPr>
        <w:t xml:space="preserve"> </w:t>
      </w:r>
      <w:r w:rsidRPr="00203191">
        <w:rPr>
          <w:rFonts w:ascii="Calibri" w:hAnsi="Calibri" w:cs="Calibri"/>
        </w:rPr>
        <w:t>Materiał uszorstniający - kruszywo zapewniające oznakowaniu poziomemu właściwości antypoślizgowe.</w:t>
      </w:r>
    </w:p>
    <w:p w:rsidR="00656AC1" w:rsidRPr="00203191" w:rsidRDefault="00656AC1" w:rsidP="00364E4D">
      <w:pPr>
        <w:spacing w:before="120"/>
        <w:rPr>
          <w:rFonts w:ascii="Calibri" w:hAnsi="Calibri" w:cs="Calibri"/>
        </w:rPr>
      </w:pPr>
      <w:r w:rsidRPr="00203191">
        <w:rPr>
          <w:rFonts w:ascii="Calibri" w:hAnsi="Calibri" w:cs="Calibri"/>
          <w:b/>
          <w:bCs/>
          <w:i/>
          <w:iCs/>
        </w:rPr>
        <w:t>1.4.1</w:t>
      </w:r>
      <w:r w:rsidR="00B26222">
        <w:rPr>
          <w:rFonts w:ascii="Calibri" w:hAnsi="Calibri" w:cs="Calibri"/>
          <w:b/>
          <w:bCs/>
          <w:i/>
          <w:iCs/>
        </w:rPr>
        <w:t>2</w:t>
      </w:r>
      <w:r w:rsidRPr="00203191">
        <w:rPr>
          <w:rFonts w:ascii="Calibri" w:hAnsi="Calibri" w:cs="Calibri"/>
          <w:b/>
          <w:bCs/>
          <w:i/>
          <w:iCs/>
        </w:rPr>
        <w:t>.</w:t>
      </w:r>
      <w:r w:rsidRPr="00203191">
        <w:rPr>
          <w:rFonts w:ascii="Calibri" w:hAnsi="Calibri" w:cs="Calibri"/>
          <w:b/>
          <w:bCs/>
        </w:rPr>
        <w:t xml:space="preserve"> </w:t>
      </w:r>
      <w:r w:rsidRPr="00203191">
        <w:rPr>
          <w:rFonts w:ascii="Calibri" w:hAnsi="Calibri" w:cs="Calibri"/>
        </w:rPr>
        <w:t xml:space="preserve">Pozostałe określenia są zgodne z obowiązującymi, odpowiednimi polskimi normami i z definicjami podanymi w </w:t>
      </w:r>
      <w:r w:rsidR="005B48CA">
        <w:rPr>
          <w:rFonts w:ascii="Calibri" w:hAnsi="Calibri" w:cs="Calibri"/>
        </w:rPr>
        <w:t>STWiORB</w:t>
      </w:r>
      <w:r w:rsidRPr="00203191">
        <w:rPr>
          <w:rFonts w:ascii="Calibri" w:hAnsi="Calibri" w:cs="Calibri"/>
        </w:rPr>
        <w:t xml:space="preserve"> D-M-00.00.00 „Wymagania ogólne” pkt 1.4. </w:t>
      </w:r>
    </w:p>
    <w:p w:rsidR="00656AC1" w:rsidRPr="00203191" w:rsidRDefault="00656AC1" w:rsidP="00364E4D">
      <w:pPr>
        <w:pStyle w:val="Nagwek4"/>
        <w:rPr>
          <w:rFonts w:ascii="Calibri" w:hAnsi="Calibri" w:cs="Calibri"/>
        </w:rPr>
      </w:pPr>
      <w:bookmarkStart w:id="1075" w:name="_Toc235079949"/>
      <w:r w:rsidRPr="00203191">
        <w:rPr>
          <w:rFonts w:ascii="Calibri" w:hAnsi="Calibri" w:cs="Calibri"/>
        </w:rPr>
        <w:lastRenderedPageBreak/>
        <w:t>1.5. Ogólne wymagania dotyczące robót</w:t>
      </w:r>
      <w:bookmarkEnd w:id="1075"/>
    </w:p>
    <w:p w:rsidR="00656AC1" w:rsidRPr="00203191" w:rsidRDefault="00656AC1" w:rsidP="00364E4D">
      <w:pPr>
        <w:spacing w:after="120"/>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 </w:t>
      </w:r>
    </w:p>
    <w:p w:rsidR="00656AC1" w:rsidRPr="00203191" w:rsidRDefault="00656AC1" w:rsidP="00364E4D">
      <w:pPr>
        <w:pStyle w:val="Nagwek3"/>
        <w:tabs>
          <w:tab w:val="num" w:pos="0"/>
        </w:tabs>
        <w:rPr>
          <w:rFonts w:ascii="Calibri" w:hAnsi="Calibri" w:cs="Calibri"/>
        </w:rPr>
      </w:pPr>
      <w:bookmarkStart w:id="1076" w:name="_Toc420816681"/>
      <w:bookmarkStart w:id="1077" w:name="_Toc235079950"/>
      <w:r w:rsidRPr="00203191">
        <w:rPr>
          <w:rFonts w:ascii="Calibri" w:hAnsi="Calibri" w:cs="Calibri"/>
        </w:rPr>
        <w:t xml:space="preserve">2. </w:t>
      </w:r>
      <w:r w:rsidR="00A95FEE">
        <w:rPr>
          <w:rFonts w:ascii="Calibri" w:hAnsi="Calibri" w:cs="Calibri"/>
        </w:rPr>
        <w:t>wyroby budowlane</w:t>
      </w:r>
      <w:bookmarkEnd w:id="1076"/>
      <w:bookmarkEnd w:id="1077"/>
    </w:p>
    <w:p w:rsidR="00656AC1" w:rsidRPr="00203191" w:rsidRDefault="00656AC1" w:rsidP="00364E4D">
      <w:pPr>
        <w:pStyle w:val="Nagwek4"/>
        <w:rPr>
          <w:rFonts w:ascii="Calibri" w:hAnsi="Calibri" w:cs="Calibri"/>
        </w:rPr>
      </w:pPr>
      <w:bookmarkStart w:id="1078" w:name="_Toc235079951"/>
      <w:r w:rsidRPr="00203191">
        <w:rPr>
          <w:rFonts w:ascii="Calibri" w:hAnsi="Calibri" w:cs="Calibri"/>
        </w:rPr>
        <w:t>2.1. Ogólne wymagania dotyczące materiałów</w:t>
      </w:r>
      <w:bookmarkEnd w:id="1078"/>
    </w:p>
    <w:p w:rsidR="00656AC1" w:rsidRPr="00203191" w:rsidRDefault="00656AC1" w:rsidP="00364E4D">
      <w:pPr>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364E4D">
      <w:pPr>
        <w:pStyle w:val="Nagwek4"/>
        <w:rPr>
          <w:rFonts w:ascii="Calibri" w:hAnsi="Calibri" w:cs="Calibri"/>
        </w:rPr>
      </w:pPr>
      <w:bookmarkStart w:id="1079" w:name="_Toc235079952"/>
      <w:r w:rsidRPr="00203191">
        <w:rPr>
          <w:rFonts w:ascii="Calibri" w:hAnsi="Calibri" w:cs="Calibri"/>
        </w:rPr>
        <w:t>2.2. Dokument dopuszczający do stosowania materiałów</w:t>
      </w:r>
      <w:bookmarkEnd w:id="1079"/>
    </w:p>
    <w:p w:rsidR="00656AC1" w:rsidRPr="00203191" w:rsidRDefault="00656AC1" w:rsidP="00364E4D">
      <w:pPr>
        <w:rPr>
          <w:rFonts w:ascii="Calibri" w:hAnsi="Calibri" w:cs="Calibri"/>
        </w:rPr>
      </w:pPr>
      <w:r w:rsidRPr="00203191">
        <w:rPr>
          <w:rFonts w:ascii="Calibri" w:hAnsi="Calibri" w:cs="Calibri"/>
        </w:rPr>
        <w:t>Każdy materiał używany przez Wykonawcę do poziomego znakowania dróg musi posiadać aprobatę techniczną.</w:t>
      </w:r>
    </w:p>
    <w:p w:rsidR="00656AC1" w:rsidRPr="00203191" w:rsidRDefault="00656AC1" w:rsidP="00364E4D">
      <w:pPr>
        <w:pStyle w:val="Nagwek4"/>
        <w:rPr>
          <w:rFonts w:ascii="Calibri" w:hAnsi="Calibri" w:cs="Calibri"/>
        </w:rPr>
      </w:pPr>
      <w:bookmarkStart w:id="1080" w:name="_Toc235079953"/>
      <w:r w:rsidRPr="00203191">
        <w:rPr>
          <w:rFonts w:ascii="Calibri" w:hAnsi="Calibri" w:cs="Calibri"/>
        </w:rPr>
        <w:t>2.3. Badanie materiałów, których jakość budzi wątpliwość</w:t>
      </w:r>
      <w:bookmarkEnd w:id="1080"/>
    </w:p>
    <w:p w:rsidR="00656AC1" w:rsidRPr="00203191" w:rsidRDefault="00656AC1" w:rsidP="00364E4D">
      <w:pPr>
        <w:rPr>
          <w:rFonts w:ascii="Calibri" w:hAnsi="Calibri" w:cs="Calibri"/>
        </w:rPr>
      </w:pPr>
      <w:r w:rsidRPr="00203191">
        <w:rPr>
          <w:rFonts w:ascii="Calibri" w:hAnsi="Calibri" w:cs="Calibri"/>
        </w:rPr>
        <w:t>Wykonawca powinien przeprowadzić dodatkowe badania tych materiałów, które budzą wątpliwości jego lub Inżyniera, co do jakości, w celu stwierdzenia czy odpowiadają one wymaganiom określonym w punkcie 2. Badania te Wykonawca zleci IBDiM lub akredytowanemu laboratorium. Badania powinny być wykonane zgodnie z „Warunkami technicznymi POD-97”.</w:t>
      </w:r>
    </w:p>
    <w:p w:rsidR="00656AC1" w:rsidRPr="00203191" w:rsidRDefault="00656AC1" w:rsidP="00364E4D">
      <w:pPr>
        <w:pStyle w:val="Nagwek4"/>
        <w:rPr>
          <w:rFonts w:ascii="Calibri" w:hAnsi="Calibri" w:cs="Calibri"/>
        </w:rPr>
      </w:pPr>
      <w:bookmarkStart w:id="1081" w:name="_Toc235079954"/>
      <w:r w:rsidRPr="00203191">
        <w:rPr>
          <w:rFonts w:ascii="Calibri" w:hAnsi="Calibri" w:cs="Calibri"/>
        </w:rPr>
        <w:t>2.4. Oznakowanie opakowań</w:t>
      </w:r>
      <w:bookmarkEnd w:id="1081"/>
    </w:p>
    <w:p w:rsidR="00656AC1" w:rsidRPr="00203191" w:rsidRDefault="00656AC1" w:rsidP="00364E4D">
      <w:pPr>
        <w:rPr>
          <w:rFonts w:ascii="Calibri" w:hAnsi="Calibri" w:cs="Calibri"/>
        </w:rPr>
      </w:pPr>
      <w:r w:rsidRPr="00203191">
        <w:rPr>
          <w:rFonts w:ascii="Calibri" w:hAnsi="Calibri" w:cs="Calibri"/>
        </w:rPr>
        <w:t>Wykonawca powinien żądać od producenta, aby oznakowanie opakowań materiałów do poziomego znakowania dróg było wykonane zgodnie z PN-O-79252, a ponadto aby na każdym opakowaniu był umieszczony trwały napis zawierający:</w:t>
      </w:r>
    </w:p>
    <w:p w:rsidR="00656AC1" w:rsidRPr="00203191" w:rsidRDefault="00656AC1" w:rsidP="00954A11">
      <w:pPr>
        <w:numPr>
          <w:ilvl w:val="0"/>
          <w:numId w:val="1"/>
        </w:numPr>
        <w:rPr>
          <w:rFonts w:ascii="Calibri" w:hAnsi="Calibri" w:cs="Calibri"/>
        </w:rPr>
      </w:pPr>
      <w:r w:rsidRPr="00203191">
        <w:rPr>
          <w:rFonts w:ascii="Calibri" w:hAnsi="Calibri" w:cs="Calibri"/>
        </w:rPr>
        <w:t>nazwę producenta i materiału do znakowania dróg,</w:t>
      </w:r>
    </w:p>
    <w:p w:rsidR="00656AC1" w:rsidRPr="00203191" w:rsidRDefault="00656AC1" w:rsidP="00954A11">
      <w:pPr>
        <w:numPr>
          <w:ilvl w:val="0"/>
          <w:numId w:val="1"/>
        </w:numPr>
        <w:rPr>
          <w:rFonts w:ascii="Calibri" w:hAnsi="Calibri" w:cs="Calibri"/>
        </w:rPr>
      </w:pPr>
      <w:r w:rsidRPr="00203191">
        <w:rPr>
          <w:rFonts w:ascii="Calibri" w:hAnsi="Calibri" w:cs="Calibri"/>
        </w:rPr>
        <w:t>masę brutto i netto,</w:t>
      </w:r>
    </w:p>
    <w:p w:rsidR="00656AC1" w:rsidRPr="00203191" w:rsidRDefault="00656AC1" w:rsidP="00954A11">
      <w:pPr>
        <w:numPr>
          <w:ilvl w:val="0"/>
          <w:numId w:val="1"/>
        </w:numPr>
        <w:rPr>
          <w:rFonts w:ascii="Calibri" w:hAnsi="Calibri" w:cs="Calibri"/>
        </w:rPr>
      </w:pPr>
      <w:r w:rsidRPr="00203191">
        <w:rPr>
          <w:rFonts w:ascii="Calibri" w:hAnsi="Calibri" w:cs="Calibri"/>
        </w:rPr>
        <w:t>numer partii i datę produkcji,</w:t>
      </w:r>
    </w:p>
    <w:p w:rsidR="00656AC1" w:rsidRPr="00203191" w:rsidRDefault="00656AC1" w:rsidP="00954A11">
      <w:pPr>
        <w:numPr>
          <w:ilvl w:val="0"/>
          <w:numId w:val="1"/>
        </w:numPr>
        <w:rPr>
          <w:rFonts w:ascii="Calibri" w:hAnsi="Calibri" w:cs="Calibri"/>
        </w:rPr>
      </w:pPr>
      <w:r w:rsidRPr="00203191">
        <w:rPr>
          <w:rFonts w:ascii="Calibri" w:hAnsi="Calibri" w:cs="Calibri"/>
        </w:rPr>
        <w:t>informację o szkodliwości i klasie zagrożenia pożarowego,</w:t>
      </w:r>
    </w:p>
    <w:p w:rsidR="00656AC1" w:rsidRPr="00203191" w:rsidRDefault="00656AC1" w:rsidP="00954A11">
      <w:pPr>
        <w:numPr>
          <w:ilvl w:val="0"/>
          <w:numId w:val="1"/>
        </w:numPr>
        <w:rPr>
          <w:rFonts w:ascii="Calibri" w:hAnsi="Calibri" w:cs="Calibri"/>
        </w:rPr>
      </w:pPr>
      <w:r w:rsidRPr="00203191">
        <w:rPr>
          <w:rFonts w:ascii="Calibri" w:hAnsi="Calibri" w:cs="Calibri"/>
        </w:rPr>
        <w:t>ewentualne wskazówki dla użytkowników.</w:t>
      </w:r>
    </w:p>
    <w:p w:rsidR="00656AC1" w:rsidRPr="00203191" w:rsidRDefault="00656AC1" w:rsidP="00364E4D">
      <w:pPr>
        <w:pStyle w:val="Nagwek4"/>
        <w:rPr>
          <w:rFonts w:ascii="Calibri" w:hAnsi="Calibri" w:cs="Calibri"/>
        </w:rPr>
      </w:pPr>
      <w:bookmarkStart w:id="1082" w:name="_Toc235079955"/>
      <w:r w:rsidRPr="00203191">
        <w:rPr>
          <w:rFonts w:ascii="Calibri" w:hAnsi="Calibri" w:cs="Calibri"/>
        </w:rPr>
        <w:t>2.5. Przepisy określające wymagania dla materiałów</w:t>
      </w:r>
      <w:bookmarkEnd w:id="1082"/>
    </w:p>
    <w:p w:rsidR="00656AC1" w:rsidRPr="00203191" w:rsidRDefault="00656AC1" w:rsidP="00364E4D">
      <w:pPr>
        <w:rPr>
          <w:rFonts w:ascii="Calibri" w:hAnsi="Calibri" w:cs="Calibri"/>
        </w:rPr>
      </w:pPr>
      <w:r w:rsidRPr="00203191">
        <w:rPr>
          <w:rFonts w:ascii="Calibri" w:hAnsi="Calibri" w:cs="Calibri"/>
        </w:rPr>
        <w:t>Podstawowe wymagania dotyczące materiałów podano w punkcie 2.6, a szczegółowe wymagania określone są w „Warunkach technicznych POD-97”.</w:t>
      </w:r>
    </w:p>
    <w:p w:rsidR="00656AC1" w:rsidRPr="00203191" w:rsidRDefault="00656AC1" w:rsidP="00364E4D">
      <w:pPr>
        <w:pStyle w:val="Nagwek4"/>
        <w:rPr>
          <w:rFonts w:ascii="Calibri" w:hAnsi="Calibri" w:cs="Calibri"/>
        </w:rPr>
      </w:pPr>
      <w:bookmarkStart w:id="1083" w:name="_Toc235079956"/>
      <w:r w:rsidRPr="00203191">
        <w:rPr>
          <w:rFonts w:ascii="Calibri" w:hAnsi="Calibri" w:cs="Calibri"/>
        </w:rPr>
        <w:t>2.6. Wymagania wobec materiałów do poziomego znakowania dróg</w:t>
      </w:r>
      <w:bookmarkEnd w:id="1083"/>
    </w:p>
    <w:p w:rsidR="00656AC1" w:rsidRPr="00203191" w:rsidRDefault="00656AC1" w:rsidP="00364E4D">
      <w:pPr>
        <w:spacing w:after="120"/>
        <w:rPr>
          <w:rFonts w:ascii="Calibri" w:hAnsi="Calibri" w:cs="Calibri"/>
          <w:b/>
          <w:bCs/>
          <w:i/>
          <w:iCs/>
        </w:rPr>
      </w:pPr>
      <w:r w:rsidRPr="00203191">
        <w:rPr>
          <w:rFonts w:ascii="Calibri" w:hAnsi="Calibri" w:cs="Calibri"/>
          <w:b/>
          <w:bCs/>
          <w:i/>
          <w:iCs/>
        </w:rPr>
        <w:t xml:space="preserve">2.6.1.  </w:t>
      </w:r>
      <w:r w:rsidR="00A95FEE">
        <w:rPr>
          <w:rFonts w:ascii="Calibri" w:hAnsi="Calibri" w:cs="Calibri"/>
          <w:b/>
          <w:bCs/>
          <w:i/>
          <w:iCs/>
        </w:rPr>
        <w:t>Wyroby budowlane</w:t>
      </w:r>
      <w:r w:rsidRPr="00203191">
        <w:rPr>
          <w:rFonts w:ascii="Calibri" w:hAnsi="Calibri" w:cs="Calibri"/>
          <w:b/>
          <w:bCs/>
          <w:i/>
          <w:iCs/>
        </w:rPr>
        <w:t xml:space="preserve"> do znakowania cienkowarstwowego</w:t>
      </w:r>
    </w:p>
    <w:p w:rsidR="00656AC1" w:rsidRPr="00203191" w:rsidRDefault="00656AC1" w:rsidP="00364E4D">
      <w:pPr>
        <w:rPr>
          <w:rFonts w:ascii="Calibri" w:hAnsi="Calibri" w:cs="Calibri"/>
        </w:rPr>
      </w:pPr>
      <w:r w:rsidRPr="00203191">
        <w:rPr>
          <w:rFonts w:ascii="Calibri" w:hAnsi="Calibri" w:cs="Calibri"/>
        </w:rPr>
        <w:t>Materiałami do znakowania cienkowarstwowego powinny być farby nakładane warstwą grubości od 0,3 mm do 0,8 mm (na mokro). Powinny być nimi ciekłe produkty zawierające ciała stałe rozproszone w organicznym rozpuszczalniku lub wodzie, które mogą występować w układach jedno- lub wieloskładnikowych.</w:t>
      </w:r>
    </w:p>
    <w:p w:rsidR="00656AC1" w:rsidRPr="00203191" w:rsidRDefault="00656AC1" w:rsidP="00364E4D">
      <w:pPr>
        <w:rPr>
          <w:rFonts w:ascii="Calibri" w:hAnsi="Calibri" w:cs="Calibri"/>
        </w:rPr>
      </w:pPr>
      <w:r w:rsidRPr="00203191">
        <w:rPr>
          <w:rFonts w:ascii="Calibri" w:hAnsi="Calibri" w:cs="Calibri"/>
        </w:rPr>
        <w:t xml:space="preserve"> Podczas nakładania farb, do znakowania cienkowarstwowego, na nawierzchnię pędzlem, wałkiem lub przez natrysk, powinny one tworzyć warstwę kohezyjną w procesie odparowania i/lub w procesie chemicznym.</w:t>
      </w:r>
    </w:p>
    <w:p w:rsidR="00656AC1" w:rsidRPr="00203191" w:rsidRDefault="00656AC1" w:rsidP="00364E4D">
      <w:pPr>
        <w:spacing w:after="120"/>
        <w:rPr>
          <w:rFonts w:ascii="Calibri" w:hAnsi="Calibri" w:cs="Calibri"/>
        </w:rPr>
      </w:pPr>
      <w:r w:rsidRPr="00203191">
        <w:rPr>
          <w:rFonts w:ascii="Calibri" w:hAnsi="Calibri" w:cs="Calibri"/>
        </w:rPr>
        <w:t>Właściwości fizyczne materiałów do znakowania cienkowarstwowego określa aprobata techniczna odpowiadająca wymaganiom POD-97.</w:t>
      </w:r>
    </w:p>
    <w:p w:rsidR="00656AC1" w:rsidRPr="00203191" w:rsidRDefault="00656AC1" w:rsidP="00364E4D">
      <w:pPr>
        <w:rPr>
          <w:rFonts w:ascii="Calibri" w:hAnsi="Calibri" w:cs="Calibri"/>
          <w:b/>
          <w:bCs/>
          <w:i/>
          <w:iCs/>
        </w:rPr>
      </w:pPr>
      <w:r w:rsidRPr="00203191">
        <w:rPr>
          <w:rFonts w:ascii="Calibri" w:hAnsi="Calibri" w:cs="Calibri"/>
          <w:b/>
          <w:bCs/>
          <w:i/>
          <w:iCs/>
        </w:rPr>
        <w:t>2.6.</w:t>
      </w:r>
      <w:r w:rsidR="00B26222">
        <w:rPr>
          <w:rFonts w:ascii="Calibri" w:hAnsi="Calibri" w:cs="Calibri"/>
          <w:b/>
          <w:bCs/>
          <w:i/>
          <w:iCs/>
        </w:rPr>
        <w:t>2</w:t>
      </w:r>
      <w:r w:rsidRPr="00203191">
        <w:rPr>
          <w:rFonts w:ascii="Calibri" w:hAnsi="Calibri" w:cs="Calibri"/>
          <w:b/>
          <w:bCs/>
          <w:i/>
          <w:iCs/>
        </w:rPr>
        <w:t>. Zawartość   składników   lotnych  w  materiałach   do  znakowania   cienkowarstwowego</w:t>
      </w:r>
    </w:p>
    <w:p w:rsidR="00656AC1" w:rsidRPr="00203191" w:rsidRDefault="00656AC1" w:rsidP="00ED260C">
      <w:pPr>
        <w:rPr>
          <w:rFonts w:ascii="Calibri" w:hAnsi="Calibri" w:cs="Calibri"/>
        </w:rPr>
      </w:pPr>
      <w:r w:rsidRPr="00203191">
        <w:rPr>
          <w:rFonts w:ascii="Calibri" w:hAnsi="Calibri" w:cs="Calibri"/>
        </w:rPr>
        <w:t>Zawartość składników lotnych (rozpuszczalników organicznych) nie powinna przekracz</w:t>
      </w:r>
      <w:r w:rsidR="00ED260C">
        <w:rPr>
          <w:rFonts w:ascii="Calibri" w:hAnsi="Calibri" w:cs="Calibri"/>
        </w:rPr>
        <w:t xml:space="preserve">ać w materiałach do znakowania </w:t>
      </w:r>
      <w:r w:rsidRPr="00203191">
        <w:rPr>
          <w:rFonts w:ascii="Calibri" w:hAnsi="Calibri" w:cs="Calibri"/>
        </w:rPr>
        <w:t>cienkowarstwowego 30% (m/m),</w:t>
      </w:r>
    </w:p>
    <w:p w:rsidR="00656AC1" w:rsidRPr="00203191" w:rsidRDefault="00656AC1" w:rsidP="00364E4D">
      <w:pPr>
        <w:rPr>
          <w:rFonts w:ascii="Calibri" w:hAnsi="Calibri" w:cs="Calibri"/>
        </w:rPr>
      </w:pPr>
      <w:r w:rsidRPr="00203191">
        <w:rPr>
          <w:rFonts w:ascii="Calibri" w:hAnsi="Calibri" w:cs="Calibri"/>
        </w:rPr>
        <w:t>Nie dopuszcza się stosowania materiałów zawierających rozpuszczalnik aromatyczny (jak np. toluen, ksylen) w ilości większej niż 10%. Nie dopuszcza się stosowania materiałów zawierających benzen i rozpuszczalniki chlorowane.</w:t>
      </w:r>
    </w:p>
    <w:p w:rsidR="00656AC1" w:rsidRPr="00203191" w:rsidRDefault="00656AC1" w:rsidP="00364E4D">
      <w:pPr>
        <w:spacing w:before="120"/>
        <w:rPr>
          <w:rFonts w:ascii="Calibri" w:hAnsi="Calibri" w:cs="Calibri"/>
          <w:b/>
          <w:bCs/>
          <w:i/>
          <w:iCs/>
        </w:rPr>
      </w:pPr>
      <w:r w:rsidRPr="00203191">
        <w:rPr>
          <w:rFonts w:ascii="Calibri" w:hAnsi="Calibri" w:cs="Calibri"/>
          <w:b/>
          <w:bCs/>
          <w:i/>
          <w:iCs/>
        </w:rPr>
        <w:t>2.6.</w:t>
      </w:r>
      <w:r w:rsidR="00B26222">
        <w:rPr>
          <w:rFonts w:ascii="Calibri" w:hAnsi="Calibri" w:cs="Calibri"/>
          <w:b/>
          <w:bCs/>
          <w:i/>
          <w:iCs/>
        </w:rPr>
        <w:t>4</w:t>
      </w:r>
      <w:r w:rsidRPr="00203191">
        <w:rPr>
          <w:rFonts w:ascii="Calibri" w:hAnsi="Calibri" w:cs="Calibri"/>
          <w:b/>
          <w:bCs/>
          <w:i/>
          <w:iCs/>
        </w:rPr>
        <w:t>. Wymagania wobec materiałów ze względu na ochronę warunków pracy i środowiska</w:t>
      </w:r>
    </w:p>
    <w:p w:rsidR="00656AC1" w:rsidRPr="00203191" w:rsidRDefault="00A95FEE" w:rsidP="00364E4D">
      <w:pPr>
        <w:spacing w:before="120"/>
        <w:rPr>
          <w:rFonts w:ascii="Calibri" w:hAnsi="Calibri" w:cs="Calibri"/>
        </w:rPr>
      </w:pPr>
      <w:r>
        <w:rPr>
          <w:rFonts w:ascii="Calibri" w:hAnsi="Calibri" w:cs="Calibri"/>
        </w:rPr>
        <w:t>Wyroby budowlane</w:t>
      </w:r>
      <w:r w:rsidR="00656AC1" w:rsidRPr="00203191">
        <w:rPr>
          <w:rFonts w:ascii="Calibri" w:hAnsi="Calibri" w:cs="Calibri"/>
        </w:rPr>
        <w:t xml:space="preserve"> stosowane do znakowania nawierzchni nie powinny zawierać substancji zagrażających zdrowiu ludzi i powodujących skażenie środowiska.</w:t>
      </w:r>
    </w:p>
    <w:p w:rsidR="00656AC1" w:rsidRPr="00203191" w:rsidRDefault="00656AC1" w:rsidP="00364E4D">
      <w:pPr>
        <w:pStyle w:val="Nagwek4"/>
        <w:rPr>
          <w:rFonts w:ascii="Calibri" w:hAnsi="Calibri" w:cs="Calibri"/>
        </w:rPr>
      </w:pPr>
      <w:bookmarkStart w:id="1084" w:name="_Toc235079957"/>
      <w:r w:rsidRPr="00203191">
        <w:rPr>
          <w:rFonts w:ascii="Calibri" w:hAnsi="Calibri" w:cs="Calibri"/>
        </w:rPr>
        <w:lastRenderedPageBreak/>
        <w:t>2.7. Przechowywanie i składowanie materiałów</w:t>
      </w:r>
      <w:bookmarkEnd w:id="1084"/>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do znakowania cienko- i grubowarstwowego nawierzchni powinny zachować stałość swoich właściwości chemicznych i fizykochemicznych przez okres co najmniej 6 miesięcy składowania w warunkach określonych przez producenta.</w:t>
      </w:r>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do poziomego znakowania dróg należy przechowywać w magazynach odpowiadających zaleceniom producenta, zwłaszcza zabezpieczających je od napromieniowania słonecznego, opadów i w temperaturze, dla:</w:t>
      </w:r>
    </w:p>
    <w:p w:rsidR="00656AC1" w:rsidRPr="00203191" w:rsidRDefault="00656AC1" w:rsidP="00973D29">
      <w:pPr>
        <w:numPr>
          <w:ilvl w:val="0"/>
          <w:numId w:val="35"/>
        </w:numPr>
        <w:rPr>
          <w:rFonts w:ascii="Calibri" w:hAnsi="Calibri" w:cs="Calibri"/>
        </w:rPr>
      </w:pPr>
      <w:r w:rsidRPr="00203191">
        <w:rPr>
          <w:rFonts w:ascii="Calibri" w:hAnsi="Calibri" w:cs="Calibri"/>
        </w:rPr>
        <w:t>farb wodorozcieńczalnych od 5</w:t>
      </w:r>
      <w:r w:rsidRPr="00203191">
        <w:rPr>
          <w:rFonts w:ascii="Calibri" w:hAnsi="Calibri" w:cs="Calibri"/>
          <w:vertAlign w:val="superscript"/>
        </w:rPr>
        <w:t>o</w:t>
      </w:r>
      <w:r w:rsidRPr="00203191">
        <w:rPr>
          <w:rFonts w:ascii="Calibri" w:hAnsi="Calibri" w:cs="Calibri"/>
        </w:rPr>
        <w:t xml:space="preserve"> do 40</w:t>
      </w:r>
      <w:r w:rsidRPr="00203191">
        <w:rPr>
          <w:rFonts w:ascii="Calibri" w:hAnsi="Calibri" w:cs="Calibri"/>
          <w:vertAlign w:val="superscript"/>
        </w:rPr>
        <w:t>o</w:t>
      </w:r>
      <w:r w:rsidRPr="00203191">
        <w:rPr>
          <w:rFonts w:ascii="Calibri" w:hAnsi="Calibri" w:cs="Calibri"/>
        </w:rPr>
        <w:t>C,</w:t>
      </w:r>
    </w:p>
    <w:p w:rsidR="00656AC1" w:rsidRPr="00203191" w:rsidRDefault="00656AC1" w:rsidP="00973D29">
      <w:pPr>
        <w:numPr>
          <w:ilvl w:val="0"/>
          <w:numId w:val="35"/>
        </w:numPr>
        <w:rPr>
          <w:rFonts w:ascii="Calibri" w:hAnsi="Calibri" w:cs="Calibri"/>
        </w:rPr>
      </w:pPr>
      <w:r w:rsidRPr="00203191">
        <w:rPr>
          <w:rFonts w:ascii="Calibri" w:hAnsi="Calibri" w:cs="Calibri"/>
        </w:rPr>
        <w:t>farb rozpuszczalnikowych od 0</w:t>
      </w:r>
      <w:r w:rsidRPr="00203191">
        <w:rPr>
          <w:rFonts w:ascii="Calibri" w:hAnsi="Calibri" w:cs="Calibri"/>
          <w:vertAlign w:val="superscript"/>
        </w:rPr>
        <w:t>o</w:t>
      </w:r>
      <w:r w:rsidRPr="00203191">
        <w:rPr>
          <w:rFonts w:ascii="Calibri" w:hAnsi="Calibri" w:cs="Calibri"/>
        </w:rPr>
        <w:t xml:space="preserve"> do 25</w:t>
      </w:r>
      <w:r w:rsidRPr="00203191">
        <w:rPr>
          <w:rFonts w:ascii="Calibri" w:hAnsi="Calibri" w:cs="Calibri"/>
          <w:vertAlign w:val="superscript"/>
        </w:rPr>
        <w:t>o</w:t>
      </w:r>
      <w:r w:rsidRPr="00203191">
        <w:rPr>
          <w:rFonts w:ascii="Calibri" w:hAnsi="Calibri" w:cs="Calibri"/>
        </w:rPr>
        <w:t>C,</w:t>
      </w:r>
    </w:p>
    <w:p w:rsidR="00656AC1" w:rsidRPr="00203191" w:rsidRDefault="00656AC1" w:rsidP="00973D29">
      <w:pPr>
        <w:numPr>
          <w:ilvl w:val="0"/>
          <w:numId w:val="35"/>
        </w:numPr>
        <w:spacing w:after="120"/>
        <w:ind w:left="284" w:hanging="284"/>
        <w:rPr>
          <w:rFonts w:ascii="Calibri" w:hAnsi="Calibri" w:cs="Calibri"/>
        </w:rPr>
      </w:pPr>
      <w:r w:rsidRPr="00203191">
        <w:rPr>
          <w:rFonts w:ascii="Calibri" w:hAnsi="Calibri" w:cs="Calibri"/>
        </w:rPr>
        <w:t>pozostałych materiałów - poniżej 40</w:t>
      </w:r>
      <w:r w:rsidRPr="00203191">
        <w:rPr>
          <w:rFonts w:ascii="Calibri" w:hAnsi="Calibri" w:cs="Calibri"/>
          <w:vertAlign w:val="superscript"/>
        </w:rPr>
        <w:t>o</w:t>
      </w:r>
      <w:r w:rsidRPr="00203191">
        <w:rPr>
          <w:rFonts w:ascii="Calibri" w:hAnsi="Calibri" w:cs="Calibri"/>
        </w:rPr>
        <w:t>C.</w:t>
      </w:r>
    </w:p>
    <w:p w:rsidR="00656AC1" w:rsidRPr="00203191" w:rsidRDefault="00656AC1" w:rsidP="00364E4D">
      <w:pPr>
        <w:pStyle w:val="Nagwek3"/>
        <w:tabs>
          <w:tab w:val="num" w:pos="0"/>
        </w:tabs>
        <w:rPr>
          <w:rFonts w:ascii="Calibri" w:hAnsi="Calibri" w:cs="Calibri"/>
        </w:rPr>
      </w:pPr>
      <w:bookmarkStart w:id="1085" w:name="_Toc420816682"/>
      <w:bookmarkStart w:id="1086" w:name="_Toc235079958"/>
      <w:r w:rsidRPr="00203191">
        <w:rPr>
          <w:rFonts w:ascii="Calibri" w:hAnsi="Calibri" w:cs="Calibri"/>
        </w:rPr>
        <w:t>3. sprzęt</w:t>
      </w:r>
      <w:bookmarkEnd w:id="1085"/>
      <w:bookmarkEnd w:id="1086"/>
    </w:p>
    <w:p w:rsidR="00656AC1" w:rsidRPr="00203191" w:rsidRDefault="00656AC1" w:rsidP="00364E4D">
      <w:pPr>
        <w:pStyle w:val="Nagwek4"/>
        <w:rPr>
          <w:rFonts w:ascii="Calibri" w:hAnsi="Calibri" w:cs="Calibri"/>
        </w:rPr>
      </w:pPr>
      <w:bookmarkStart w:id="1087" w:name="_Toc235079959"/>
      <w:r w:rsidRPr="00203191">
        <w:rPr>
          <w:rFonts w:ascii="Calibri" w:hAnsi="Calibri" w:cs="Calibri"/>
        </w:rPr>
        <w:t>3.1. Ogólne wymagania dotyczące sprzętu</w:t>
      </w:r>
      <w:bookmarkEnd w:id="1087"/>
    </w:p>
    <w:p w:rsidR="00656AC1" w:rsidRPr="00203191" w:rsidRDefault="00656AC1" w:rsidP="00364E4D">
      <w:pPr>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rPr>
          <w:rFonts w:ascii="Calibri" w:hAnsi="Calibri" w:cs="Calibri"/>
        </w:rPr>
      </w:pPr>
      <w:bookmarkStart w:id="1088" w:name="_Toc235079960"/>
      <w:r w:rsidRPr="00203191">
        <w:rPr>
          <w:rFonts w:ascii="Calibri" w:hAnsi="Calibri" w:cs="Calibri"/>
        </w:rPr>
        <w:t>3.2. Sprzęt do wykonania oznakowania poziomego</w:t>
      </w:r>
      <w:bookmarkEnd w:id="1088"/>
    </w:p>
    <w:p w:rsidR="00656AC1" w:rsidRPr="00203191" w:rsidRDefault="00656AC1" w:rsidP="00364E4D">
      <w:pPr>
        <w:rPr>
          <w:rFonts w:ascii="Calibri" w:hAnsi="Calibri" w:cs="Calibri"/>
        </w:rPr>
      </w:pPr>
      <w:r w:rsidRPr="00203191">
        <w:rPr>
          <w:rFonts w:ascii="Calibri" w:hAnsi="Calibri" w:cs="Calibri"/>
        </w:rPr>
        <w:t>Wykonawca przystępujący do wykonania oznakowania poziomego, w zależności od zakresu robót, powinien wykazać się możliwością korzystania z następującego sprzętu, zaakceptowanego przez Inżyniera:</w:t>
      </w:r>
    </w:p>
    <w:p w:rsidR="00656AC1" w:rsidRPr="00203191" w:rsidRDefault="00656AC1" w:rsidP="00954A11">
      <w:pPr>
        <w:numPr>
          <w:ilvl w:val="0"/>
          <w:numId w:val="1"/>
        </w:numPr>
        <w:rPr>
          <w:rFonts w:ascii="Calibri" w:hAnsi="Calibri" w:cs="Calibri"/>
        </w:rPr>
      </w:pPr>
      <w:r w:rsidRPr="00203191">
        <w:rPr>
          <w:rFonts w:ascii="Calibri" w:hAnsi="Calibri" w:cs="Calibri"/>
        </w:rPr>
        <w:t>szczotek mechanicznych (zaleca się stosowanie szczotek wyposażonych w urządzenia odpylające) oraz szczotek ręcznych,</w:t>
      </w:r>
    </w:p>
    <w:p w:rsidR="00656AC1" w:rsidRPr="00203191" w:rsidRDefault="00656AC1" w:rsidP="00954A11">
      <w:pPr>
        <w:numPr>
          <w:ilvl w:val="0"/>
          <w:numId w:val="1"/>
        </w:numPr>
        <w:rPr>
          <w:rFonts w:ascii="Calibri" w:hAnsi="Calibri" w:cs="Calibri"/>
        </w:rPr>
      </w:pPr>
      <w:r w:rsidRPr="00203191">
        <w:rPr>
          <w:rFonts w:ascii="Calibri" w:hAnsi="Calibri" w:cs="Calibri"/>
        </w:rPr>
        <w:t>sprężarek,</w:t>
      </w:r>
    </w:p>
    <w:p w:rsidR="00ED260C" w:rsidRDefault="00656AC1" w:rsidP="00ED260C">
      <w:pPr>
        <w:numPr>
          <w:ilvl w:val="0"/>
          <w:numId w:val="1"/>
        </w:numPr>
        <w:rPr>
          <w:rFonts w:ascii="Calibri" w:hAnsi="Calibri" w:cs="Calibri"/>
        </w:rPr>
      </w:pPr>
      <w:r w:rsidRPr="00203191">
        <w:rPr>
          <w:rFonts w:ascii="Calibri" w:hAnsi="Calibri" w:cs="Calibri"/>
        </w:rPr>
        <w:t>malowarek,</w:t>
      </w:r>
    </w:p>
    <w:p w:rsidR="00656AC1" w:rsidRPr="00ED260C" w:rsidRDefault="00656AC1" w:rsidP="00ED260C">
      <w:pPr>
        <w:numPr>
          <w:ilvl w:val="0"/>
          <w:numId w:val="1"/>
        </w:numPr>
        <w:rPr>
          <w:rFonts w:ascii="Calibri" w:hAnsi="Calibri" w:cs="Calibri"/>
        </w:rPr>
      </w:pPr>
      <w:r w:rsidRPr="00ED260C">
        <w:rPr>
          <w:rFonts w:ascii="Calibri" w:hAnsi="Calibri" w:cs="Calibri"/>
        </w:rPr>
        <w:t xml:space="preserve">sprzętu do badań, określonych w </w:t>
      </w:r>
      <w:r w:rsidR="005B48CA" w:rsidRPr="00ED260C">
        <w:rPr>
          <w:rFonts w:ascii="Calibri" w:hAnsi="Calibri" w:cs="Calibri"/>
        </w:rPr>
        <w:t>STWiORB</w:t>
      </w:r>
      <w:r w:rsidRPr="00ED260C">
        <w:rPr>
          <w:rFonts w:ascii="Calibri" w:hAnsi="Calibri" w:cs="Calibri"/>
        </w:rPr>
        <w:t>.</w:t>
      </w:r>
    </w:p>
    <w:p w:rsidR="00656AC1" w:rsidRPr="00203191" w:rsidRDefault="00656AC1" w:rsidP="00364E4D">
      <w:pPr>
        <w:pStyle w:val="Nagwek3"/>
        <w:tabs>
          <w:tab w:val="num" w:pos="0"/>
        </w:tabs>
        <w:rPr>
          <w:rFonts w:ascii="Calibri" w:hAnsi="Calibri" w:cs="Calibri"/>
        </w:rPr>
      </w:pPr>
      <w:bookmarkStart w:id="1089" w:name="_Toc420816683"/>
      <w:bookmarkStart w:id="1090" w:name="_Toc235079961"/>
      <w:r w:rsidRPr="00203191">
        <w:rPr>
          <w:rFonts w:ascii="Calibri" w:hAnsi="Calibri" w:cs="Calibri"/>
        </w:rPr>
        <w:t>4. transport</w:t>
      </w:r>
      <w:bookmarkEnd w:id="1089"/>
      <w:bookmarkEnd w:id="1090"/>
    </w:p>
    <w:p w:rsidR="00656AC1" w:rsidRPr="00203191" w:rsidRDefault="00656AC1" w:rsidP="00364E4D">
      <w:pPr>
        <w:pStyle w:val="Nagwek4"/>
        <w:rPr>
          <w:rFonts w:ascii="Calibri" w:hAnsi="Calibri" w:cs="Calibri"/>
        </w:rPr>
      </w:pPr>
      <w:bookmarkStart w:id="1091" w:name="_Toc235079962"/>
      <w:r w:rsidRPr="00203191">
        <w:rPr>
          <w:rFonts w:ascii="Calibri" w:hAnsi="Calibri" w:cs="Calibri"/>
        </w:rPr>
        <w:t>4.1. Ogólne wymagania dotyczące transportu</w:t>
      </w:r>
      <w:bookmarkEnd w:id="1091"/>
    </w:p>
    <w:p w:rsidR="00656AC1" w:rsidRPr="00203191" w:rsidRDefault="00656AC1" w:rsidP="00364E4D">
      <w:pPr>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rPr>
          <w:rFonts w:ascii="Calibri" w:hAnsi="Calibri" w:cs="Calibri"/>
        </w:rPr>
      </w:pPr>
      <w:bookmarkStart w:id="1092" w:name="_Toc235079963"/>
      <w:r w:rsidRPr="00203191">
        <w:rPr>
          <w:rFonts w:ascii="Calibri" w:hAnsi="Calibri" w:cs="Calibri"/>
        </w:rPr>
        <w:t>4.2. Przewóz materiałów do poziomego znakowania dróg</w:t>
      </w:r>
      <w:bookmarkEnd w:id="1092"/>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do poziomego znakowania dróg należy przewozić w pojemnikach zapewniających szczelność, bezpieczny transport i zachowanie wymaganych właściwości materiałów. Pojemniki powinny być oznakowane zgodnie z normą PN-O-79252. </w:t>
      </w:r>
    </w:p>
    <w:p w:rsidR="00656AC1" w:rsidRPr="00203191" w:rsidRDefault="00A95FEE" w:rsidP="00364E4D">
      <w:pPr>
        <w:spacing w:after="120"/>
        <w:rPr>
          <w:rFonts w:ascii="Calibri" w:hAnsi="Calibri" w:cs="Calibri"/>
        </w:rPr>
      </w:pPr>
      <w:r>
        <w:rPr>
          <w:rFonts w:ascii="Calibri" w:hAnsi="Calibri" w:cs="Calibri"/>
        </w:rPr>
        <w:t>Wyroby budowlane</w:t>
      </w:r>
      <w:r w:rsidR="00656AC1" w:rsidRPr="00203191">
        <w:rPr>
          <w:rFonts w:ascii="Calibri" w:hAnsi="Calibri" w:cs="Calibri"/>
        </w:rPr>
        <w:t xml:space="preserve"> do znakowania poziomego należy przewozić krytymi środkami transportowymi, chroniąc opakowania przed uszkodzeniem mechanicznym, zgodnie z PN-C-81400 oraz zgodnie z prawem przewozowym.</w:t>
      </w:r>
    </w:p>
    <w:p w:rsidR="00656AC1" w:rsidRPr="00203191" w:rsidRDefault="00656AC1" w:rsidP="00364E4D">
      <w:pPr>
        <w:pStyle w:val="Nagwek3"/>
        <w:tabs>
          <w:tab w:val="num" w:pos="0"/>
        </w:tabs>
        <w:rPr>
          <w:rFonts w:ascii="Calibri" w:hAnsi="Calibri" w:cs="Calibri"/>
        </w:rPr>
      </w:pPr>
      <w:bookmarkStart w:id="1093" w:name="_Toc420816684"/>
      <w:bookmarkStart w:id="1094" w:name="_Toc235079964"/>
      <w:r w:rsidRPr="00203191">
        <w:rPr>
          <w:rFonts w:ascii="Calibri" w:hAnsi="Calibri" w:cs="Calibri"/>
        </w:rPr>
        <w:t>5. wykonanie robót</w:t>
      </w:r>
      <w:bookmarkEnd w:id="1093"/>
      <w:bookmarkEnd w:id="1094"/>
    </w:p>
    <w:p w:rsidR="00656AC1" w:rsidRPr="00203191" w:rsidRDefault="00656AC1" w:rsidP="00364E4D">
      <w:pPr>
        <w:pStyle w:val="Nagwek4"/>
        <w:rPr>
          <w:rFonts w:ascii="Calibri" w:hAnsi="Calibri" w:cs="Calibri"/>
        </w:rPr>
      </w:pPr>
      <w:bookmarkStart w:id="1095" w:name="_Toc235079965"/>
      <w:r w:rsidRPr="00203191">
        <w:rPr>
          <w:rFonts w:ascii="Calibri" w:hAnsi="Calibri" w:cs="Calibri"/>
        </w:rPr>
        <w:t>5.1. Ogólne zasady wykonania robót</w:t>
      </w:r>
      <w:bookmarkEnd w:id="1095"/>
    </w:p>
    <w:p w:rsidR="00656AC1" w:rsidRPr="00203191" w:rsidRDefault="00656AC1" w:rsidP="00364E4D">
      <w:pPr>
        <w:rPr>
          <w:rFonts w:ascii="Calibri" w:hAnsi="Calibri" w:cs="Calibri"/>
        </w:rPr>
      </w:pPr>
      <w:r w:rsidRPr="00203191">
        <w:rPr>
          <w:rFonts w:ascii="Calibri" w:hAnsi="Calibri" w:cs="Calibri"/>
        </w:rPr>
        <w:t xml:space="preserve">Ogólne zasady wykonania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pStyle w:val="Nagwek4"/>
        <w:rPr>
          <w:rFonts w:ascii="Calibri" w:hAnsi="Calibri" w:cs="Calibri"/>
        </w:rPr>
      </w:pPr>
      <w:bookmarkStart w:id="1096" w:name="_Toc235079966"/>
      <w:r w:rsidRPr="00203191">
        <w:rPr>
          <w:rFonts w:ascii="Calibri" w:hAnsi="Calibri" w:cs="Calibri"/>
        </w:rPr>
        <w:t>5.2. Warunki atmosferyczne</w:t>
      </w:r>
      <w:bookmarkEnd w:id="1096"/>
    </w:p>
    <w:p w:rsidR="00656AC1" w:rsidRPr="00203191" w:rsidRDefault="00656AC1" w:rsidP="00364E4D">
      <w:pPr>
        <w:rPr>
          <w:rFonts w:ascii="Calibri" w:hAnsi="Calibri" w:cs="Calibri"/>
        </w:rPr>
      </w:pPr>
      <w:r w:rsidRPr="00203191">
        <w:rPr>
          <w:rFonts w:ascii="Calibri" w:hAnsi="Calibri" w:cs="Calibri"/>
        </w:rPr>
        <w:t>W czasie wykonywania oznakowania temperatura nawierzchni i powietrza powinna wynosić co najmniej 5</w:t>
      </w:r>
      <w:r w:rsidRPr="00203191">
        <w:rPr>
          <w:rFonts w:ascii="Calibri" w:hAnsi="Calibri" w:cs="Calibri"/>
          <w:vertAlign w:val="superscript"/>
        </w:rPr>
        <w:t>o</w:t>
      </w:r>
      <w:r w:rsidRPr="00203191">
        <w:rPr>
          <w:rFonts w:ascii="Calibri" w:hAnsi="Calibri" w:cs="Calibri"/>
        </w:rPr>
        <w:t>C, a wilgotność względna powietrza powinna być zgodna z zaleceniami producenta lub wynosić co najwyżej 85%.</w:t>
      </w:r>
    </w:p>
    <w:p w:rsidR="00656AC1" w:rsidRPr="00203191" w:rsidRDefault="00656AC1" w:rsidP="00364E4D">
      <w:pPr>
        <w:pStyle w:val="Nagwek4"/>
        <w:rPr>
          <w:rFonts w:ascii="Calibri" w:hAnsi="Calibri" w:cs="Calibri"/>
        </w:rPr>
      </w:pPr>
      <w:bookmarkStart w:id="1097" w:name="_Toc235079968"/>
      <w:r w:rsidRPr="00203191">
        <w:rPr>
          <w:rFonts w:ascii="Calibri" w:hAnsi="Calibri" w:cs="Calibri"/>
        </w:rPr>
        <w:t>5.3. Przygotowanie podłoża do wykonania znakowania</w:t>
      </w:r>
      <w:bookmarkEnd w:id="1097"/>
    </w:p>
    <w:p w:rsidR="00656AC1" w:rsidRPr="00203191" w:rsidRDefault="00656AC1" w:rsidP="00364E4D">
      <w:pPr>
        <w:rPr>
          <w:rFonts w:ascii="Calibri" w:hAnsi="Calibri" w:cs="Calibri"/>
        </w:rPr>
      </w:pPr>
      <w:r w:rsidRPr="00203191">
        <w:rPr>
          <w:rFonts w:ascii="Calibri" w:hAnsi="Calibri" w:cs="Calibri"/>
        </w:rPr>
        <w:t xml:space="preserve">Przed wykonaniem znakowania poziomego należy oczyścić powierzchnię nawierzchni malowanej z pyłu, kurzu, piasku, smarów, olejów i innych zanieczyszczeń, przy użyciu sprzętu wymienionego w </w:t>
      </w:r>
      <w:r w:rsidR="005B48CA">
        <w:rPr>
          <w:rFonts w:ascii="Calibri" w:hAnsi="Calibri" w:cs="Calibri"/>
        </w:rPr>
        <w:t>STWiORB</w:t>
      </w:r>
      <w:r w:rsidRPr="00203191">
        <w:rPr>
          <w:rFonts w:ascii="Calibri" w:hAnsi="Calibri" w:cs="Calibri"/>
        </w:rPr>
        <w:t xml:space="preserve"> i zaakceptowanego przez Inżyniera.</w:t>
      </w:r>
    </w:p>
    <w:p w:rsidR="00656AC1" w:rsidRPr="00203191" w:rsidRDefault="00656AC1" w:rsidP="00364E4D">
      <w:pPr>
        <w:rPr>
          <w:rFonts w:ascii="Calibri" w:hAnsi="Calibri" w:cs="Calibri"/>
        </w:rPr>
      </w:pPr>
      <w:r w:rsidRPr="00203191">
        <w:rPr>
          <w:rFonts w:ascii="Calibri" w:hAnsi="Calibri" w:cs="Calibri"/>
        </w:rPr>
        <w:t>Powierzchnia nawierzchni przygotowana do wykonania oznakowania poziomego musi być czysta i sucha.</w:t>
      </w:r>
    </w:p>
    <w:p w:rsidR="00656AC1" w:rsidRPr="00203191" w:rsidRDefault="00656AC1" w:rsidP="00364E4D">
      <w:pPr>
        <w:pStyle w:val="Nagwek4"/>
        <w:rPr>
          <w:rFonts w:ascii="Calibri" w:hAnsi="Calibri" w:cs="Calibri"/>
        </w:rPr>
      </w:pPr>
      <w:bookmarkStart w:id="1098" w:name="_Toc235079969"/>
      <w:r w:rsidRPr="00203191">
        <w:rPr>
          <w:rFonts w:ascii="Calibri" w:hAnsi="Calibri" w:cs="Calibri"/>
        </w:rPr>
        <w:lastRenderedPageBreak/>
        <w:t>5.4. Przedznakowanie</w:t>
      </w:r>
      <w:bookmarkEnd w:id="1098"/>
    </w:p>
    <w:p w:rsidR="00656AC1" w:rsidRPr="00203191" w:rsidRDefault="00656AC1" w:rsidP="00364E4D">
      <w:pPr>
        <w:rPr>
          <w:rFonts w:ascii="Calibri" w:hAnsi="Calibri" w:cs="Calibri"/>
        </w:rPr>
      </w:pPr>
      <w:r w:rsidRPr="00203191">
        <w:rPr>
          <w:rFonts w:ascii="Calibri" w:hAnsi="Calibri" w:cs="Calibri"/>
        </w:rPr>
        <w:t>W celu dokładnego wykonania poziomego oznakowania drogi, można wykonać przedznakowanie, stosując się do ustaleń zawartych w dokumentacji projektowej, „Instrukcji o znakach drogowych poziomych” i wskazaniach Inżyniera.</w:t>
      </w:r>
    </w:p>
    <w:p w:rsidR="00656AC1" w:rsidRPr="00203191" w:rsidRDefault="00656AC1" w:rsidP="00364E4D">
      <w:pPr>
        <w:rPr>
          <w:rFonts w:ascii="Calibri" w:hAnsi="Calibri" w:cs="Calibri"/>
        </w:rPr>
      </w:pPr>
      <w:r w:rsidRPr="00203191">
        <w:rPr>
          <w:rFonts w:ascii="Calibri" w:hAnsi="Calibri" w:cs="Calibri"/>
        </w:rPr>
        <w:t>Do wykonania przedznakowania można stosować nietrwałą farbę, np. farbę silnie rozcieńczoną rozpuszczalnikiem. Zaleca się wykonywanie przedznakowania w postaci cienkich linii lub kropek. Początek i koniec znakowania należy zaznaczyć małą kreską poprzeczną.</w:t>
      </w:r>
    </w:p>
    <w:p w:rsidR="00656AC1" w:rsidRPr="00203191" w:rsidRDefault="00656AC1" w:rsidP="00364E4D">
      <w:pPr>
        <w:pStyle w:val="Nagwek4"/>
        <w:rPr>
          <w:rFonts w:ascii="Calibri" w:hAnsi="Calibri" w:cs="Calibri"/>
        </w:rPr>
      </w:pPr>
      <w:bookmarkStart w:id="1099" w:name="_Toc235079970"/>
      <w:r w:rsidRPr="00203191">
        <w:rPr>
          <w:rFonts w:ascii="Calibri" w:hAnsi="Calibri" w:cs="Calibri"/>
        </w:rPr>
        <w:t>5.5. Wykonanie znakowania drogi</w:t>
      </w:r>
      <w:bookmarkEnd w:id="1099"/>
    </w:p>
    <w:p w:rsidR="00656AC1" w:rsidRPr="00203191" w:rsidRDefault="00656AC1" w:rsidP="00364E4D">
      <w:pPr>
        <w:spacing w:before="120"/>
        <w:rPr>
          <w:rFonts w:ascii="Calibri" w:hAnsi="Calibri" w:cs="Calibri"/>
          <w:b/>
          <w:bCs/>
          <w:i/>
          <w:iCs/>
        </w:rPr>
      </w:pPr>
      <w:bookmarkStart w:id="1100" w:name="_Toc235079971"/>
      <w:r w:rsidRPr="00203191">
        <w:rPr>
          <w:rFonts w:ascii="Calibri" w:hAnsi="Calibri" w:cs="Calibri"/>
          <w:b/>
          <w:bCs/>
          <w:i/>
          <w:iCs/>
        </w:rPr>
        <w:t>5.5.1.  Dostarczenie materiałów i spełnienie zaleceń producenta materiałów</w:t>
      </w:r>
      <w:bookmarkEnd w:id="1100"/>
    </w:p>
    <w:p w:rsidR="00656AC1" w:rsidRPr="00203191" w:rsidRDefault="00A95FEE" w:rsidP="00364E4D">
      <w:pPr>
        <w:rPr>
          <w:rFonts w:ascii="Calibri" w:hAnsi="Calibri" w:cs="Calibri"/>
        </w:rPr>
      </w:pPr>
      <w:r>
        <w:rPr>
          <w:rFonts w:ascii="Calibri" w:hAnsi="Calibri" w:cs="Calibri"/>
        </w:rPr>
        <w:t>Wyroby budowlane</w:t>
      </w:r>
      <w:r w:rsidR="00656AC1" w:rsidRPr="00203191">
        <w:rPr>
          <w:rFonts w:ascii="Calibri" w:hAnsi="Calibri" w:cs="Calibri"/>
        </w:rPr>
        <w:t xml:space="preserve"> do znakowania drogi, spełniające wymagania podane w punkcie 2, powinny być dostarczone w oryginalnych opakowaniach handlowych i stosowane zgodnie z zaleceniami producenta oraz wymaganiami znajdującymi się w aprobacie technicznej.</w:t>
      </w:r>
    </w:p>
    <w:p w:rsidR="00656AC1" w:rsidRPr="00203191" w:rsidRDefault="00656AC1" w:rsidP="00364E4D">
      <w:pPr>
        <w:spacing w:before="120"/>
        <w:rPr>
          <w:rFonts w:ascii="Calibri" w:hAnsi="Calibri" w:cs="Calibri"/>
          <w:b/>
          <w:bCs/>
          <w:i/>
          <w:iCs/>
        </w:rPr>
      </w:pPr>
      <w:r w:rsidRPr="00203191">
        <w:rPr>
          <w:rFonts w:ascii="Calibri" w:hAnsi="Calibri" w:cs="Calibri"/>
          <w:b/>
          <w:bCs/>
          <w:i/>
          <w:iCs/>
        </w:rPr>
        <w:t>5.5.2. Wykonanie znakowania drogi materiałami cienkowarstwowymi</w:t>
      </w:r>
    </w:p>
    <w:p w:rsidR="00656AC1" w:rsidRPr="00203191" w:rsidRDefault="00656AC1" w:rsidP="00364E4D">
      <w:pPr>
        <w:spacing w:before="120"/>
        <w:rPr>
          <w:rFonts w:ascii="Calibri" w:hAnsi="Calibri" w:cs="Calibri"/>
        </w:rPr>
      </w:pPr>
      <w:r w:rsidRPr="00203191">
        <w:rPr>
          <w:rFonts w:ascii="Calibri" w:hAnsi="Calibri" w:cs="Calibri"/>
        </w:rPr>
        <w:t>Wykonanie znakowania powinno być zgodne z zaleceniami producenta materiałów, a w przypadku ich braku lub niepełnych danych - zgodne z poniższymi wskazaniami.</w:t>
      </w:r>
    </w:p>
    <w:p w:rsidR="00656AC1" w:rsidRPr="00203191" w:rsidRDefault="00656AC1" w:rsidP="00364E4D">
      <w:pPr>
        <w:rPr>
          <w:rFonts w:ascii="Calibri" w:hAnsi="Calibri" w:cs="Calibri"/>
        </w:rPr>
      </w:pPr>
      <w:r w:rsidRPr="00203191">
        <w:rPr>
          <w:rFonts w:ascii="Calibri" w:hAnsi="Calibri" w:cs="Calibri"/>
        </w:rPr>
        <w:t>Farbę do znakowania cienkowarstwowego po otwarciu opakowania należy wymieszać w czasie od 2 do 4 min do uzyskania pełnej jednorodności. Przed lub w czasie napełniania zbiornika malowarki zaleca się przecedzić farbę przez sito 0,6 mm. Nie wolno stosować do malowania mechanicznego farby, w której osad na dnie opakowania nie daje się całkowicie wymieszać lub na jej powierzchni znajduje się kożuch.</w:t>
      </w:r>
    </w:p>
    <w:p w:rsidR="00656AC1" w:rsidRPr="00203191" w:rsidRDefault="00656AC1" w:rsidP="00364E4D">
      <w:pPr>
        <w:rPr>
          <w:rFonts w:ascii="Calibri" w:hAnsi="Calibri" w:cs="Calibri"/>
        </w:rPr>
      </w:pPr>
      <w:r w:rsidRPr="00203191">
        <w:rPr>
          <w:rFonts w:ascii="Calibri" w:hAnsi="Calibri" w:cs="Calibri"/>
        </w:rPr>
        <w:t>Farbę należy nakładać równomierną warstwą zachowując wymiary i ostrość krawędzi. Grubość nanoszonej warstwy zaleca się kontrolować przy pomocy grzebienia pomiarowego na płytce szklanej lub metalowej podkładanej na drodze malowarki. Ilość farby zużyta w czasie prac, określona przez średnie zużycie na metr kwadratowy nie może się różnić od ilości ustalonej, więcej niż o 20%.</w:t>
      </w:r>
    </w:p>
    <w:p w:rsidR="00656AC1" w:rsidRPr="00203191" w:rsidRDefault="00656AC1" w:rsidP="00364E4D">
      <w:pPr>
        <w:rPr>
          <w:rFonts w:ascii="Calibri" w:hAnsi="Calibri" w:cs="Calibri"/>
        </w:rPr>
      </w:pPr>
      <w:r w:rsidRPr="00203191">
        <w:rPr>
          <w:rFonts w:ascii="Calibri" w:hAnsi="Calibri" w:cs="Calibri"/>
        </w:rPr>
        <w:t>Wszystkie większe prace powinny być wykonane przy użyciu samojezdnych malowarek z automatycznym podziałem linii i posypywaniem kulkami szklanymi z ew. materiałem uszorstniającym. W przypadku mniejszych prac, wielkość, wydajność i jakość sprzętu należy dostosować do zakresu i rozmiaru prac. Decyzję dotyczącą rodzaju sprzętu i sposobu wykonania znakowania podejmuje Inżynier na wniosek Wykonawcy.</w:t>
      </w:r>
    </w:p>
    <w:p w:rsidR="00656AC1" w:rsidRPr="00203191" w:rsidRDefault="00656AC1" w:rsidP="00364E4D">
      <w:pPr>
        <w:pStyle w:val="Nagwek3"/>
        <w:tabs>
          <w:tab w:val="num" w:pos="0"/>
        </w:tabs>
        <w:rPr>
          <w:rFonts w:ascii="Calibri" w:hAnsi="Calibri" w:cs="Calibri"/>
        </w:rPr>
      </w:pPr>
      <w:bookmarkStart w:id="1101" w:name="_Toc420816685"/>
      <w:bookmarkStart w:id="1102" w:name="_Toc235079973"/>
      <w:r w:rsidRPr="00203191">
        <w:rPr>
          <w:rFonts w:ascii="Calibri" w:hAnsi="Calibri" w:cs="Calibri"/>
        </w:rPr>
        <w:t>6. kontrola jakości robót</w:t>
      </w:r>
      <w:bookmarkEnd w:id="1101"/>
      <w:bookmarkEnd w:id="1102"/>
    </w:p>
    <w:p w:rsidR="00656AC1" w:rsidRPr="00203191" w:rsidRDefault="00656AC1" w:rsidP="00364E4D">
      <w:pPr>
        <w:pStyle w:val="Nagwek4"/>
        <w:rPr>
          <w:rFonts w:ascii="Calibri" w:hAnsi="Calibri" w:cs="Calibri"/>
        </w:rPr>
      </w:pPr>
      <w:bookmarkStart w:id="1103" w:name="_Toc235079974"/>
      <w:r w:rsidRPr="00203191">
        <w:rPr>
          <w:rFonts w:ascii="Calibri" w:hAnsi="Calibri" w:cs="Calibri"/>
        </w:rPr>
        <w:t>6.1. Ogólne zasady kontroli jakości robót</w:t>
      </w:r>
      <w:bookmarkEnd w:id="1103"/>
    </w:p>
    <w:p w:rsidR="00656AC1" w:rsidRPr="00203191" w:rsidRDefault="00656AC1" w:rsidP="00364E4D">
      <w:pPr>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rPr>
          <w:rFonts w:ascii="Calibri" w:hAnsi="Calibri" w:cs="Calibri"/>
        </w:rPr>
      </w:pPr>
      <w:bookmarkStart w:id="1104" w:name="_Toc235079975"/>
      <w:r w:rsidRPr="00203191">
        <w:rPr>
          <w:rFonts w:ascii="Calibri" w:hAnsi="Calibri" w:cs="Calibri"/>
        </w:rPr>
        <w:t>6.2. Badanie przygotowania podłoża i przedznakowania</w:t>
      </w:r>
      <w:bookmarkEnd w:id="1104"/>
    </w:p>
    <w:p w:rsidR="00656AC1" w:rsidRPr="00203191" w:rsidRDefault="00656AC1" w:rsidP="00364E4D">
      <w:pPr>
        <w:rPr>
          <w:rFonts w:ascii="Calibri" w:hAnsi="Calibri" w:cs="Calibri"/>
        </w:rPr>
      </w:pPr>
      <w:r w:rsidRPr="00203191">
        <w:rPr>
          <w:rFonts w:ascii="Calibri" w:hAnsi="Calibri" w:cs="Calibri"/>
        </w:rPr>
        <w:t>Powierzchnia jezdni przed wykonaniem znakowania poziomego musi być całkowicie czysta i sucha.</w:t>
      </w:r>
    </w:p>
    <w:p w:rsidR="00656AC1" w:rsidRPr="00203191" w:rsidRDefault="00656AC1" w:rsidP="00364E4D">
      <w:pPr>
        <w:rPr>
          <w:rFonts w:ascii="Calibri" w:hAnsi="Calibri" w:cs="Calibri"/>
        </w:rPr>
      </w:pPr>
      <w:r w:rsidRPr="00203191">
        <w:rPr>
          <w:rFonts w:ascii="Calibri" w:hAnsi="Calibri" w:cs="Calibri"/>
        </w:rPr>
        <w:t>Przedznakowanie powinno być wykonane zgodnie z wymaganiami punktu 5</w:t>
      </w:r>
    </w:p>
    <w:p w:rsidR="00656AC1" w:rsidRPr="00203191" w:rsidRDefault="00656AC1" w:rsidP="00364E4D">
      <w:pPr>
        <w:pStyle w:val="Nagwek4"/>
        <w:rPr>
          <w:rFonts w:ascii="Calibri" w:hAnsi="Calibri" w:cs="Calibri"/>
        </w:rPr>
      </w:pPr>
      <w:bookmarkStart w:id="1105" w:name="_Toc235079976"/>
      <w:r w:rsidRPr="00203191">
        <w:rPr>
          <w:rFonts w:ascii="Calibri" w:hAnsi="Calibri" w:cs="Calibri"/>
        </w:rPr>
        <w:t>6.3. Badania wykonania oznakowania poziomego</w:t>
      </w:r>
      <w:bookmarkEnd w:id="1105"/>
    </w:p>
    <w:p w:rsidR="00656AC1" w:rsidRPr="00203191" w:rsidRDefault="00656AC1" w:rsidP="00364E4D">
      <w:pPr>
        <w:rPr>
          <w:rFonts w:ascii="Calibri" w:hAnsi="Calibri" w:cs="Calibri"/>
          <w:b/>
          <w:bCs/>
          <w:i/>
          <w:iCs/>
        </w:rPr>
      </w:pPr>
      <w:r w:rsidRPr="00203191">
        <w:rPr>
          <w:rFonts w:ascii="Calibri" w:hAnsi="Calibri" w:cs="Calibri"/>
          <w:b/>
          <w:bCs/>
          <w:i/>
          <w:iCs/>
        </w:rPr>
        <w:t>6.3.1. Wymagania wobec oznakowania poziomego</w:t>
      </w:r>
    </w:p>
    <w:p w:rsidR="00656AC1" w:rsidRPr="00203191" w:rsidRDefault="00656AC1" w:rsidP="00364E4D">
      <w:pPr>
        <w:spacing w:before="120"/>
        <w:rPr>
          <w:rFonts w:ascii="Calibri" w:hAnsi="Calibri" w:cs="Calibri"/>
          <w:i/>
          <w:iCs/>
        </w:rPr>
      </w:pPr>
      <w:r w:rsidRPr="00203191">
        <w:rPr>
          <w:rFonts w:ascii="Calibri" w:hAnsi="Calibri" w:cs="Calibri"/>
          <w:i/>
          <w:iCs/>
        </w:rPr>
        <w:t>6.3.1.1. Widzialność w dzień</w:t>
      </w:r>
    </w:p>
    <w:p w:rsidR="00656AC1" w:rsidRPr="00203191" w:rsidRDefault="00656AC1" w:rsidP="00364E4D">
      <w:pPr>
        <w:spacing w:before="120"/>
        <w:rPr>
          <w:rFonts w:ascii="Calibri" w:hAnsi="Calibri" w:cs="Calibri"/>
        </w:rPr>
      </w:pPr>
      <w:r w:rsidRPr="00203191">
        <w:rPr>
          <w:rFonts w:ascii="Calibri" w:hAnsi="Calibri" w:cs="Calibri"/>
        </w:rPr>
        <w:t>Widzialność oznakowania w dzień jest określona współczynnikiem luminancji i barwą oznakowania.</w:t>
      </w:r>
    </w:p>
    <w:p w:rsidR="00656AC1" w:rsidRPr="00203191" w:rsidRDefault="00656AC1" w:rsidP="00364E4D">
      <w:pPr>
        <w:rPr>
          <w:rFonts w:ascii="Calibri" w:hAnsi="Calibri" w:cs="Calibri"/>
        </w:rPr>
      </w:pPr>
      <w:r w:rsidRPr="00203191">
        <w:rPr>
          <w:rFonts w:ascii="Calibri" w:hAnsi="Calibri" w:cs="Calibri"/>
        </w:rPr>
        <w:t>Do określenia odbicia światła dziennego lub odbicia oświetlenia drogi od oznakowania stosuje się współczynnik luminancji w świetle rozproszonym Q = L/E, gdzie:</w:t>
      </w:r>
    </w:p>
    <w:p w:rsidR="00656AC1" w:rsidRPr="00203191" w:rsidRDefault="00656AC1" w:rsidP="00364E4D">
      <w:pPr>
        <w:rPr>
          <w:rFonts w:ascii="Calibri" w:hAnsi="Calibri" w:cs="Calibri"/>
        </w:rPr>
      </w:pPr>
      <w:r w:rsidRPr="00203191">
        <w:rPr>
          <w:rFonts w:ascii="Calibri" w:hAnsi="Calibri" w:cs="Calibri"/>
        </w:rPr>
        <w:t>Q - współczynnik luminancji w świetle rozproszonym,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L - luminancja pola w świetle rozproszonym, mcd/m</w:t>
      </w:r>
      <w:r w:rsidRPr="00203191">
        <w:rPr>
          <w:rFonts w:ascii="Calibri" w:hAnsi="Calibri" w:cs="Calibri"/>
          <w:vertAlign w:val="superscript"/>
        </w:rPr>
        <w:t>2</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E - oświetlenie płaszczyzny pola, lx.</w:t>
      </w:r>
    </w:p>
    <w:p w:rsidR="00656AC1" w:rsidRPr="00203191" w:rsidRDefault="00656AC1" w:rsidP="00364E4D">
      <w:pPr>
        <w:rPr>
          <w:rFonts w:ascii="Calibri" w:hAnsi="Calibri" w:cs="Calibri"/>
        </w:rPr>
      </w:pPr>
      <w:r w:rsidRPr="00203191">
        <w:rPr>
          <w:rFonts w:ascii="Calibri" w:hAnsi="Calibri" w:cs="Calibri"/>
        </w:rPr>
        <w:t>Pomiary luminancji w świetle rozproszonym wykonuje się w praktyce miernikiem luminancji wg POD-97. Wartość współczynnika Q powinna wynosić dla oznakowania świeżego, barwy:</w:t>
      </w:r>
    </w:p>
    <w:p w:rsidR="00656AC1" w:rsidRPr="00203191" w:rsidRDefault="00656AC1" w:rsidP="00954A11">
      <w:pPr>
        <w:numPr>
          <w:ilvl w:val="0"/>
          <w:numId w:val="1"/>
        </w:numPr>
        <w:rPr>
          <w:rFonts w:ascii="Calibri" w:hAnsi="Calibri" w:cs="Calibri"/>
        </w:rPr>
      </w:pPr>
      <w:r w:rsidRPr="00203191">
        <w:rPr>
          <w:rFonts w:ascii="Calibri" w:hAnsi="Calibri" w:cs="Calibri"/>
        </w:rPr>
        <w:t>białej, co najmniej 130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954A11">
      <w:pPr>
        <w:numPr>
          <w:ilvl w:val="0"/>
          <w:numId w:val="1"/>
        </w:numPr>
        <w:rPr>
          <w:rFonts w:ascii="Calibri" w:hAnsi="Calibri" w:cs="Calibri"/>
        </w:rPr>
      </w:pPr>
      <w:r w:rsidRPr="00203191">
        <w:rPr>
          <w:rFonts w:ascii="Calibri" w:hAnsi="Calibri" w:cs="Calibri"/>
        </w:rPr>
        <w:lastRenderedPageBreak/>
        <w:t>żółtej, co najmniej 100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 xml:space="preserve">Pomiar współczynnika luminancji w świetle rozproszonym może być zastąpiony pomiarem współczynnika luminancji </w:t>
      </w:r>
      <w:r w:rsidRPr="00203191">
        <w:rPr>
          <w:rFonts w:ascii="Calibri" w:hAnsi="Calibri" w:cs="Calibri"/>
        </w:rPr>
        <w:sym w:font="Symbol" w:char="F062"/>
      </w:r>
      <w:r w:rsidRPr="00203191">
        <w:rPr>
          <w:rFonts w:ascii="Calibri" w:hAnsi="Calibri" w:cs="Calibri"/>
        </w:rPr>
        <w:t xml:space="preserve">, wg POD-97. Wartość współczynnika </w:t>
      </w:r>
      <w:r w:rsidRPr="00203191">
        <w:rPr>
          <w:rFonts w:ascii="Calibri" w:hAnsi="Calibri" w:cs="Calibri"/>
        </w:rPr>
        <w:sym w:font="Symbol" w:char="F062"/>
      </w:r>
      <w:r w:rsidRPr="00203191">
        <w:rPr>
          <w:rFonts w:ascii="Calibri" w:hAnsi="Calibri" w:cs="Calibri"/>
        </w:rPr>
        <w:t xml:space="preserve"> powinna wynosić dla oznakowania świeżego, barwy:</w:t>
      </w:r>
    </w:p>
    <w:p w:rsidR="00656AC1" w:rsidRPr="00203191" w:rsidRDefault="00656AC1" w:rsidP="00954A11">
      <w:pPr>
        <w:numPr>
          <w:ilvl w:val="0"/>
          <w:numId w:val="1"/>
        </w:numPr>
        <w:rPr>
          <w:rFonts w:ascii="Calibri" w:hAnsi="Calibri" w:cs="Calibri"/>
        </w:rPr>
      </w:pPr>
      <w:r w:rsidRPr="00203191">
        <w:rPr>
          <w:rFonts w:ascii="Calibri" w:hAnsi="Calibri" w:cs="Calibri"/>
        </w:rPr>
        <w:t>białej, co najmniej 0,60,</w:t>
      </w:r>
    </w:p>
    <w:p w:rsidR="00656AC1" w:rsidRPr="00203191" w:rsidRDefault="00656AC1" w:rsidP="00954A11">
      <w:pPr>
        <w:numPr>
          <w:ilvl w:val="0"/>
          <w:numId w:val="1"/>
        </w:numPr>
        <w:rPr>
          <w:rFonts w:ascii="Calibri" w:hAnsi="Calibri" w:cs="Calibri"/>
        </w:rPr>
      </w:pPr>
      <w:r w:rsidRPr="00203191">
        <w:rPr>
          <w:rFonts w:ascii="Calibri" w:hAnsi="Calibri" w:cs="Calibri"/>
        </w:rPr>
        <w:t>żółtej, co najmniej 0,40.</w:t>
      </w:r>
    </w:p>
    <w:p w:rsidR="00656AC1" w:rsidRPr="00203191" w:rsidRDefault="00656AC1" w:rsidP="00364E4D">
      <w:pPr>
        <w:rPr>
          <w:rFonts w:ascii="Calibri" w:hAnsi="Calibri" w:cs="Calibri"/>
        </w:rPr>
      </w:pPr>
      <w:r w:rsidRPr="00203191">
        <w:rPr>
          <w:rFonts w:ascii="Calibri" w:hAnsi="Calibri" w:cs="Calibri"/>
        </w:rPr>
        <w:t xml:space="preserve">Wartość współczynnika </w:t>
      </w:r>
      <w:r w:rsidRPr="00203191">
        <w:rPr>
          <w:rFonts w:ascii="Calibri" w:hAnsi="Calibri" w:cs="Calibri"/>
        </w:rPr>
        <w:sym w:font="Symbol" w:char="F062"/>
      </w:r>
      <w:r w:rsidRPr="00203191">
        <w:rPr>
          <w:rFonts w:ascii="Calibri" w:hAnsi="Calibri" w:cs="Calibri"/>
        </w:rPr>
        <w:t xml:space="preserve"> powinna wynosić dla oznakowania używanego barwy:</w:t>
      </w:r>
    </w:p>
    <w:p w:rsidR="00656AC1" w:rsidRPr="00203191" w:rsidRDefault="00656AC1" w:rsidP="00954A11">
      <w:pPr>
        <w:numPr>
          <w:ilvl w:val="0"/>
          <w:numId w:val="1"/>
        </w:numPr>
        <w:rPr>
          <w:rFonts w:ascii="Calibri" w:hAnsi="Calibri" w:cs="Calibri"/>
        </w:rPr>
      </w:pPr>
      <w:r w:rsidRPr="00203191">
        <w:rPr>
          <w:rFonts w:ascii="Calibri" w:hAnsi="Calibri" w:cs="Calibri"/>
        </w:rPr>
        <w:t>białej, po 12 miesiącach używalności, co najmniej 0,30,</w:t>
      </w:r>
    </w:p>
    <w:p w:rsidR="00656AC1" w:rsidRPr="00203191" w:rsidRDefault="00656AC1" w:rsidP="00954A11">
      <w:pPr>
        <w:numPr>
          <w:ilvl w:val="0"/>
          <w:numId w:val="1"/>
        </w:numPr>
        <w:rPr>
          <w:rFonts w:ascii="Calibri" w:hAnsi="Calibri" w:cs="Calibri"/>
        </w:rPr>
      </w:pPr>
      <w:r w:rsidRPr="00203191">
        <w:rPr>
          <w:rFonts w:ascii="Calibri" w:hAnsi="Calibri" w:cs="Calibri"/>
        </w:rPr>
        <w:t>żółtej, po 1 miesiącu używalności, co najmniej 0,20.</w:t>
      </w:r>
    </w:p>
    <w:p w:rsidR="00656AC1" w:rsidRPr="00203191" w:rsidRDefault="00656AC1" w:rsidP="00364E4D">
      <w:pPr>
        <w:rPr>
          <w:rFonts w:ascii="Calibri" w:hAnsi="Calibri" w:cs="Calibri"/>
        </w:rPr>
      </w:pPr>
      <w:r w:rsidRPr="00203191">
        <w:rPr>
          <w:rFonts w:ascii="Calibri" w:hAnsi="Calibri" w:cs="Calibri"/>
        </w:rPr>
        <w:t>Barwa oznakowania powinna być określona wg POD-97 przez współrzędne chromatyczności x i y, które dla suchego oznakowania powinny leżeć w obszarze zdefiniowanym przez cztery punkty narożne:</w:t>
      </w:r>
    </w:p>
    <w:tbl>
      <w:tblPr>
        <w:tblW w:w="0" w:type="auto"/>
        <w:tblInd w:w="2" w:type="dxa"/>
        <w:tblLayout w:type="fixed"/>
        <w:tblCellMar>
          <w:left w:w="70" w:type="dxa"/>
          <w:right w:w="70" w:type="dxa"/>
        </w:tblCellMar>
        <w:tblLook w:val="0000"/>
      </w:tblPr>
      <w:tblGrid>
        <w:gridCol w:w="2197"/>
        <w:gridCol w:w="1062"/>
        <w:gridCol w:w="1062"/>
        <w:gridCol w:w="1062"/>
        <w:gridCol w:w="1062"/>
        <w:gridCol w:w="1062"/>
      </w:tblGrid>
      <w:tr w:rsidR="00656AC1" w:rsidRPr="00203191">
        <w:tc>
          <w:tcPr>
            <w:tcW w:w="2197" w:type="dxa"/>
          </w:tcPr>
          <w:p w:rsidR="00656AC1" w:rsidRPr="00203191" w:rsidRDefault="00656AC1" w:rsidP="00364E4D">
            <w:pPr>
              <w:spacing w:after="60"/>
              <w:rPr>
                <w:rFonts w:ascii="Calibri" w:hAnsi="Calibri" w:cs="Calibri"/>
              </w:rPr>
            </w:pPr>
            <w:r w:rsidRPr="00203191">
              <w:rPr>
                <w:rFonts w:ascii="Calibri" w:hAnsi="Calibri" w:cs="Calibri"/>
              </w:rPr>
              <w:t>Punkt narożny</w:t>
            </w:r>
          </w:p>
        </w:tc>
        <w:tc>
          <w:tcPr>
            <w:tcW w:w="1062" w:type="dxa"/>
          </w:tcPr>
          <w:p w:rsidR="00656AC1" w:rsidRPr="00203191" w:rsidRDefault="00656AC1" w:rsidP="00364E4D">
            <w:pPr>
              <w:spacing w:after="60"/>
              <w:rPr>
                <w:rFonts w:ascii="Calibri" w:hAnsi="Calibri" w:cs="Calibri"/>
              </w:rPr>
            </w:pPr>
          </w:p>
        </w:tc>
        <w:tc>
          <w:tcPr>
            <w:tcW w:w="1062" w:type="dxa"/>
          </w:tcPr>
          <w:p w:rsidR="00656AC1" w:rsidRPr="00203191" w:rsidRDefault="00656AC1" w:rsidP="00364E4D">
            <w:pPr>
              <w:spacing w:after="60"/>
              <w:rPr>
                <w:rFonts w:ascii="Calibri" w:hAnsi="Calibri" w:cs="Calibri"/>
              </w:rPr>
            </w:pPr>
            <w:r w:rsidRPr="00203191">
              <w:rPr>
                <w:rFonts w:ascii="Calibri" w:hAnsi="Calibri" w:cs="Calibri"/>
              </w:rPr>
              <w:t>1</w:t>
            </w:r>
          </w:p>
        </w:tc>
        <w:tc>
          <w:tcPr>
            <w:tcW w:w="1062" w:type="dxa"/>
          </w:tcPr>
          <w:p w:rsidR="00656AC1" w:rsidRPr="00203191" w:rsidRDefault="00656AC1" w:rsidP="00364E4D">
            <w:pPr>
              <w:spacing w:after="60"/>
              <w:rPr>
                <w:rFonts w:ascii="Calibri" w:hAnsi="Calibri" w:cs="Calibri"/>
              </w:rPr>
            </w:pPr>
            <w:r w:rsidRPr="00203191">
              <w:rPr>
                <w:rFonts w:ascii="Calibri" w:hAnsi="Calibri" w:cs="Calibri"/>
              </w:rPr>
              <w:t>2</w:t>
            </w:r>
          </w:p>
        </w:tc>
        <w:tc>
          <w:tcPr>
            <w:tcW w:w="1062" w:type="dxa"/>
          </w:tcPr>
          <w:p w:rsidR="00656AC1" w:rsidRPr="00203191" w:rsidRDefault="00656AC1" w:rsidP="00364E4D">
            <w:pPr>
              <w:spacing w:after="60"/>
              <w:rPr>
                <w:rFonts w:ascii="Calibri" w:hAnsi="Calibri" w:cs="Calibri"/>
              </w:rPr>
            </w:pPr>
            <w:r w:rsidRPr="00203191">
              <w:rPr>
                <w:rFonts w:ascii="Calibri" w:hAnsi="Calibri" w:cs="Calibri"/>
              </w:rPr>
              <w:t>3</w:t>
            </w:r>
          </w:p>
        </w:tc>
        <w:tc>
          <w:tcPr>
            <w:tcW w:w="1062" w:type="dxa"/>
          </w:tcPr>
          <w:p w:rsidR="00656AC1" w:rsidRPr="00203191" w:rsidRDefault="00656AC1" w:rsidP="00364E4D">
            <w:pPr>
              <w:spacing w:after="60"/>
              <w:rPr>
                <w:rFonts w:ascii="Calibri" w:hAnsi="Calibri" w:cs="Calibri"/>
              </w:rPr>
            </w:pPr>
            <w:r w:rsidRPr="00203191">
              <w:rPr>
                <w:rFonts w:ascii="Calibri" w:hAnsi="Calibri" w:cs="Calibri"/>
              </w:rPr>
              <w:t>4</w:t>
            </w:r>
          </w:p>
        </w:tc>
      </w:tr>
      <w:tr w:rsidR="00656AC1" w:rsidRPr="00203191">
        <w:tc>
          <w:tcPr>
            <w:tcW w:w="2197" w:type="dxa"/>
          </w:tcPr>
          <w:p w:rsidR="00656AC1" w:rsidRPr="00203191" w:rsidRDefault="00656AC1" w:rsidP="00364E4D">
            <w:pPr>
              <w:rPr>
                <w:rFonts w:ascii="Calibri" w:hAnsi="Calibri" w:cs="Calibri"/>
              </w:rPr>
            </w:pPr>
            <w:r w:rsidRPr="00203191">
              <w:rPr>
                <w:rFonts w:ascii="Calibri" w:hAnsi="Calibri" w:cs="Calibri"/>
              </w:rPr>
              <w:t>Oznakowanie białe:</w:t>
            </w:r>
          </w:p>
        </w:tc>
        <w:tc>
          <w:tcPr>
            <w:tcW w:w="1062" w:type="dxa"/>
          </w:tcPr>
          <w:p w:rsidR="00656AC1" w:rsidRPr="00203191" w:rsidRDefault="00656AC1" w:rsidP="00364E4D">
            <w:pPr>
              <w:rPr>
                <w:rFonts w:ascii="Calibri" w:hAnsi="Calibri" w:cs="Calibri"/>
              </w:rPr>
            </w:pPr>
            <w:r w:rsidRPr="00203191">
              <w:rPr>
                <w:rFonts w:ascii="Calibri" w:hAnsi="Calibri" w:cs="Calibri"/>
              </w:rPr>
              <w:t>x</w:t>
            </w:r>
          </w:p>
          <w:p w:rsidR="00656AC1" w:rsidRPr="00203191" w:rsidRDefault="00656AC1" w:rsidP="00364E4D">
            <w:pPr>
              <w:spacing w:after="60"/>
              <w:rPr>
                <w:rFonts w:ascii="Calibri" w:hAnsi="Calibri" w:cs="Calibri"/>
              </w:rPr>
            </w:pPr>
            <w:r w:rsidRPr="00203191">
              <w:rPr>
                <w:rFonts w:ascii="Calibri" w:hAnsi="Calibri" w:cs="Calibri"/>
              </w:rPr>
              <w:t>y</w:t>
            </w:r>
          </w:p>
        </w:tc>
        <w:tc>
          <w:tcPr>
            <w:tcW w:w="1062" w:type="dxa"/>
          </w:tcPr>
          <w:p w:rsidR="00656AC1" w:rsidRPr="00203191" w:rsidRDefault="00464FC9" w:rsidP="00364E4D">
            <w:pPr>
              <w:rPr>
                <w:rFonts w:ascii="Calibri" w:hAnsi="Calibri" w:cs="Calibri"/>
              </w:rPr>
            </w:pPr>
            <w:r>
              <w:rPr>
                <w:rFonts w:ascii="Calibri" w:hAnsi="Calibri" w:cs="Calibri"/>
              </w:rPr>
              <w:t>0,355</w:t>
            </w:r>
          </w:p>
          <w:p w:rsidR="00656AC1" w:rsidRPr="00203191" w:rsidRDefault="00464FC9" w:rsidP="00364E4D">
            <w:pPr>
              <w:rPr>
                <w:rFonts w:ascii="Calibri" w:hAnsi="Calibri" w:cs="Calibri"/>
              </w:rPr>
            </w:pPr>
            <w:r>
              <w:rPr>
                <w:rFonts w:ascii="Calibri" w:hAnsi="Calibri" w:cs="Calibri"/>
              </w:rPr>
              <w:t>0,355</w:t>
            </w:r>
          </w:p>
        </w:tc>
        <w:tc>
          <w:tcPr>
            <w:tcW w:w="1062" w:type="dxa"/>
          </w:tcPr>
          <w:p w:rsidR="00656AC1" w:rsidRPr="00203191" w:rsidRDefault="00656AC1" w:rsidP="00364E4D">
            <w:pPr>
              <w:rPr>
                <w:rFonts w:ascii="Calibri" w:hAnsi="Calibri" w:cs="Calibri"/>
              </w:rPr>
            </w:pPr>
            <w:r w:rsidRPr="00203191">
              <w:rPr>
                <w:rFonts w:ascii="Calibri" w:hAnsi="Calibri" w:cs="Calibri"/>
              </w:rPr>
              <w:t>0,3</w:t>
            </w:r>
            <w:r w:rsidR="00464FC9">
              <w:rPr>
                <w:rFonts w:ascii="Calibri" w:hAnsi="Calibri" w:cs="Calibri"/>
              </w:rPr>
              <w:t>05</w:t>
            </w:r>
          </w:p>
          <w:p w:rsidR="00656AC1" w:rsidRPr="00203191" w:rsidRDefault="00656AC1" w:rsidP="00364E4D">
            <w:pPr>
              <w:rPr>
                <w:rFonts w:ascii="Calibri" w:hAnsi="Calibri" w:cs="Calibri"/>
              </w:rPr>
            </w:pPr>
            <w:r w:rsidRPr="00203191">
              <w:rPr>
                <w:rFonts w:ascii="Calibri" w:hAnsi="Calibri" w:cs="Calibri"/>
              </w:rPr>
              <w:t>0,3</w:t>
            </w:r>
            <w:r w:rsidR="00464FC9">
              <w:rPr>
                <w:rFonts w:ascii="Calibri" w:hAnsi="Calibri" w:cs="Calibri"/>
              </w:rPr>
              <w:t>05</w:t>
            </w:r>
          </w:p>
        </w:tc>
        <w:tc>
          <w:tcPr>
            <w:tcW w:w="1062" w:type="dxa"/>
          </w:tcPr>
          <w:p w:rsidR="00656AC1" w:rsidRPr="00203191" w:rsidRDefault="00656AC1" w:rsidP="00364E4D">
            <w:pPr>
              <w:rPr>
                <w:rFonts w:ascii="Calibri" w:hAnsi="Calibri" w:cs="Calibri"/>
              </w:rPr>
            </w:pPr>
            <w:r w:rsidRPr="00203191">
              <w:rPr>
                <w:rFonts w:ascii="Calibri" w:hAnsi="Calibri" w:cs="Calibri"/>
              </w:rPr>
              <w:t>0,</w:t>
            </w:r>
            <w:r w:rsidR="00464FC9">
              <w:rPr>
                <w:rFonts w:ascii="Calibri" w:hAnsi="Calibri" w:cs="Calibri"/>
              </w:rPr>
              <w:t>285</w:t>
            </w:r>
          </w:p>
          <w:p w:rsidR="00656AC1" w:rsidRPr="00203191" w:rsidRDefault="00656AC1" w:rsidP="00364E4D">
            <w:pPr>
              <w:rPr>
                <w:rFonts w:ascii="Calibri" w:hAnsi="Calibri" w:cs="Calibri"/>
              </w:rPr>
            </w:pPr>
            <w:r w:rsidRPr="00203191">
              <w:rPr>
                <w:rFonts w:ascii="Calibri" w:hAnsi="Calibri" w:cs="Calibri"/>
              </w:rPr>
              <w:t>0,3</w:t>
            </w:r>
            <w:r w:rsidR="00464FC9">
              <w:rPr>
                <w:rFonts w:ascii="Calibri" w:hAnsi="Calibri" w:cs="Calibri"/>
              </w:rPr>
              <w:t>25</w:t>
            </w:r>
          </w:p>
        </w:tc>
        <w:tc>
          <w:tcPr>
            <w:tcW w:w="1062" w:type="dxa"/>
          </w:tcPr>
          <w:p w:rsidR="00656AC1" w:rsidRPr="00203191" w:rsidRDefault="00656AC1" w:rsidP="00364E4D">
            <w:pPr>
              <w:rPr>
                <w:rFonts w:ascii="Calibri" w:hAnsi="Calibri" w:cs="Calibri"/>
              </w:rPr>
            </w:pPr>
            <w:r w:rsidRPr="00203191">
              <w:rPr>
                <w:rFonts w:ascii="Calibri" w:hAnsi="Calibri" w:cs="Calibri"/>
              </w:rPr>
              <w:t>0,3</w:t>
            </w:r>
            <w:r w:rsidR="00464FC9">
              <w:rPr>
                <w:rFonts w:ascii="Calibri" w:hAnsi="Calibri" w:cs="Calibri"/>
              </w:rPr>
              <w:t>35</w:t>
            </w:r>
          </w:p>
          <w:p w:rsidR="00656AC1" w:rsidRPr="00203191" w:rsidRDefault="00464FC9" w:rsidP="00364E4D">
            <w:pPr>
              <w:rPr>
                <w:rFonts w:ascii="Calibri" w:hAnsi="Calibri" w:cs="Calibri"/>
              </w:rPr>
            </w:pPr>
            <w:r>
              <w:rPr>
                <w:rFonts w:ascii="Calibri" w:hAnsi="Calibri" w:cs="Calibri"/>
              </w:rPr>
              <w:t>0,375</w:t>
            </w:r>
          </w:p>
        </w:tc>
      </w:tr>
      <w:tr w:rsidR="00656AC1" w:rsidRPr="00203191">
        <w:tc>
          <w:tcPr>
            <w:tcW w:w="2197" w:type="dxa"/>
          </w:tcPr>
          <w:p w:rsidR="00656AC1" w:rsidRPr="00203191" w:rsidRDefault="00656AC1" w:rsidP="00364E4D">
            <w:pPr>
              <w:rPr>
                <w:rFonts w:ascii="Calibri" w:hAnsi="Calibri" w:cs="Calibri"/>
              </w:rPr>
            </w:pPr>
            <w:r w:rsidRPr="00203191">
              <w:rPr>
                <w:rFonts w:ascii="Calibri" w:hAnsi="Calibri" w:cs="Calibri"/>
              </w:rPr>
              <w:t>Oznakowanie żółte:</w:t>
            </w:r>
          </w:p>
        </w:tc>
        <w:tc>
          <w:tcPr>
            <w:tcW w:w="1062" w:type="dxa"/>
          </w:tcPr>
          <w:p w:rsidR="00656AC1" w:rsidRPr="00203191" w:rsidRDefault="00656AC1" w:rsidP="00364E4D">
            <w:pPr>
              <w:rPr>
                <w:rFonts w:ascii="Calibri" w:hAnsi="Calibri" w:cs="Calibri"/>
              </w:rPr>
            </w:pPr>
            <w:r w:rsidRPr="00203191">
              <w:rPr>
                <w:rFonts w:ascii="Calibri" w:hAnsi="Calibri" w:cs="Calibri"/>
              </w:rPr>
              <w:t>x</w:t>
            </w:r>
          </w:p>
          <w:p w:rsidR="00656AC1" w:rsidRPr="00203191" w:rsidRDefault="00656AC1" w:rsidP="00364E4D">
            <w:pPr>
              <w:rPr>
                <w:rFonts w:ascii="Calibri" w:hAnsi="Calibri" w:cs="Calibri"/>
              </w:rPr>
            </w:pPr>
            <w:r w:rsidRPr="00203191">
              <w:rPr>
                <w:rFonts w:ascii="Calibri" w:hAnsi="Calibri" w:cs="Calibri"/>
              </w:rPr>
              <w:t>y</w:t>
            </w:r>
          </w:p>
        </w:tc>
        <w:tc>
          <w:tcPr>
            <w:tcW w:w="1062" w:type="dxa"/>
          </w:tcPr>
          <w:p w:rsidR="00656AC1" w:rsidRPr="00203191" w:rsidRDefault="00656AC1" w:rsidP="00364E4D">
            <w:pPr>
              <w:rPr>
                <w:rFonts w:ascii="Calibri" w:hAnsi="Calibri" w:cs="Calibri"/>
              </w:rPr>
            </w:pPr>
            <w:r w:rsidRPr="00203191">
              <w:rPr>
                <w:rFonts w:ascii="Calibri" w:hAnsi="Calibri" w:cs="Calibri"/>
              </w:rPr>
              <w:t>0,5</w:t>
            </w:r>
          </w:p>
          <w:p w:rsidR="00656AC1" w:rsidRPr="00203191" w:rsidRDefault="00656AC1" w:rsidP="00364E4D">
            <w:pPr>
              <w:rPr>
                <w:rFonts w:ascii="Calibri" w:hAnsi="Calibri" w:cs="Calibri"/>
              </w:rPr>
            </w:pPr>
            <w:r w:rsidRPr="00203191">
              <w:rPr>
                <w:rFonts w:ascii="Calibri" w:hAnsi="Calibri" w:cs="Calibri"/>
              </w:rPr>
              <w:t>0,4</w:t>
            </w:r>
          </w:p>
        </w:tc>
        <w:tc>
          <w:tcPr>
            <w:tcW w:w="1062" w:type="dxa"/>
          </w:tcPr>
          <w:p w:rsidR="00656AC1" w:rsidRPr="00203191" w:rsidRDefault="00656AC1" w:rsidP="00364E4D">
            <w:pPr>
              <w:rPr>
                <w:rFonts w:ascii="Calibri" w:hAnsi="Calibri" w:cs="Calibri"/>
              </w:rPr>
            </w:pPr>
            <w:r w:rsidRPr="00203191">
              <w:rPr>
                <w:rFonts w:ascii="Calibri" w:hAnsi="Calibri" w:cs="Calibri"/>
              </w:rPr>
              <w:t>0,5</w:t>
            </w:r>
          </w:p>
          <w:p w:rsidR="00656AC1" w:rsidRPr="00203191" w:rsidRDefault="00656AC1" w:rsidP="00364E4D">
            <w:pPr>
              <w:rPr>
                <w:rFonts w:ascii="Calibri" w:hAnsi="Calibri" w:cs="Calibri"/>
              </w:rPr>
            </w:pPr>
            <w:r w:rsidRPr="00203191">
              <w:rPr>
                <w:rFonts w:ascii="Calibri" w:hAnsi="Calibri" w:cs="Calibri"/>
              </w:rPr>
              <w:t>0,5</w:t>
            </w:r>
          </w:p>
        </w:tc>
        <w:tc>
          <w:tcPr>
            <w:tcW w:w="1062" w:type="dxa"/>
          </w:tcPr>
          <w:p w:rsidR="00656AC1" w:rsidRPr="00203191" w:rsidRDefault="00656AC1" w:rsidP="00364E4D">
            <w:pPr>
              <w:rPr>
                <w:rFonts w:ascii="Calibri" w:hAnsi="Calibri" w:cs="Calibri"/>
              </w:rPr>
            </w:pPr>
            <w:r w:rsidRPr="00203191">
              <w:rPr>
                <w:rFonts w:ascii="Calibri" w:hAnsi="Calibri" w:cs="Calibri"/>
              </w:rPr>
              <w:t>0,5</w:t>
            </w:r>
          </w:p>
          <w:p w:rsidR="00656AC1" w:rsidRPr="00203191" w:rsidRDefault="00656AC1" w:rsidP="00364E4D">
            <w:pPr>
              <w:rPr>
                <w:rFonts w:ascii="Calibri" w:hAnsi="Calibri" w:cs="Calibri"/>
              </w:rPr>
            </w:pPr>
            <w:r w:rsidRPr="00203191">
              <w:rPr>
                <w:rFonts w:ascii="Calibri" w:hAnsi="Calibri" w:cs="Calibri"/>
              </w:rPr>
              <w:t>0,5</w:t>
            </w:r>
          </w:p>
        </w:tc>
        <w:tc>
          <w:tcPr>
            <w:tcW w:w="1062" w:type="dxa"/>
          </w:tcPr>
          <w:p w:rsidR="00656AC1" w:rsidRPr="00203191" w:rsidRDefault="00656AC1" w:rsidP="00364E4D">
            <w:pPr>
              <w:rPr>
                <w:rFonts w:ascii="Calibri" w:hAnsi="Calibri" w:cs="Calibri"/>
              </w:rPr>
            </w:pPr>
            <w:r w:rsidRPr="00203191">
              <w:rPr>
                <w:rFonts w:ascii="Calibri" w:hAnsi="Calibri" w:cs="Calibri"/>
              </w:rPr>
              <w:t>0,43</w:t>
            </w:r>
          </w:p>
          <w:p w:rsidR="00656AC1" w:rsidRPr="00203191" w:rsidRDefault="00656AC1" w:rsidP="00364E4D">
            <w:pPr>
              <w:rPr>
                <w:rFonts w:ascii="Calibri" w:hAnsi="Calibri" w:cs="Calibri"/>
              </w:rPr>
            </w:pPr>
            <w:r w:rsidRPr="00203191">
              <w:rPr>
                <w:rFonts w:ascii="Calibri" w:hAnsi="Calibri" w:cs="Calibri"/>
              </w:rPr>
              <w:t>0,48</w:t>
            </w:r>
          </w:p>
        </w:tc>
      </w:tr>
    </w:tbl>
    <w:p w:rsidR="00656AC1" w:rsidRPr="00203191" w:rsidRDefault="00656AC1" w:rsidP="00364E4D">
      <w:pPr>
        <w:spacing w:before="120" w:after="120"/>
        <w:rPr>
          <w:rFonts w:ascii="Calibri" w:hAnsi="Calibri" w:cs="Calibri"/>
          <w:i/>
          <w:iCs/>
        </w:rPr>
      </w:pPr>
      <w:r w:rsidRPr="00203191">
        <w:rPr>
          <w:rFonts w:ascii="Calibri" w:hAnsi="Calibri" w:cs="Calibri"/>
          <w:i/>
          <w:iCs/>
        </w:rPr>
        <w:t>6.3.1.2. Widzialność w nocy</w:t>
      </w:r>
    </w:p>
    <w:p w:rsidR="00656AC1" w:rsidRPr="00203191" w:rsidRDefault="00656AC1" w:rsidP="00364E4D">
      <w:pPr>
        <w:rPr>
          <w:rFonts w:ascii="Calibri" w:hAnsi="Calibri" w:cs="Calibri"/>
        </w:rPr>
      </w:pPr>
      <w:r w:rsidRPr="00203191">
        <w:rPr>
          <w:rFonts w:ascii="Calibri" w:hAnsi="Calibri" w:cs="Calibri"/>
        </w:rPr>
        <w:t>Za miarę widzialności w nocy przyjęto powierzchniowy współczynnik odblasku R</w:t>
      </w:r>
      <w:r w:rsidRPr="00203191">
        <w:rPr>
          <w:rFonts w:ascii="Calibri" w:hAnsi="Calibri" w:cs="Calibri"/>
          <w:vertAlign w:val="subscript"/>
        </w:rPr>
        <w:t>L</w:t>
      </w:r>
      <w:r w:rsidRPr="00203191">
        <w:rPr>
          <w:rFonts w:ascii="Calibri" w:hAnsi="Calibri" w:cs="Calibri"/>
        </w:rPr>
        <w:t>, określany wg POD-97.</w:t>
      </w:r>
    </w:p>
    <w:p w:rsidR="00656AC1" w:rsidRPr="00203191" w:rsidRDefault="00656AC1" w:rsidP="00364E4D">
      <w:pPr>
        <w:rPr>
          <w:rFonts w:ascii="Calibri" w:hAnsi="Calibri" w:cs="Calibri"/>
        </w:rPr>
      </w:pPr>
      <w:r w:rsidRPr="00203191">
        <w:rPr>
          <w:rFonts w:ascii="Calibri" w:hAnsi="Calibri" w:cs="Calibri"/>
        </w:rPr>
        <w:t>Wartość współczynnika R</w:t>
      </w:r>
      <w:r w:rsidRPr="00203191">
        <w:rPr>
          <w:rFonts w:ascii="Calibri" w:hAnsi="Calibri" w:cs="Calibri"/>
          <w:vertAlign w:val="subscript"/>
        </w:rPr>
        <w:t>L</w:t>
      </w:r>
      <w:r w:rsidRPr="00203191">
        <w:rPr>
          <w:rFonts w:ascii="Calibri" w:hAnsi="Calibri" w:cs="Calibri"/>
        </w:rPr>
        <w:t xml:space="preserve"> powinna wynosić dla oznakowania świeżego w stanie suchym, barwy:</w:t>
      </w:r>
    </w:p>
    <w:p w:rsidR="00656AC1" w:rsidRPr="00203191" w:rsidRDefault="00656AC1" w:rsidP="00954A11">
      <w:pPr>
        <w:numPr>
          <w:ilvl w:val="0"/>
          <w:numId w:val="1"/>
        </w:numPr>
        <w:rPr>
          <w:rFonts w:ascii="Calibri" w:hAnsi="Calibri" w:cs="Calibri"/>
        </w:rPr>
      </w:pPr>
      <w:r w:rsidRPr="00203191">
        <w:rPr>
          <w:rFonts w:ascii="Calibri" w:hAnsi="Calibri" w:cs="Calibri"/>
        </w:rPr>
        <w:t>białej, co najmniej 300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954A11">
      <w:pPr>
        <w:numPr>
          <w:ilvl w:val="0"/>
          <w:numId w:val="1"/>
        </w:numPr>
        <w:rPr>
          <w:rFonts w:ascii="Calibri" w:hAnsi="Calibri" w:cs="Calibri"/>
        </w:rPr>
      </w:pPr>
      <w:r w:rsidRPr="00203191">
        <w:rPr>
          <w:rFonts w:ascii="Calibri" w:hAnsi="Calibri" w:cs="Calibri"/>
        </w:rPr>
        <w:t>żółtej, co najmniej 200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Wartość współczynnika R</w:t>
      </w:r>
      <w:r w:rsidRPr="00203191">
        <w:rPr>
          <w:rFonts w:ascii="Calibri" w:hAnsi="Calibri" w:cs="Calibri"/>
          <w:vertAlign w:val="subscript"/>
        </w:rPr>
        <w:t>L</w:t>
      </w:r>
      <w:r w:rsidRPr="00203191">
        <w:rPr>
          <w:rFonts w:ascii="Calibri" w:hAnsi="Calibri" w:cs="Calibri"/>
        </w:rPr>
        <w:t xml:space="preserve"> powinna wynosić dla oznakowania używanego:</w:t>
      </w:r>
    </w:p>
    <w:p w:rsidR="00656AC1" w:rsidRPr="00203191" w:rsidRDefault="00656AC1" w:rsidP="00364E4D">
      <w:pPr>
        <w:rPr>
          <w:rFonts w:ascii="Calibri" w:hAnsi="Calibri" w:cs="Calibri"/>
        </w:rPr>
      </w:pPr>
      <w:r w:rsidRPr="00203191">
        <w:rPr>
          <w:rFonts w:ascii="Calibri" w:hAnsi="Calibri" w:cs="Calibri"/>
        </w:rPr>
        <w:t>a) cienko- i grubowarstwowego barwy:</w:t>
      </w:r>
    </w:p>
    <w:p w:rsidR="00656AC1" w:rsidRPr="00203191" w:rsidRDefault="00656AC1" w:rsidP="00954A11">
      <w:pPr>
        <w:numPr>
          <w:ilvl w:val="0"/>
          <w:numId w:val="1"/>
        </w:numPr>
        <w:rPr>
          <w:rFonts w:ascii="Calibri" w:hAnsi="Calibri" w:cs="Calibri"/>
        </w:rPr>
      </w:pPr>
      <w:r w:rsidRPr="00203191">
        <w:rPr>
          <w:rFonts w:ascii="Calibri" w:hAnsi="Calibri" w:cs="Calibri"/>
        </w:rPr>
        <w:t>białej, po 12 miesiącach eksploatacji, co najmniej 100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954A11">
      <w:pPr>
        <w:numPr>
          <w:ilvl w:val="0"/>
          <w:numId w:val="1"/>
        </w:numPr>
        <w:rPr>
          <w:rFonts w:ascii="Calibri" w:hAnsi="Calibri" w:cs="Calibri"/>
        </w:rPr>
      </w:pPr>
      <w:r w:rsidRPr="00203191">
        <w:rPr>
          <w:rFonts w:ascii="Calibri" w:hAnsi="Calibri" w:cs="Calibri"/>
        </w:rPr>
        <w:t>żółtej, po 1 miesiącu eksploatacji, co najmniej 150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364E4D">
      <w:pPr>
        <w:rPr>
          <w:rFonts w:ascii="Calibri" w:hAnsi="Calibri" w:cs="Calibri"/>
        </w:rPr>
      </w:pPr>
      <w:r w:rsidRPr="00203191">
        <w:rPr>
          <w:rFonts w:ascii="Calibri" w:hAnsi="Calibri" w:cs="Calibri"/>
        </w:rPr>
        <w:t>b) folii:</w:t>
      </w:r>
    </w:p>
    <w:p w:rsidR="00656AC1" w:rsidRPr="00203191" w:rsidRDefault="00656AC1" w:rsidP="00954A11">
      <w:pPr>
        <w:numPr>
          <w:ilvl w:val="0"/>
          <w:numId w:val="1"/>
        </w:numPr>
        <w:rPr>
          <w:rFonts w:ascii="Calibri" w:hAnsi="Calibri" w:cs="Calibri"/>
        </w:rPr>
      </w:pPr>
      <w:r w:rsidRPr="00203191">
        <w:rPr>
          <w:rFonts w:ascii="Calibri" w:hAnsi="Calibri" w:cs="Calibri"/>
        </w:rPr>
        <w:t>dla oznakowań trwałych i długotrwałych (białych), co najmniej 300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954A11">
      <w:pPr>
        <w:numPr>
          <w:ilvl w:val="0"/>
          <w:numId w:val="1"/>
        </w:numPr>
        <w:rPr>
          <w:rFonts w:ascii="Calibri" w:hAnsi="Calibri" w:cs="Calibri"/>
        </w:rPr>
      </w:pPr>
      <w:r w:rsidRPr="00203191">
        <w:rPr>
          <w:rFonts w:ascii="Calibri" w:hAnsi="Calibri" w:cs="Calibri"/>
        </w:rPr>
        <w:t>dla oznakowań tymczasowych (żółtych), co najmniej 300 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r w:rsidRPr="00203191">
        <w:rPr>
          <w:rFonts w:ascii="Calibri" w:hAnsi="Calibri" w:cs="Calibri"/>
        </w:rPr>
        <w:t>.</w:t>
      </w:r>
    </w:p>
    <w:p w:rsidR="00656AC1" w:rsidRPr="00203191" w:rsidRDefault="00656AC1" w:rsidP="00364E4D">
      <w:pPr>
        <w:spacing w:before="120"/>
        <w:rPr>
          <w:rFonts w:ascii="Calibri" w:hAnsi="Calibri" w:cs="Calibri"/>
          <w:i/>
          <w:iCs/>
        </w:rPr>
      </w:pPr>
      <w:r w:rsidRPr="00203191">
        <w:rPr>
          <w:rFonts w:ascii="Calibri" w:hAnsi="Calibri" w:cs="Calibri"/>
          <w:i/>
          <w:iCs/>
        </w:rPr>
        <w:t>6.3.1.3. Szorstkość oznakowania</w:t>
      </w:r>
    </w:p>
    <w:p w:rsidR="00656AC1" w:rsidRPr="00203191" w:rsidRDefault="00656AC1" w:rsidP="00364E4D">
      <w:pPr>
        <w:spacing w:before="120"/>
        <w:rPr>
          <w:rFonts w:ascii="Calibri" w:hAnsi="Calibri" w:cs="Calibri"/>
        </w:rPr>
      </w:pPr>
      <w:r w:rsidRPr="00203191">
        <w:rPr>
          <w:rFonts w:ascii="Calibri" w:hAnsi="Calibri" w:cs="Calibri"/>
        </w:rPr>
        <w:t>Miarą szorstkości oznakowania jest wartość wskaźnika szorstkości SRT (Skid Resistance Tester) mierzona wahadłem angielskim, wg POD-97. Wartość SRT symuluje warunki, w których pojazd wyposażony w typowe opony hamuje z blokadą kół przy prędkości 50 km/h na mokrej  nawierzchni.</w:t>
      </w:r>
    </w:p>
    <w:p w:rsidR="00656AC1" w:rsidRPr="00203191" w:rsidRDefault="00656AC1" w:rsidP="00364E4D">
      <w:pPr>
        <w:rPr>
          <w:rFonts w:ascii="Calibri" w:hAnsi="Calibri" w:cs="Calibri"/>
        </w:rPr>
      </w:pPr>
      <w:r w:rsidRPr="00203191">
        <w:rPr>
          <w:rFonts w:ascii="Calibri" w:hAnsi="Calibri" w:cs="Calibri"/>
        </w:rPr>
        <w:t>Wymaga się, aby wartość wskaźnika szorstkości SRT wynosiła na oznakowaniu:</w:t>
      </w:r>
    </w:p>
    <w:p w:rsidR="00656AC1" w:rsidRPr="00203191" w:rsidRDefault="00656AC1" w:rsidP="00954A11">
      <w:pPr>
        <w:numPr>
          <w:ilvl w:val="0"/>
          <w:numId w:val="1"/>
        </w:numPr>
        <w:rPr>
          <w:rFonts w:ascii="Calibri" w:hAnsi="Calibri" w:cs="Calibri"/>
        </w:rPr>
      </w:pPr>
      <w:r w:rsidRPr="00203191">
        <w:rPr>
          <w:rFonts w:ascii="Calibri" w:hAnsi="Calibri" w:cs="Calibri"/>
        </w:rPr>
        <w:t>świeżym, co najmniej 50 jednostek SRT,</w:t>
      </w:r>
    </w:p>
    <w:p w:rsidR="00656AC1" w:rsidRPr="00203191" w:rsidRDefault="00656AC1" w:rsidP="00954A11">
      <w:pPr>
        <w:numPr>
          <w:ilvl w:val="0"/>
          <w:numId w:val="1"/>
        </w:numPr>
        <w:rPr>
          <w:rFonts w:ascii="Calibri" w:hAnsi="Calibri" w:cs="Calibri"/>
        </w:rPr>
      </w:pPr>
      <w:r w:rsidRPr="00203191">
        <w:rPr>
          <w:rFonts w:ascii="Calibri" w:hAnsi="Calibri" w:cs="Calibri"/>
        </w:rPr>
        <w:t>używanym, w ciągu całego okresu użytkowania, co najmniej 45 jednostek SRT.</w:t>
      </w:r>
    </w:p>
    <w:p w:rsidR="00656AC1" w:rsidRPr="00203191" w:rsidRDefault="00656AC1" w:rsidP="00364E4D">
      <w:pPr>
        <w:rPr>
          <w:rFonts w:ascii="Calibri" w:hAnsi="Calibri" w:cs="Calibri"/>
        </w:rPr>
      </w:pPr>
      <w:r w:rsidRPr="00203191">
        <w:rPr>
          <w:rFonts w:ascii="Calibri" w:hAnsi="Calibri" w:cs="Calibri"/>
        </w:rPr>
        <w:t>Dla punktowych elementów odblaskowych badań szorstkości nie wykonuje się.</w:t>
      </w:r>
    </w:p>
    <w:p w:rsidR="00656AC1" w:rsidRPr="00203191" w:rsidRDefault="00656AC1" w:rsidP="00364E4D">
      <w:pPr>
        <w:spacing w:before="120"/>
        <w:rPr>
          <w:rFonts w:ascii="Calibri" w:hAnsi="Calibri" w:cs="Calibri"/>
          <w:i/>
          <w:iCs/>
        </w:rPr>
      </w:pPr>
      <w:r w:rsidRPr="00203191">
        <w:rPr>
          <w:rFonts w:ascii="Calibri" w:hAnsi="Calibri" w:cs="Calibri"/>
          <w:i/>
          <w:iCs/>
        </w:rPr>
        <w:t>6.3.1.4. Trwałość oznakowania</w:t>
      </w:r>
    </w:p>
    <w:p w:rsidR="00656AC1" w:rsidRPr="00203191" w:rsidRDefault="00656AC1" w:rsidP="00364E4D">
      <w:pPr>
        <w:spacing w:before="120"/>
        <w:rPr>
          <w:rFonts w:ascii="Calibri" w:hAnsi="Calibri" w:cs="Calibri"/>
        </w:rPr>
      </w:pPr>
      <w:r w:rsidRPr="00203191">
        <w:rPr>
          <w:rFonts w:ascii="Calibri" w:hAnsi="Calibri" w:cs="Calibri"/>
        </w:rPr>
        <w:t>Trwałość oznakowania oceniana jako stopień zużycia w 10-stopniowej skali na zasadzie porównania z wzorcami, wg POD-97, powinna wynosić po 12-miesięcznym okresie eksploatacji oznakowania wykonanego:</w:t>
      </w:r>
    </w:p>
    <w:p w:rsidR="00656AC1" w:rsidRPr="00203191" w:rsidRDefault="00656AC1" w:rsidP="00954A11">
      <w:pPr>
        <w:numPr>
          <w:ilvl w:val="0"/>
          <w:numId w:val="1"/>
        </w:numPr>
        <w:rPr>
          <w:rFonts w:ascii="Calibri" w:hAnsi="Calibri" w:cs="Calibri"/>
        </w:rPr>
      </w:pPr>
      <w:r w:rsidRPr="00203191">
        <w:rPr>
          <w:rFonts w:ascii="Calibri" w:hAnsi="Calibri" w:cs="Calibri"/>
        </w:rPr>
        <w:t>farbami wodorozcieńczalnymi, co najmniej 5,</w:t>
      </w:r>
    </w:p>
    <w:p w:rsidR="00656AC1" w:rsidRPr="00203191" w:rsidRDefault="00656AC1" w:rsidP="00954A11">
      <w:pPr>
        <w:numPr>
          <w:ilvl w:val="0"/>
          <w:numId w:val="1"/>
        </w:numPr>
        <w:rPr>
          <w:rFonts w:ascii="Calibri" w:hAnsi="Calibri" w:cs="Calibri"/>
        </w:rPr>
      </w:pPr>
      <w:r w:rsidRPr="00203191">
        <w:rPr>
          <w:rFonts w:ascii="Calibri" w:hAnsi="Calibri" w:cs="Calibri"/>
        </w:rPr>
        <w:t>pozostałymi materiałami, co najmniej 6.</w:t>
      </w:r>
    </w:p>
    <w:p w:rsidR="00656AC1" w:rsidRPr="00203191" w:rsidRDefault="00656AC1" w:rsidP="00364E4D">
      <w:pPr>
        <w:keepNext/>
        <w:spacing w:before="120"/>
        <w:rPr>
          <w:rFonts w:ascii="Calibri" w:hAnsi="Calibri" w:cs="Calibri"/>
          <w:i/>
          <w:iCs/>
        </w:rPr>
      </w:pPr>
      <w:r w:rsidRPr="00203191">
        <w:rPr>
          <w:rFonts w:ascii="Calibri" w:hAnsi="Calibri" w:cs="Calibri"/>
          <w:i/>
          <w:iCs/>
        </w:rPr>
        <w:t>6.3.1.5. Czas schnięcia oznakowania (wzgl. czas przejezdności oznakowania)</w:t>
      </w:r>
    </w:p>
    <w:p w:rsidR="00656AC1" w:rsidRPr="00203191" w:rsidRDefault="00656AC1" w:rsidP="00364E4D">
      <w:pPr>
        <w:spacing w:before="120"/>
        <w:rPr>
          <w:rFonts w:ascii="Calibri" w:hAnsi="Calibri" w:cs="Calibri"/>
        </w:rPr>
      </w:pPr>
      <w:r w:rsidRPr="00203191">
        <w:rPr>
          <w:rFonts w:ascii="Calibri" w:hAnsi="Calibri" w:cs="Calibri"/>
        </w:rPr>
        <w:t>Za czas schnięcia oznakowania przyjmuje się czas upływający między wykonaniem oznakowania a jego oddaniem do ruchu.</w:t>
      </w:r>
    </w:p>
    <w:p w:rsidR="00656AC1" w:rsidRPr="00203191" w:rsidRDefault="00656AC1" w:rsidP="00364E4D">
      <w:pPr>
        <w:rPr>
          <w:rFonts w:ascii="Calibri" w:hAnsi="Calibri" w:cs="Calibri"/>
        </w:rPr>
      </w:pPr>
      <w:r w:rsidRPr="00203191">
        <w:rPr>
          <w:rFonts w:ascii="Calibri" w:hAnsi="Calibri" w:cs="Calibri"/>
        </w:rPr>
        <w:t>Czas schnięcia oznakowania nie powinien przekraczać czasu gwarantowanego przez producenta, z tym że nie może przekraczać 2 godzin.</w:t>
      </w:r>
    </w:p>
    <w:p w:rsidR="00656AC1" w:rsidRPr="00203191" w:rsidRDefault="00656AC1" w:rsidP="00364E4D">
      <w:pPr>
        <w:spacing w:before="120"/>
        <w:rPr>
          <w:rFonts w:ascii="Calibri" w:hAnsi="Calibri" w:cs="Calibri"/>
          <w:i/>
          <w:iCs/>
        </w:rPr>
      </w:pPr>
      <w:r w:rsidRPr="00203191">
        <w:rPr>
          <w:rFonts w:ascii="Calibri" w:hAnsi="Calibri" w:cs="Calibri"/>
          <w:i/>
          <w:iCs/>
        </w:rPr>
        <w:t>6.3.1.6. Grubość oznakowania</w:t>
      </w:r>
    </w:p>
    <w:p w:rsidR="00656AC1" w:rsidRPr="00203191" w:rsidRDefault="00656AC1" w:rsidP="00364E4D">
      <w:pPr>
        <w:spacing w:before="120"/>
        <w:rPr>
          <w:rFonts w:ascii="Calibri" w:hAnsi="Calibri" w:cs="Calibri"/>
        </w:rPr>
      </w:pPr>
      <w:r w:rsidRPr="00203191">
        <w:rPr>
          <w:rFonts w:ascii="Calibri" w:hAnsi="Calibri" w:cs="Calibri"/>
        </w:rPr>
        <w:t>Grubość oznakowania, tj. podwyższenie ponad górną powierzchnię nawierzchni, powinna wynosić dla:</w:t>
      </w:r>
    </w:p>
    <w:p w:rsidR="00656AC1" w:rsidRPr="00203191" w:rsidRDefault="00656AC1" w:rsidP="00973D29">
      <w:pPr>
        <w:numPr>
          <w:ilvl w:val="0"/>
          <w:numId w:val="36"/>
        </w:numPr>
        <w:rPr>
          <w:rFonts w:ascii="Calibri" w:hAnsi="Calibri" w:cs="Calibri"/>
        </w:rPr>
      </w:pPr>
      <w:r w:rsidRPr="00203191">
        <w:rPr>
          <w:rFonts w:ascii="Calibri" w:hAnsi="Calibri" w:cs="Calibri"/>
        </w:rPr>
        <w:t xml:space="preserve">oznakowania cienkowarstwowego (grubość na mokro bez kulek szklanych), co najwyżej 800 </w:t>
      </w:r>
      <w:r w:rsidRPr="00203191">
        <w:rPr>
          <w:rFonts w:ascii="Calibri" w:hAnsi="Calibri" w:cs="Calibri"/>
        </w:rPr>
        <w:sym w:font="Symbol" w:char="F06D"/>
      </w:r>
      <w:r w:rsidRPr="00203191">
        <w:rPr>
          <w:rFonts w:ascii="Calibri" w:hAnsi="Calibri" w:cs="Calibri"/>
        </w:rPr>
        <w:t>m,</w:t>
      </w:r>
    </w:p>
    <w:p w:rsidR="00656AC1" w:rsidRPr="00203191" w:rsidRDefault="00656AC1" w:rsidP="00B26222">
      <w:pPr>
        <w:ind w:left="283"/>
        <w:rPr>
          <w:rFonts w:ascii="Calibri" w:hAnsi="Calibri" w:cs="Calibri"/>
        </w:rPr>
      </w:pPr>
      <w:r w:rsidRPr="00203191">
        <w:rPr>
          <w:rFonts w:ascii="Calibri" w:hAnsi="Calibri" w:cs="Calibri"/>
        </w:rPr>
        <w:lastRenderedPageBreak/>
        <w:t>.</w:t>
      </w:r>
    </w:p>
    <w:p w:rsidR="00656AC1" w:rsidRPr="00203191" w:rsidRDefault="00656AC1" w:rsidP="00364E4D">
      <w:pPr>
        <w:spacing w:before="120"/>
        <w:rPr>
          <w:rFonts w:ascii="Calibri" w:hAnsi="Calibri" w:cs="Calibri"/>
          <w:b/>
          <w:bCs/>
          <w:i/>
          <w:iCs/>
        </w:rPr>
      </w:pPr>
      <w:r w:rsidRPr="00203191">
        <w:rPr>
          <w:rFonts w:ascii="Calibri" w:hAnsi="Calibri" w:cs="Calibri"/>
          <w:b/>
          <w:bCs/>
          <w:i/>
          <w:iCs/>
        </w:rPr>
        <w:t>6.3.2. Badania wykonania znakowania poziomego z materiału cienkowarstwowego lub grubowarstwowego</w:t>
      </w:r>
    </w:p>
    <w:p w:rsidR="00656AC1" w:rsidRPr="00203191" w:rsidRDefault="00656AC1" w:rsidP="00364E4D">
      <w:pPr>
        <w:spacing w:before="120"/>
        <w:rPr>
          <w:rFonts w:ascii="Calibri" w:hAnsi="Calibri" w:cs="Calibri"/>
        </w:rPr>
      </w:pPr>
      <w:r w:rsidRPr="00203191">
        <w:rPr>
          <w:rFonts w:ascii="Calibri" w:hAnsi="Calibri" w:cs="Calibri"/>
        </w:rPr>
        <w:t xml:space="preserve">Wykonawca wykonując znakowanie poziome z materiału cienko- lub grubowarstwowego przeprowadza przed rozpoczęciem każdej pracy oraz w czasie jej wykonywania, co najmniej raz dziennie, lub zgodnie z ustaleniem </w:t>
      </w:r>
      <w:r w:rsidR="005B48CA">
        <w:rPr>
          <w:rFonts w:ascii="Calibri" w:hAnsi="Calibri" w:cs="Calibri"/>
        </w:rPr>
        <w:t>STWiORB</w:t>
      </w:r>
      <w:r w:rsidRPr="00203191">
        <w:rPr>
          <w:rFonts w:ascii="Calibri" w:hAnsi="Calibri" w:cs="Calibri"/>
        </w:rPr>
        <w:t>, następujące badania:</w:t>
      </w:r>
    </w:p>
    <w:p w:rsidR="00656AC1" w:rsidRPr="00203191" w:rsidRDefault="00656AC1" w:rsidP="00364E4D">
      <w:pPr>
        <w:rPr>
          <w:rFonts w:ascii="Calibri" w:hAnsi="Calibri" w:cs="Calibri"/>
        </w:rPr>
      </w:pPr>
      <w:r w:rsidRPr="00203191">
        <w:rPr>
          <w:rFonts w:ascii="Calibri" w:hAnsi="Calibri" w:cs="Calibri"/>
        </w:rPr>
        <w:t>a) przed rozpoczęciem pracy:</w:t>
      </w:r>
    </w:p>
    <w:p w:rsidR="00656AC1" w:rsidRPr="00203191" w:rsidRDefault="00656AC1" w:rsidP="00954A11">
      <w:pPr>
        <w:numPr>
          <w:ilvl w:val="0"/>
          <w:numId w:val="1"/>
        </w:numPr>
        <w:rPr>
          <w:rFonts w:ascii="Calibri" w:hAnsi="Calibri" w:cs="Calibri"/>
        </w:rPr>
      </w:pPr>
      <w:r w:rsidRPr="00203191">
        <w:rPr>
          <w:rFonts w:ascii="Calibri" w:hAnsi="Calibri" w:cs="Calibri"/>
        </w:rPr>
        <w:t>sprawdzenie oznakowania opakowań,</w:t>
      </w:r>
    </w:p>
    <w:p w:rsidR="00656AC1" w:rsidRPr="00203191" w:rsidRDefault="00656AC1" w:rsidP="00954A11">
      <w:pPr>
        <w:numPr>
          <w:ilvl w:val="0"/>
          <w:numId w:val="1"/>
        </w:numPr>
        <w:rPr>
          <w:rFonts w:ascii="Calibri" w:hAnsi="Calibri" w:cs="Calibri"/>
        </w:rPr>
      </w:pPr>
      <w:r w:rsidRPr="00203191">
        <w:rPr>
          <w:rFonts w:ascii="Calibri" w:hAnsi="Calibri" w:cs="Calibri"/>
        </w:rPr>
        <w:t>wizualną ocenę stanu  materiału, w zakresie jego jednorodności i widocznych wad,</w:t>
      </w:r>
    </w:p>
    <w:p w:rsidR="00656AC1" w:rsidRPr="00203191" w:rsidRDefault="00656AC1" w:rsidP="00954A11">
      <w:pPr>
        <w:numPr>
          <w:ilvl w:val="0"/>
          <w:numId w:val="1"/>
        </w:numPr>
        <w:rPr>
          <w:rFonts w:ascii="Calibri" w:hAnsi="Calibri" w:cs="Calibri"/>
        </w:rPr>
      </w:pPr>
      <w:r w:rsidRPr="00203191">
        <w:rPr>
          <w:rFonts w:ascii="Calibri" w:hAnsi="Calibri" w:cs="Calibri"/>
        </w:rPr>
        <w:t>pomiar wilgotności względnej powietrza,</w:t>
      </w:r>
    </w:p>
    <w:p w:rsidR="00656AC1" w:rsidRPr="00203191" w:rsidRDefault="00656AC1" w:rsidP="00954A11">
      <w:pPr>
        <w:numPr>
          <w:ilvl w:val="0"/>
          <w:numId w:val="1"/>
        </w:numPr>
        <w:rPr>
          <w:rFonts w:ascii="Calibri" w:hAnsi="Calibri" w:cs="Calibri"/>
        </w:rPr>
      </w:pPr>
      <w:r w:rsidRPr="00203191">
        <w:rPr>
          <w:rFonts w:ascii="Calibri" w:hAnsi="Calibri" w:cs="Calibri"/>
        </w:rPr>
        <w:t>pomiar temperatury powietrza i nawierzchni,</w:t>
      </w:r>
    </w:p>
    <w:p w:rsidR="00656AC1" w:rsidRPr="00203191" w:rsidRDefault="00656AC1" w:rsidP="00954A11">
      <w:pPr>
        <w:numPr>
          <w:ilvl w:val="0"/>
          <w:numId w:val="1"/>
        </w:numPr>
        <w:rPr>
          <w:rFonts w:ascii="Calibri" w:hAnsi="Calibri" w:cs="Calibri"/>
        </w:rPr>
      </w:pPr>
      <w:r w:rsidRPr="00203191">
        <w:rPr>
          <w:rFonts w:ascii="Calibri" w:hAnsi="Calibri" w:cs="Calibri"/>
        </w:rPr>
        <w:t>badanie lepkości farby (cienkowarstwowej), wg POD-97,</w:t>
      </w:r>
    </w:p>
    <w:p w:rsidR="00656AC1" w:rsidRPr="00203191" w:rsidRDefault="00656AC1" w:rsidP="00364E4D">
      <w:pPr>
        <w:rPr>
          <w:rFonts w:ascii="Calibri" w:hAnsi="Calibri" w:cs="Calibri"/>
        </w:rPr>
      </w:pPr>
      <w:r w:rsidRPr="00203191">
        <w:rPr>
          <w:rFonts w:ascii="Calibri" w:hAnsi="Calibri" w:cs="Calibri"/>
        </w:rPr>
        <w:t>b) w czasie wykonywania pracy:</w:t>
      </w:r>
    </w:p>
    <w:p w:rsidR="00656AC1" w:rsidRPr="00203191" w:rsidRDefault="00656AC1" w:rsidP="00954A11">
      <w:pPr>
        <w:numPr>
          <w:ilvl w:val="0"/>
          <w:numId w:val="1"/>
        </w:numPr>
        <w:rPr>
          <w:rFonts w:ascii="Calibri" w:hAnsi="Calibri" w:cs="Calibri"/>
        </w:rPr>
      </w:pPr>
      <w:r w:rsidRPr="00203191">
        <w:rPr>
          <w:rFonts w:ascii="Calibri" w:hAnsi="Calibri" w:cs="Calibri"/>
        </w:rPr>
        <w:t>pomiar grubości warstwy oznakowania,</w:t>
      </w:r>
    </w:p>
    <w:p w:rsidR="00656AC1" w:rsidRPr="00203191" w:rsidRDefault="00656AC1" w:rsidP="00954A11">
      <w:pPr>
        <w:numPr>
          <w:ilvl w:val="0"/>
          <w:numId w:val="1"/>
        </w:numPr>
        <w:rPr>
          <w:rFonts w:ascii="Calibri" w:hAnsi="Calibri" w:cs="Calibri"/>
        </w:rPr>
      </w:pPr>
      <w:r w:rsidRPr="00203191">
        <w:rPr>
          <w:rFonts w:ascii="Calibri" w:hAnsi="Calibri" w:cs="Calibri"/>
        </w:rPr>
        <w:t>pomiar czasu schnięcia, wg POD-97,</w:t>
      </w:r>
    </w:p>
    <w:p w:rsidR="00656AC1" w:rsidRPr="00203191" w:rsidRDefault="00656AC1" w:rsidP="00954A11">
      <w:pPr>
        <w:numPr>
          <w:ilvl w:val="0"/>
          <w:numId w:val="1"/>
        </w:numPr>
        <w:rPr>
          <w:rFonts w:ascii="Calibri" w:hAnsi="Calibri" w:cs="Calibri"/>
        </w:rPr>
      </w:pPr>
      <w:r w:rsidRPr="00203191">
        <w:rPr>
          <w:rFonts w:ascii="Calibri" w:hAnsi="Calibri" w:cs="Calibri"/>
        </w:rPr>
        <w:t>wizualną ocenę równomierności rozłożenia kulek szklanych,</w:t>
      </w:r>
    </w:p>
    <w:p w:rsidR="00656AC1" w:rsidRPr="00203191" w:rsidRDefault="00656AC1" w:rsidP="00954A11">
      <w:pPr>
        <w:numPr>
          <w:ilvl w:val="0"/>
          <w:numId w:val="1"/>
        </w:numPr>
        <w:rPr>
          <w:rFonts w:ascii="Calibri" w:hAnsi="Calibri" w:cs="Calibri"/>
        </w:rPr>
      </w:pPr>
      <w:r w:rsidRPr="00203191">
        <w:rPr>
          <w:rFonts w:ascii="Calibri" w:hAnsi="Calibri" w:cs="Calibri"/>
        </w:rPr>
        <w:t>pomiar poziomych wymiarów oznakowania, na zgodność z dokumentacją projektową i „Instrukcją o znakach drogowych poziomych”,</w:t>
      </w:r>
    </w:p>
    <w:p w:rsidR="00656AC1" w:rsidRPr="00203191" w:rsidRDefault="00656AC1" w:rsidP="00954A11">
      <w:pPr>
        <w:numPr>
          <w:ilvl w:val="0"/>
          <w:numId w:val="1"/>
        </w:numPr>
        <w:rPr>
          <w:rFonts w:ascii="Calibri" w:hAnsi="Calibri" w:cs="Calibri"/>
        </w:rPr>
      </w:pPr>
      <w:r w:rsidRPr="00203191">
        <w:rPr>
          <w:rFonts w:ascii="Calibri" w:hAnsi="Calibri" w:cs="Calibri"/>
        </w:rPr>
        <w:t>wizualną ocenę równomierności skropienia (rozłożenia materiału) na całej szerokości linii,</w:t>
      </w:r>
    </w:p>
    <w:p w:rsidR="00656AC1" w:rsidRPr="00203191" w:rsidRDefault="00656AC1" w:rsidP="00954A11">
      <w:pPr>
        <w:numPr>
          <w:ilvl w:val="0"/>
          <w:numId w:val="1"/>
        </w:numPr>
        <w:rPr>
          <w:rFonts w:ascii="Calibri" w:hAnsi="Calibri" w:cs="Calibri"/>
        </w:rPr>
      </w:pPr>
      <w:r w:rsidRPr="00203191">
        <w:rPr>
          <w:rFonts w:ascii="Calibri" w:hAnsi="Calibri" w:cs="Calibri"/>
        </w:rPr>
        <w:t>oznaczenia czasu przejezdności, wg POD-97.</w:t>
      </w:r>
    </w:p>
    <w:p w:rsidR="00656AC1" w:rsidRPr="00203191" w:rsidRDefault="00656AC1" w:rsidP="00364E4D">
      <w:pPr>
        <w:rPr>
          <w:rFonts w:ascii="Calibri" w:hAnsi="Calibri" w:cs="Calibri"/>
        </w:rPr>
      </w:pPr>
      <w:r w:rsidRPr="00203191">
        <w:rPr>
          <w:rFonts w:ascii="Calibri" w:hAnsi="Calibri" w:cs="Calibri"/>
        </w:rPr>
        <w:t>Protokół z przeprowadzonych badań wraz z jedną próbką na blasze (300 x 250 x 0,8 mm) Wykonawca powinien przechować do czasu upływu okresu gwarancji.</w:t>
      </w: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r w:rsidRPr="00203191">
        <w:rPr>
          <w:rFonts w:ascii="Calibri" w:hAnsi="Calibri" w:cs="Calibri"/>
        </w:rPr>
        <w:t>W przypadku wątpliwości dotyczących wykonania oznakowania poziomego, Inżynier może zlecić wykonanie badań:</w:t>
      </w:r>
    </w:p>
    <w:p w:rsidR="00656AC1" w:rsidRPr="00203191" w:rsidRDefault="00656AC1" w:rsidP="00954A11">
      <w:pPr>
        <w:numPr>
          <w:ilvl w:val="0"/>
          <w:numId w:val="1"/>
        </w:numPr>
        <w:rPr>
          <w:rFonts w:ascii="Calibri" w:hAnsi="Calibri" w:cs="Calibri"/>
        </w:rPr>
      </w:pPr>
      <w:r w:rsidRPr="00203191">
        <w:rPr>
          <w:rFonts w:ascii="Calibri" w:hAnsi="Calibri" w:cs="Calibri"/>
        </w:rPr>
        <w:t>widzialności w dzień,</w:t>
      </w:r>
    </w:p>
    <w:p w:rsidR="00656AC1" w:rsidRPr="00203191" w:rsidRDefault="00656AC1" w:rsidP="00954A11">
      <w:pPr>
        <w:numPr>
          <w:ilvl w:val="0"/>
          <w:numId w:val="1"/>
        </w:numPr>
        <w:rPr>
          <w:rFonts w:ascii="Calibri" w:hAnsi="Calibri" w:cs="Calibri"/>
        </w:rPr>
      </w:pPr>
      <w:r w:rsidRPr="00203191">
        <w:rPr>
          <w:rFonts w:ascii="Calibri" w:hAnsi="Calibri" w:cs="Calibri"/>
        </w:rPr>
        <w:t>widzialności w nocy,</w:t>
      </w:r>
    </w:p>
    <w:p w:rsidR="00656AC1" w:rsidRPr="00203191" w:rsidRDefault="00656AC1" w:rsidP="00954A11">
      <w:pPr>
        <w:numPr>
          <w:ilvl w:val="0"/>
          <w:numId w:val="1"/>
        </w:numPr>
        <w:rPr>
          <w:rFonts w:ascii="Calibri" w:hAnsi="Calibri" w:cs="Calibri"/>
        </w:rPr>
      </w:pPr>
      <w:r w:rsidRPr="00203191">
        <w:rPr>
          <w:rFonts w:ascii="Calibri" w:hAnsi="Calibri" w:cs="Calibri"/>
        </w:rPr>
        <w:t>szorstkości,</w:t>
      </w:r>
    </w:p>
    <w:p w:rsidR="00656AC1" w:rsidRPr="00203191" w:rsidRDefault="00656AC1" w:rsidP="00364E4D">
      <w:pPr>
        <w:rPr>
          <w:rFonts w:ascii="Calibri" w:hAnsi="Calibri" w:cs="Calibri"/>
        </w:rPr>
      </w:pPr>
      <w:r w:rsidRPr="00203191">
        <w:rPr>
          <w:rFonts w:ascii="Calibri" w:hAnsi="Calibri" w:cs="Calibri"/>
        </w:rPr>
        <w:t>odpowiadających wymaganiom podanym w punkcie 6.3.1 i wykonanych według metod określonych w „Warunkach technicznych POD-97”. Jeżeli wyniki tych badań wykażą wadliwość wykonanego oznakowania to koszt badań ponosi Wykonawca, w przypadku przeciwnym - Zamawiający.</w:t>
      </w:r>
    </w:p>
    <w:p w:rsidR="00656AC1" w:rsidRPr="00203191" w:rsidRDefault="00656AC1" w:rsidP="00364E4D">
      <w:pPr>
        <w:spacing w:before="120"/>
        <w:rPr>
          <w:rFonts w:ascii="Calibri" w:hAnsi="Calibri" w:cs="Calibri"/>
          <w:b/>
          <w:bCs/>
          <w:i/>
          <w:iCs/>
        </w:rPr>
      </w:pPr>
      <w:r w:rsidRPr="00203191">
        <w:rPr>
          <w:rFonts w:ascii="Calibri" w:hAnsi="Calibri" w:cs="Calibri"/>
          <w:b/>
          <w:bCs/>
          <w:i/>
          <w:iCs/>
        </w:rPr>
        <w:t>6.3.3. Badania wykonania znakowania poziomego z punktowych elementów odblaskowych</w:t>
      </w:r>
    </w:p>
    <w:p w:rsidR="00656AC1" w:rsidRPr="00203191" w:rsidRDefault="00656AC1" w:rsidP="00364E4D">
      <w:pPr>
        <w:spacing w:before="120"/>
        <w:rPr>
          <w:rFonts w:ascii="Calibri" w:hAnsi="Calibri" w:cs="Calibri"/>
        </w:rPr>
      </w:pPr>
      <w:r w:rsidRPr="00203191">
        <w:rPr>
          <w:rFonts w:ascii="Calibri" w:hAnsi="Calibri" w:cs="Calibri"/>
        </w:rPr>
        <w:t>Wykonawca wykonując znakowanie z prefabrykowanych elementów odblaskowych przeprowadza, co najmniej raz dziennie , następujące badania:</w:t>
      </w:r>
    </w:p>
    <w:p w:rsidR="00656AC1" w:rsidRPr="00203191" w:rsidRDefault="00656AC1" w:rsidP="00954A11">
      <w:pPr>
        <w:numPr>
          <w:ilvl w:val="0"/>
          <w:numId w:val="1"/>
        </w:numPr>
        <w:rPr>
          <w:rFonts w:ascii="Calibri" w:hAnsi="Calibri" w:cs="Calibri"/>
        </w:rPr>
      </w:pPr>
      <w:r w:rsidRPr="00203191">
        <w:rPr>
          <w:rFonts w:ascii="Calibri" w:hAnsi="Calibri" w:cs="Calibri"/>
        </w:rPr>
        <w:t>sprawdzenie oznakowania opakowań,</w:t>
      </w:r>
    </w:p>
    <w:p w:rsidR="00656AC1" w:rsidRPr="00203191" w:rsidRDefault="00656AC1" w:rsidP="00954A11">
      <w:pPr>
        <w:numPr>
          <w:ilvl w:val="0"/>
          <w:numId w:val="1"/>
        </w:numPr>
        <w:rPr>
          <w:rFonts w:ascii="Calibri" w:hAnsi="Calibri" w:cs="Calibri"/>
        </w:rPr>
      </w:pPr>
      <w:r w:rsidRPr="00203191">
        <w:rPr>
          <w:rFonts w:ascii="Calibri" w:hAnsi="Calibri" w:cs="Calibri"/>
        </w:rPr>
        <w:t xml:space="preserve">sprawdzenie rodzaju stosowanego kleju lub innych elementów mocujących, </w:t>
      </w:r>
    </w:p>
    <w:p w:rsidR="00656AC1" w:rsidRPr="00203191" w:rsidRDefault="00656AC1" w:rsidP="00954A11">
      <w:pPr>
        <w:numPr>
          <w:ilvl w:val="0"/>
          <w:numId w:val="1"/>
        </w:numPr>
        <w:rPr>
          <w:rFonts w:ascii="Calibri" w:hAnsi="Calibri" w:cs="Calibri"/>
        </w:rPr>
      </w:pPr>
      <w:r w:rsidRPr="00203191">
        <w:rPr>
          <w:rFonts w:ascii="Calibri" w:hAnsi="Calibri" w:cs="Calibri"/>
        </w:rPr>
        <w:t>wizualną ocenę stanu elementów, w zakresie ich kompletności i braku wad,</w:t>
      </w:r>
    </w:p>
    <w:p w:rsidR="00656AC1" w:rsidRPr="00203191" w:rsidRDefault="00656AC1" w:rsidP="00954A11">
      <w:pPr>
        <w:numPr>
          <w:ilvl w:val="0"/>
          <w:numId w:val="1"/>
        </w:numPr>
        <w:rPr>
          <w:rFonts w:ascii="Calibri" w:hAnsi="Calibri" w:cs="Calibri"/>
        </w:rPr>
      </w:pPr>
      <w:r w:rsidRPr="00203191">
        <w:rPr>
          <w:rFonts w:ascii="Calibri" w:hAnsi="Calibri" w:cs="Calibri"/>
        </w:rPr>
        <w:t>wilgotności względnej powietrza,</w:t>
      </w:r>
    </w:p>
    <w:p w:rsidR="00656AC1" w:rsidRPr="00203191" w:rsidRDefault="00656AC1" w:rsidP="00954A11">
      <w:pPr>
        <w:numPr>
          <w:ilvl w:val="0"/>
          <w:numId w:val="1"/>
        </w:numPr>
        <w:rPr>
          <w:rFonts w:ascii="Calibri" w:hAnsi="Calibri" w:cs="Calibri"/>
        </w:rPr>
      </w:pPr>
      <w:r w:rsidRPr="00203191">
        <w:rPr>
          <w:rFonts w:ascii="Calibri" w:hAnsi="Calibri" w:cs="Calibri"/>
        </w:rPr>
        <w:t>temperatury powietrza i nawierzchni,</w:t>
      </w:r>
    </w:p>
    <w:p w:rsidR="00656AC1" w:rsidRPr="00203191" w:rsidRDefault="00656AC1" w:rsidP="00954A11">
      <w:pPr>
        <w:numPr>
          <w:ilvl w:val="0"/>
          <w:numId w:val="1"/>
        </w:numPr>
        <w:rPr>
          <w:rFonts w:ascii="Calibri" w:hAnsi="Calibri" w:cs="Calibri"/>
        </w:rPr>
      </w:pPr>
      <w:r w:rsidRPr="00203191">
        <w:rPr>
          <w:rFonts w:ascii="Calibri" w:hAnsi="Calibri" w:cs="Calibri"/>
        </w:rPr>
        <w:t>pomiaru czasu oddania do ruchu (schnięcia),</w:t>
      </w:r>
    </w:p>
    <w:p w:rsidR="00656AC1" w:rsidRPr="00203191" w:rsidRDefault="00656AC1" w:rsidP="00954A11">
      <w:pPr>
        <w:numPr>
          <w:ilvl w:val="0"/>
          <w:numId w:val="1"/>
        </w:numPr>
        <w:rPr>
          <w:rFonts w:ascii="Calibri" w:hAnsi="Calibri" w:cs="Calibri"/>
        </w:rPr>
      </w:pPr>
      <w:r w:rsidRPr="00203191">
        <w:rPr>
          <w:rFonts w:ascii="Calibri" w:hAnsi="Calibri" w:cs="Calibri"/>
        </w:rPr>
        <w:t>wizualną ocenę liniowości przyklejenia elementów,</w:t>
      </w:r>
    </w:p>
    <w:p w:rsidR="00656AC1" w:rsidRPr="00203191" w:rsidRDefault="00656AC1" w:rsidP="00954A11">
      <w:pPr>
        <w:numPr>
          <w:ilvl w:val="0"/>
          <w:numId w:val="1"/>
        </w:numPr>
        <w:rPr>
          <w:rFonts w:ascii="Calibri" w:hAnsi="Calibri" w:cs="Calibri"/>
        </w:rPr>
      </w:pPr>
      <w:r w:rsidRPr="00203191">
        <w:rPr>
          <w:rFonts w:ascii="Calibri" w:hAnsi="Calibri" w:cs="Calibri"/>
        </w:rPr>
        <w:t>równomierności przyklejenia elementów na całej długości linii,</w:t>
      </w:r>
    </w:p>
    <w:p w:rsidR="00656AC1" w:rsidRPr="00203191" w:rsidRDefault="00656AC1" w:rsidP="00954A11">
      <w:pPr>
        <w:numPr>
          <w:ilvl w:val="0"/>
          <w:numId w:val="1"/>
        </w:numPr>
        <w:rPr>
          <w:rFonts w:ascii="Calibri" w:hAnsi="Calibri" w:cs="Calibri"/>
        </w:rPr>
      </w:pPr>
      <w:r w:rsidRPr="00203191">
        <w:rPr>
          <w:rFonts w:ascii="Calibri" w:hAnsi="Calibri" w:cs="Calibri"/>
        </w:rPr>
        <w:t>zgodności wykonania oznakowania z dokumentacja projektową i „Instrukcją o znakach drogowych poziomych”.</w:t>
      </w:r>
    </w:p>
    <w:p w:rsidR="00656AC1" w:rsidRPr="00203191" w:rsidRDefault="00656AC1" w:rsidP="00364E4D">
      <w:pPr>
        <w:rPr>
          <w:rFonts w:ascii="Calibri" w:hAnsi="Calibri" w:cs="Calibri"/>
        </w:rPr>
      </w:pPr>
      <w:r w:rsidRPr="00203191">
        <w:rPr>
          <w:rFonts w:ascii="Calibri" w:hAnsi="Calibri" w:cs="Calibri"/>
        </w:rPr>
        <w:t>Protokół z przeprowadzonych badań wraz z próbkami przyklejanych elementów Wykonawca przechowuje do czasu upływu okresu gwarancji.</w:t>
      </w:r>
    </w:p>
    <w:p w:rsidR="00656AC1" w:rsidRPr="00203191" w:rsidRDefault="00656AC1" w:rsidP="00364E4D">
      <w:pPr>
        <w:rPr>
          <w:rFonts w:ascii="Calibri" w:hAnsi="Calibri" w:cs="Calibri"/>
        </w:rPr>
      </w:pPr>
      <w:r w:rsidRPr="00203191">
        <w:rPr>
          <w:rFonts w:ascii="Calibri" w:hAnsi="Calibri" w:cs="Calibri"/>
        </w:rPr>
        <w:t>W przypadku wątpliwości dotyczących wykonania oznakowania poziomego Inżynier  może zlecić wykonanie badań:</w:t>
      </w:r>
    </w:p>
    <w:p w:rsidR="00656AC1" w:rsidRPr="00203191" w:rsidRDefault="00656AC1" w:rsidP="00954A11">
      <w:pPr>
        <w:numPr>
          <w:ilvl w:val="0"/>
          <w:numId w:val="1"/>
        </w:numPr>
        <w:rPr>
          <w:rFonts w:ascii="Calibri" w:hAnsi="Calibri" w:cs="Calibri"/>
        </w:rPr>
      </w:pPr>
      <w:r w:rsidRPr="00203191">
        <w:rPr>
          <w:rFonts w:ascii="Calibri" w:hAnsi="Calibri" w:cs="Calibri"/>
        </w:rPr>
        <w:t>widzialności w dzień,</w:t>
      </w:r>
    </w:p>
    <w:p w:rsidR="00656AC1" w:rsidRPr="00203191" w:rsidRDefault="00656AC1" w:rsidP="00954A11">
      <w:pPr>
        <w:numPr>
          <w:ilvl w:val="0"/>
          <w:numId w:val="1"/>
        </w:numPr>
        <w:rPr>
          <w:rFonts w:ascii="Calibri" w:hAnsi="Calibri" w:cs="Calibri"/>
        </w:rPr>
      </w:pPr>
      <w:r w:rsidRPr="00203191">
        <w:rPr>
          <w:rFonts w:ascii="Calibri" w:hAnsi="Calibri" w:cs="Calibri"/>
        </w:rPr>
        <w:t>widzialności w nocy,</w:t>
      </w:r>
    </w:p>
    <w:p w:rsidR="00656AC1" w:rsidRPr="00203191" w:rsidRDefault="00656AC1" w:rsidP="00364E4D">
      <w:pPr>
        <w:rPr>
          <w:rFonts w:ascii="Calibri" w:hAnsi="Calibri" w:cs="Calibri"/>
        </w:rPr>
      </w:pPr>
      <w:r w:rsidRPr="00203191">
        <w:rPr>
          <w:rFonts w:ascii="Calibri" w:hAnsi="Calibri" w:cs="Calibri"/>
        </w:rPr>
        <w:t>odpowiadających wymaganiom podanym w punkcie 6.3.1 i wykonanych według metod określonych w „Warunkach technicznych POD-97”. Jeśli wyniki tych badań wykażą wadliwość wykonanego oznakowania to koszt badań ponosi Wykonawca, w przypadku przeciwnym - Zamawiający.</w:t>
      </w:r>
    </w:p>
    <w:p w:rsidR="00656AC1" w:rsidRPr="00203191" w:rsidRDefault="00656AC1" w:rsidP="00364E4D">
      <w:pPr>
        <w:spacing w:before="120" w:after="120"/>
        <w:rPr>
          <w:rFonts w:ascii="Calibri" w:hAnsi="Calibri" w:cs="Calibri"/>
          <w:b/>
          <w:bCs/>
          <w:i/>
          <w:iCs/>
        </w:rPr>
      </w:pPr>
      <w:r w:rsidRPr="00203191">
        <w:rPr>
          <w:rFonts w:ascii="Calibri" w:hAnsi="Calibri" w:cs="Calibri"/>
          <w:b/>
          <w:bCs/>
          <w:i/>
          <w:iCs/>
        </w:rPr>
        <w:t>6.3.4. Zbiorcze zestawienie wymagań dla materiałów i wykonanego oznakowania</w:t>
      </w:r>
    </w:p>
    <w:tbl>
      <w:tblPr>
        <w:tblW w:w="0" w:type="auto"/>
        <w:tblInd w:w="2" w:type="dxa"/>
        <w:tblLayout w:type="fixed"/>
        <w:tblCellMar>
          <w:left w:w="70" w:type="dxa"/>
          <w:right w:w="70" w:type="dxa"/>
        </w:tblCellMar>
        <w:tblLook w:val="0000"/>
      </w:tblPr>
      <w:tblGrid>
        <w:gridCol w:w="496"/>
        <w:gridCol w:w="3402"/>
        <w:gridCol w:w="1275"/>
        <w:gridCol w:w="2692"/>
      </w:tblGrid>
      <w:tr w:rsidR="00B26222" w:rsidRPr="00203191" w:rsidTr="00F435E3">
        <w:tc>
          <w:tcPr>
            <w:tcW w:w="496" w:type="dxa"/>
            <w:tcBorders>
              <w:top w:val="single" w:sz="6" w:space="0" w:color="auto"/>
              <w:left w:val="single" w:sz="6" w:space="0" w:color="auto"/>
            </w:tcBorders>
          </w:tcPr>
          <w:p w:rsidR="00B26222" w:rsidRPr="00203191" w:rsidRDefault="00B26222" w:rsidP="00364E4D">
            <w:pPr>
              <w:rPr>
                <w:rFonts w:ascii="Calibri" w:hAnsi="Calibri" w:cs="Calibri"/>
              </w:rPr>
            </w:pPr>
          </w:p>
        </w:tc>
        <w:tc>
          <w:tcPr>
            <w:tcW w:w="3402" w:type="dxa"/>
            <w:tcBorders>
              <w:top w:val="single" w:sz="6" w:space="0" w:color="auto"/>
              <w:left w:val="single" w:sz="6" w:space="0" w:color="auto"/>
            </w:tcBorders>
          </w:tcPr>
          <w:p w:rsidR="00B26222" w:rsidRPr="00203191" w:rsidRDefault="00B26222" w:rsidP="00364E4D">
            <w:pPr>
              <w:rPr>
                <w:rFonts w:ascii="Calibri" w:hAnsi="Calibri" w:cs="Calibri"/>
              </w:rPr>
            </w:pPr>
          </w:p>
        </w:tc>
        <w:tc>
          <w:tcPr>
            <w:tcW w:w="1275" w:type="dxa"/>
            <w:tcBorders>
              <w:top w:val="single" w:sz="6" w:space="0" w:color="auto"/>
              <w:left w:val="single" w:sz="6" w:space="0" w:color="auto"/>
            </w:tcBorders>
          </w:tcPr>
          <w:p w:rsidR="00B26222" w:rsidRPr="00203191" w:rsidRDefault="00B26222" w:rsidP="00364E4D">
            <w:pPr>
              <w:rPr>
                <w:rFonts w:ascii="Calibri" w:hAnsi="Calibri" w:cs="Calibri"/>
              </w:rPr>
            </w:pPr>
          </w:p>
        </w:tc>
        <w:tc>
          <w:tcPr>
            <w:tcW w:w="2692" w:type="dxa"/>
            <w:vMerge w:val="restart"/>
            <w:tcBorders>
              <w:top w:val="single" w:sz="6" w:space="0" w:color="auto"/>
              <w:left w:val="single" w:sz="6" w:space="0" w:color="auto"/>
              <w:right w:val="single" w:sz="6" w:space="0" w:color="auto"/>
            </w:tcBorders>
          </w:tcPr>
          <w:p w:rsidR="00B26222" w:rsidRPr="00203191" w:rsidRDefault="00B26222" w:rsidP="00B26222">
            <w:pPr>
              <w:jc w:val="center"/>
              <w:rPr>
                <w:rFonts w:ascii="Calibri" w:hAnsi="Calibri" w:cs="Calibri"/>
              </w:rPr>
            </w:pPr>
            <w:r>
              <w:rPr>
                <w:rFonts w:ascii="Calibri" w:hAnsi="Calibri" w:cs="Calibri"/>
              </w:rPr>
              <w:t>Wyroby budowlane</w:t>
            </w:r>
            <w:r w:rsidRPr="00203191">
              <w:rPr>
                <w:rFonts w:ascii="Calibri" w:hAnsi="Calibri" w:cs="Calibri"/>
              </w:rPr>
              <w:t xml:space="preserve"> do znakowania</w:t>
            </w:r>
            <w:r>
              <w:rPr>
                <w:rFonts w:ascii="Calibri" w:hAnsi="Calibri" w:cs="Calibri"/>
              </w:rPr>
              <w:t xml:space="preserve"> </w:t>
            </w:r>
            <w:r w:rsidRPr="00203191">
              <w:rPr>
                <w:rFonts w:ascii="Calibri" w:hAnsi="Calibri" w:cs="Calibri"/>
              </w:rPr>
              <w:t>cienkowarstwowego</w:t>
            </w:r>
          </w:p>
        </w:tc>
      </w:tr>
      <w:tr w:rsidR="00B26222" w:rsidRPr="00203191" w:rsidTr="00F435E3">
        <w:tc>
          <w:tcPr>
            <w:tcW w:w="496" w:type="dxa"/>
            <w:tcBorders>
              <w:left w:val="single" w:sz="6" w:space="0" w:color="auto"/>
            </w:tcBorders>
          </w:tcPr>
          <w:p w:rsidR="00B26222" w:rsidRPr="00203191" w:rsidRDefault="00B26222" w:rsidP="00364E4D">
            <w:pPr>
              <w:rPr>
                <w:rFonts w:ascii="Calibri" w:hAnsi="Calibri" w:cs="Calibri"/>
              </w:rPr>
            </w:pPr>
            <w:r w:rsidRPr="00203191">
              <w:rPr>
                <w:rFonts w:ascii="Calibri" w:hAnsi="Calibri" w:cs="Calibri"/>
              </w:rPr>
              <w:t>Lp.</w:t>
            </w:r>
          </w:p>
        </w:tc>
        <w:tc>
          <w:tcPr>
            <w:tcW w:w="3402" w:type="dxa"/>
            <w:tcBorders>
              <w:left w:val="single" w:sz="6" w:space="0" w:color="auto"/>
            </w:tcBorders>
          </w:tcPr>
          <w:p w:rsidR="00B26222" w:rsidRPr="00203191" w:rsidRDefault="00B26222" w:rsidP="00364E4D">
            <w:pPr>
              <w:rPr>
                <w:rFonts w:ascii="Calibri" w:hAnsi="Calibri" w:cs="Calibri"/>
              </w:rPr>
            </w:pPr>
            <w:r w:rsidRPr="00203191">
              <w:rPr>
                <w:rFonts w:ascii="Calibri" w:hAnsi="Calibri" w:cs="Calibri"/>
              </w:rPr>
              <w:t>Rodzaj wymagania</w:t>
            </w:r>
          </w:p>
        </w:tc>
        <w:tc>
          <w:tcPr>
            <w:tcW w:w="1275" w:type="dxa"/>
            <w:tcBorders>
              <w:left w:val="single" w:sz="6" w:space="0" w:color="auto"/>
            </w:tcBorders>
          </w:tcPr>
          <w:p w:rsidR="00B26222" w:rsidRPr="00203191" w:rsidRDefault="00B26222" w:rsidP="00364E4D">
            <w:pPr>
              <w:rPr>
                <w:rFonts w:ascii="Calibri" w:hAnsi="Calibri" w:cs="Calibri"/>
              </w:rPr>
            </w:pPr>
            <w:r w:rsidRPr="00203191">
              <w:rPr>
                <w:rFonts w:ascii="Calibri" w:hAnsi="Calibri" w:cs="Calibri"/>
              </w:rPr>
              <w:t xml:space="preserve">Jednostka </w:t>
            </w:r>
          </w:p>
        </w:tc>
        <w:tc>
          <w:tcPr>
            <w:tcW w:w="2692" w:type="dxa"/>
            <w:vMerge/>
            <w:tcBorders>
              <w:left w:val="single" w:sz="6" w:space="0" w:color="auto"/>
              <w:right w:val="single" w:sz="6" w:space="0" w:color="auto"/>
            </w:tcBorders>
          </w:tcPr>
          <w:p w:rsidR="00B26222" w:rsidRPr="00203191" w:rsidRDefault="00B26222" w:rsidP="00364E4D">
            <w:pPr>
              <w:rPr>
                <w:rFonts w:ascii="Calibri" w:hAnsi="Calibri" w:cs="Calibri"/>
              </w:rPr>
            </w:pPr>
          </w:p>
        </w:tc>
      </w:tr>
      <w:tr w:rsidR="00B26222" w:rsidRPr="00203191" w:rsidTr="00B26222">
        <w:tc>
          <w:tcPr>
            <w:tcW w:w="496" w:type="dxa"/>
            <w:tcBorders>
              <w:top w:val="doub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1</w:t>
            </w:r>
          </w:p>
        </w:tc>
        <w:tc>
          <w:tcPr>
            <w:tcW w:w="3402" w:type="dxa"/>
            <w:tcBorders>
              <w:top w:val="doub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Zawartość składników lotnych w materiałach do znakowania</w:t>
            </w:r>
          </w:p>
          <w:p w:rsidR="00B26222" w:rsidRPr="00203191" w:rsidRDefault="00B26222" w:rsidP="00364E4D">
            <w:pPr>
              <w:rPr>
                <w:rFonts w:ascii="Calibri" w:hAnsi="Calibri" w:cs="Calibri"/>
              </w:rPr>
            </w:pPr>
            <w:r w:rsidRPr="00203191">
              <w:rPr>
                <w:rFonts w:ascii="Calibri" w:hAnsi="Calibri" w:cs="Calibri"/>
              </w:rPr>
              <w:t>- rozpuszczalników organicznych</w:t>
            </w:r>
          </w:p>
          <w:p w:rsidR="00B26222" w:rsidRPr="00203191" w:rsidRDefault="00B26222" w:rsidP="00364E4D">
            <w:pPr>
              <w:rPr>
                <w:rFonts w:ascii="Calibri" w:hAnsi="Calibri" w:cs="Calibri"/>
              </w:rPr>
            </w:pPr>
            <w:r w:rsidRPr="00203191">
              <w:rPr>
                <w:rFonts w:ascii="Calibri" w:hAnsi="Calibri" w:cs="Calibri"/>
              </w:rPr>
              <w:t>- rozpuszczalników aromatycznych</w:t>
            </w:r>
          </w:p>
          <w:p w:rsidR="00B26222" w:rsidRPr="00203191" w:rsidRDefault="00B26222" w:rsidP="00364E4D">
            <w:pPr>
              <w:rPr>
                <w:rFonts w:ascii="Calibri" w:hAnsi="Calibri" w:cs="Calibri"/>
              </w:rPr>
            </w:pPr>
            <w:r w:rsidRPr="00203191">
              <w:rPr>
                <w:rFonts w:ascii="Calibri" w:hAnsi="Calibri" w:cs="Calibri"/>
              </w:rPr>
              <w:t xml:space="preserve">- benzenu i rozpuszczalników   </w:t>
            </w:r>
          </w:p>
          <w:p w:rsidR="00B26222" w:rsidRPr="00203191" w:rsidRDefault="00B26222" w:rsidP="00364E4D">
            <w:pPr>
              <w:rPr>
                <w:rFonts w:ascii="Calibri" w:hAnsi="Calibri" w:cs="Calibri"/>
              </w:rPr>
            </w:pPr>
            <w:r w:rsidRPr="00203191">
              <w:rPr>
                <w:rFonts w:ascii="Calibri" w:hAnsi="Calibri" w:cs="Calibri"/>
              </w:rPr>
              <w:t xml:space="preserve">   chlorowanych</w:t>
            </w:r>
          </w:p>
        </w:tc>
        <w:tc>
          <w:tcPr>
            <w:tcW w:w="1275" w:type="dxa"/>
            <w:tcBorders>
              <w:top w:val="doub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t>% (m/m)</w:t>
            </w:r>
          </w:p>
          <w:p w:rsidR="00B26222" w:rsidRPr="00203191" w:rsidRDefault="00B26222" w:rsidP="00364E4D">
            <w:pPr>
              <w:rPr>
                <w:rFonts w:ascii="Calibri" w:hAnsi="Calibri" w:cs="Calibri"/>
              </w:rPr>
            </w:pPr>
            <w:r w:rsidRPr="00203191">
              <w:rPr>
                <w:rFonts w:ascii="Calibri" w:hAnsi="Calibri" w:cs="Calibri"/>
              </w:rPr>
              <w:t>% (m/m)</w:t>
            </w:r>
          </w:p>
          <w:p w:rsidR="00B26222" w:rsidRPr="00203191" w:rsidRDefault="00B26222" w:rsidP="00364E4D">
            <w:pPr>
              <w:rPr>
                <w:rFonts w:ascii="Calibri" w:hAnsi="Calibri" w:cs="Calibri"/>
              </w:rPr>
            </w:pPr>
            <w:r w:rsidRPr="00203191">
              <w:rPr>
                <w:rFonts w:ascii="Calibri" w:hAnsi="Calibri" w:cs="Calibri"/>
              </w:rPr>
              <w:t>% (m/m)</w:t>
            </w:r>
          </w:p>
        </w:tc>
        <w:tc>
          <w:tcPr>
            <w:tcW w:w="2692" w:type="dxa"/>
            <w:tcBorders>
              <w:top w:val="doub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Pr>
                <w:rFonts w:ascii="Calibri" w:hAnsi="Calibri" w:cs="Calibri"/>
              </w:rPr>
              <w:t>≤</w:t>
            </w:r>
            <w:r w:rsidRPr="00203191">
              <w:rPr>
                <w:rFonts w:ascii="Calibri" w:hAnsi="Calibri" w:cs="Calibri"/>
              </w:rPr>
              <w:t xml:space="preserve"> 30</w:t>
            </w:r>
          </w:p>
          <w:p w:rsidR="00B26222" w:rsidRPr="00203191" w:rsidRDefault="00B26222" w:rsidP="00364E4D">
            <w:pPr>
              <w:rPr>
                <w:rFonts w:ascii="Calibri" w:hAnsi="Calibri" w:cs="Calibri"/>
              </w:rPr>
            </w:pPr>
            <w:r>
              <w:rPr>
                <w:rFonts w:ascii="Calibri" w:hAnsi="Calibri" w:cs="Calibri"/>
              </w:rPr>
              <w:t>≤</w:t>
            </w:r>
            <w:r w:rsidRPr="00203191">
              <w:rPr>
                <w:rFonts w:ascii="Calibri" w:hAnsi="Calibri" w:cs="Calibri"/>
              </w:rPr>
              <w:t xml:space="preserve"> 10</w:t>
            </w:r>
          </w:p>
          <w:p w:rsidR="00B26222" w:rsidRPr="00203191" w:rsidRDefault="00B26222" w:rsidP="00364E4D">
            <w:pPr>
              <w:rPr>
                <w:rFonts w:ascii="Calibri" w:hAnsi="Calibri" w:cs="Calibri"/>
              </w:rPr>
            </w:pPr>
            <w:r w:rsidRPr="00203191">
              <w:rPr>
                <w:rFonts w:ascii="Calibri" w:hAnsi="Calibri" w:cs="Calibri"/>
              </w:rPr>
              <w:t>0</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2</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Współczynnik załamania światła kulek szklanych</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120"/>
              <w:rPr>
                <w:rFonts w:ascii="Calibri" w:hAnsi="Calibri" w:cs="Calibri"/>
              </w:rPr>
            </w:pPr>
            <w:r w:rsidRPr="00203191">
              <w:rPr>
                <w:rFonts w:ascii="Calibri" w:hAnsi="Calibri" w:cs="Calibri"/>
              </w:rPr>
              <w:t>współcz.</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120"/>
              <w:rPr>
                <w:rFonts w:ascii="Calibri" w:hAnsi="Calibri" w:cs="Calibri"/>
              </w:rPr>
            </w:pPr>
            <w:r w:rsidRPr="00203191">
              <w:rPr>
                <w:rFonts w:ascii="Calibri" w:hAnsi="Calibri" w:cs="Calibri"/>
              </w:rPr>
              <w:sym w:font="Symbol" w:char="F03E"/>
            </w:r>
            <w:r w:rsidRPr="00203191">
              <w:rPr>
                <w:rFonts w:ascii="Calibri" w:hAnsi="Calibri" w:cs="Calibri"/>
              </w:rPr>
              <w:t xml:space="preserve"> 1,5</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3</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Współczynnik luminancji Q w świetle rozproszonym dla oznakowania świeżego barwy:</w:t>
            </w:r>
          </w:p>
          <w:p w:rsidR="00B26222" w:rsidRPr="00203191" w:rsidRDefault="00B26222" w:rsidP="00364E4D">
            <w:pPr>
              <w:rPr>
                <w:rFonts w:ascii="Calibri" w:hAnsi="Calibri" w:cs="Calibri"/>
              </w:rPr>
            </w:pPr>
            <w:r w:rsidRPr="00203191">
              <w:rPr>
                <w:rFonts w:ascii="Calibri" w:hAnsi="Calibri" w:cs="Calibri"/>
              </w:rPr>
              <w:t>- białej na nawierzchni asfaltowej</w:t>
            </w:r>
          </w:p>
          <w:p w:rsidR="00B26222" w:rsidRPr="00203191" w:rsidRDefault="00B26222" w:rsidP="00364E4D">
            <w:pPr>
              <w:rPr>
                <w:rFonts w:ascii="Calibri" w:hAnsi="Calibri" w:cs="Calibri"/>
              </w:rPr>
            </w:pPr>
            <w:r w:rsidRPr="00203191">
              <w:rPr>
                <w:rFonts w:ascii="Calibri" w:hAnsi="Calibri" w:cs="Calibri"/>
              </w:rPr>
              <w:t>- żółtej</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vertAlign w:val="superscript"/>
              </w:rPr>
            </w:pPr>
            <w:r w:rsidRPr="00203191">
              <w:rPr>
                <w:rFonts w:ascii="Calibri" w:hAnsi="Calibri" w:cs="Calibri"/>
              </w:rPr>
              <w:t>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p>
          <w:p w:rsidR="00B26222" w:rsidRPr="00203191" w:rsidRDefault="00B26222" w:rsidP="00364E4D">
            <w:pPr>
              <w:rPr>
                <w:rFonts w:ascii="Calibri" w:hAnsi="Calibri" w:cs="Calibri"/>
              </w:rPr>
            </w:pPr>
            <w:r w:rsidRPr="00203191">
              <w:rPr>
                <w:rFonts w:ascii="Calibri" w:hAnsi="Calibri" w:cs="Calibri"/>
              </w:rPr>
              <w:t>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130</w:t>
            </w: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100</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4</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 xml:space="preserve">Współczynnik luminancji </w:t>
            </w:r>
            <w:r w:rsidRPr="00203191">
              <w:rPr>
                <w:rFonts w:ascii="Calibri" w:hAnsi="Calibri" w:cs="Calibri"/>
              </w:rPr>
              <w:sym w:font="Symbol" w:char="F062"/>
            </w:r>
            <w:r w:rsidRPr="00203191">
              <w:rPr>
                <w:rFonts w:ascii="Calibri" w:hAnsi="Calibri" w:cs="Calibri"/>
              </w:rPr>
              <w:t xml:space="preserve"> dla oznakowania świeżego barwy</w:t>
            </w:r>
          </w:p>
          <w:p w:rsidR="00B26222" w:rsidRPr="00203191" w:rsidRDefault="00B26222" w:rsidP="00364E4D">
            <w:pPr>
              <w:rPr>
                <w:rFonts w:ascii="Calibri" w:hAnsi="Calibri" w:cs="Calibri"/>
              </w:rPr>
            </w:pPr>
            <w:r w:rsidRPr="00203191">
              <w:rPr>
                <w:rFonts w:ascii="Calibri" w:hAnsi="Calibri" w:cs="Calibri"/>
              </w:rPr>
              <w:t>- białej</w:t>
            </w:r>
          </w:p>
          <w:p w:rsidR="00B26222" w:rsidRPr="00203191" w:rsidRDefault="00B26222" w:rsidP="00364E4D">
            <w:pPr>
              <w:rPr>
                <w:rFonts w:ascii="Calibri" w:hAnsi="Calibri" w:cs="Calibri"/>
              </w:rPr>
            </w:pPr>
            <w:r w:rsidRPr="00203191">
              <w:rPr>
                <w:rFonts w:ascii="Calibri" w:hAnsi="Calibri" w:cs="Calibri"/>
              </w:rPr>
              <w:t>- żółtej</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t xml:space="preserve">współcz. </w:t>
            </w:r>
            <w:r w:rsidRPr="00203191">
              <w:rPr>
                <w:rFonts w:ascii="Calibri" w:hAnsi="Calibri" w:cs="Calibri"/>
              </w:rPr>
              <w:sym w:font="Symbol" w:char="F062"/>
            </w:r>
          </w:p>
          <w:p w:rsidR="00B26222" w:rsidRPr="00203191" w:rsidRDefault="00B26222" w:rsidP="00364E4D">
            <w:pPr>
              <w:rPr>
                <w:rFonts w:ascii="Calibri" w:hAnsi="Calibri" w:cs="Calibri"/>
              </w:rPr>
            </w:pPr>
            <w:r w:rsidRPr="00203191">
              <w:rPr>
                <w:rFonts w:ascii="Calibri" w:hAnsi="Calibri" w:cs="Calibri"/>
              </w:rPr>
              <w:t xml:space="preserve">współcz. </w:t>
            </w:r>
            <w:r w:rsidRPr="00203191">
              <w:rPr>
                <w:rFonts w:ascii="Calibri" w:hAnsi="Calibri" w:cs="Calibri"/>
              </w:rPr>
              <w:sym w:font="Symbol" w:char="F062"/>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0,60</w:t>
            </w: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0,40</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5</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Powierzchniowy współczynnik odblasku dla oznakowania świeżego w stanie suchym barwy:</w:t>
            </w:r>
          </w:p>
          <w:p w:rsidR="00B26222" w:rsidRPr="00203191" w:rsidRDefault="00B26222" w:rsidP="00364E4D">
            <w:pPr>
              <w:rPr>
                <w:rFonts w:ascii="Calibri" w:hAnsi="Calibri" w:cs="Calibri"/>
              </w:rPr>
            </w:pPr>
            <w:r w:rsidRPr="00203191">
              <w:rPr>
                <w:rFonts w:ascii="Calibri" w:hAnsi="Calibri" w:cs="Calibri"/>
              </w:rPr>
              <w:t>- białej</w:t>
            </w:r>
          </w:p>
          <w:p w:rsidR="00B26222" w:rsidRPr="00203191" w:rsidRDefault="00B26222" w:rsidP="00364E4D">
            <w:pPr>
              <w:rPr>
                <w:rFonts w:ascii="Calibri" w:hAnsi="Calibri" w:cs="Calibri"/>
              </w:rPr>
            </w:pPr>
            <w:r w:rsidRPr="00203191">
              <w:rPr>
                <w:rFonts w:ascii="Calibri" w:hAnsi="Calibri" w:cs="Calibri"/>
              </w:rPr>
              <w:t>- żółtej</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vertAlign w:val="superscript"/>
              </w:rPr>
            </w:pPr>
            <w:r w:rsidRPr="00203191">
              <w:rPr>
                <w:rFonts w:ascii="Calibri" w:hAnsi="Calibri" w:cs="Calibri"/>
              </w:rPr>
              <w:t>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p>
          <w:p w:rsidR="00B26222" w:rsidRPr="00203191" w:rsidRDefault="00B26222" w:rsidP="00364E4D">
            <w:pPr>
              <w:rPr>
                <w:rFonts w:ascii="Calibri" w:hAnsi="Calibri" w:cs="Calibri"/>
              </w:rPr>
            </w:pPr>
            <w:r w:rsidRPr="00203191">
              <w:rPr>
                <w:rFonts w:ascii="Calibri" w:hAnsi="Calibri" w:cs="Calibri"/>
              </w:rPr>
              <w:t>mcd m</w:t>
            </w:r>
            <w:r w:rsidRPr="00203191">
              <w:rPr>
                <w:rFonts w:ascii="Calibri" w:hAnsi="Calibri" w:cs="Calibri"/>
                <w:vertAlign w:val="superscript"/>
              </w:rPr>
              <w:t>-2</w:t>
            </w:r>
            <w:r w:rsidRPr="00203191">
              <w:rPr>
                <w:rFonts w:ascii="Calibri" w:hAnsi="Calibri" w:cs="Calibri"/>
              </w:rPr>
              <w:t xml:space="preserve"> lx</w:t>
            </w:r>
            <w:r w:rsidRPr="00203191">
              <w:rPr>
                <w:rFonts w:ascii="Calibri" w:hAnsi="Calibri" w:cs="Calibri"/>
                <w:vertAlign w:val="superscript"/>
              </w:rPr>
              <w:t>-1</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300</w:t>
            </w: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200</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6</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Szorstkość oznakowania</w:t>
            </w:r>
          </w:p>
          <w:p w:rsidR="00B26222" w:rsidRPr="00203191" w:rsidRDefault="00B26222" w:rsidP="00364E4D">
            <w:pPr>
              <w:rPr>
                <w:rFonts w:ascii="Calibri" w:hAnsi="Calibri" w:cs="Calibri"/>
              </w:rPr>
            </w:pPr>
            <w:r w:rsidRPr="00203191">
              <w:rPr>
                <w:rFonts w:ascii="Calibri" w:hAnsi="Calibri" w:cs="Calibri"/>
              </w:rPr>
              <w:t>- świeżego</w:t>
            </w:r>
          </w:p>
          <w:p w:rsidR="00B26222" w:rsidRPr="00203191" w:rsidRDefault="00B26222" w:rsidP="00364E4D">
            <w:pPr>
              <w:rPr>
                <w:rFonts w:ascii="Calibri" w:hAnsi="Calibri" w:cs="Calibri"/>
              </w:rPr>
            </w:pPr>
            <w:r w:rsidRPr="00203191">
              <w:rPr>
                <w:rFonts w:ascii="Calibri" w:hAnsi="Calibri" w:cs="Calibri"/>
              </w:rPr>
              <w:t>- używanego (po 3 mies.)</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wskaźnik</w:t>
            </w:r>
          </w:p>
          <w:p w:rsidR="00B26222" w:rsidRPr="00203191" w:rsidRDefault="00B26222" w:rsidP="00364E4D">
            <w:pPr>
              <w:rPr>
                <w:rFonts w:ascii="Calibri" w:hAnsi="Calibri" w:cs="Calibri"/>
              </w:rPr>
            </w:pPr>
            <w:r w:rsidRPr="00203191">
              <w:rPr>
                <w:rFonts w:ascii="Calibri" w:hAnsi="Calibri" w:cs="Calibri"/>
              </w:rPr>
              <w:t>SRT</w:t>
            </w:r>
          </w:p>
          <w:p w:rsidR="00B26222" w:rsidRPr="00203191" w:rsidRDefault="00B26222" w:rsidP="00364E4D">
            <w:pPr>
              <w:rPr>
                <w:rFonts w:ascii="Calibri" w:hAnsi="Calibri" w:cs="Calibri"/>
              </w:rPr>
            </w:pPr>
            <w:r w:rsidRPr="00203191">
              <w:rPr>
                <w:rFonts w:ascii="Calibri" w:hAnsi="Calibri" w:cs="Calibri"/>
              </w:rPr>
              <w:t>SRT</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50</w:t>
            </w: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45</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7</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Trwałość oznakowania wykonanego:</w:t>
            </w:r>
          </w:p>
          <w:p w:rsidR="00B26222" w:rsidRPr="00203191" w:rsidRDefault="00B26222" w:rsidP="00364E4D">
            <w:pPr>
              <w:rPr>
                <w:rFonts w:ascii="Calibri" w:hAnsi="Calibri" w:cs="Calibri"/>
              </w:rPr>
            </w:pPr>
            <w:r w:rsidRPr="00203191">
              <w:rPr>
                <w:rFonts w:ascii="Calibri" w:hAnsi="Calibri" w:cs="Calibri"/>
              </w:rPr>
              <w:t>- farbami wodorozcieńczalnymi</w:t>
            </w:r>
          </w:p>
          <w:p w:rsidR="00B26222" w:rsidRPr="00203191" w:rsidRDefault="00B26222" w:rsidP="00364E4D">
            <w:pPr>
              <w:rPr>
                <w:rFonts w:ascii="Calibri" w:hAnsi="Calibri" w:cs="Calibri"/>
              </w:rPr>
            </w:pPr>
            <w:r w:rsidRPr="00203191">
              <w:rPr>
                <w:rFonts w:ascii="Calibri" w:hAnsi="Calibri" w:cs="Calibri"/>
              </w:rPr>
              <w:t>- pozostałymi materiałami</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t>wskaźnik</w:t>
            </w:r>
          </w:p>
          <w:p w:rsidR="00B26222" w:rsidRPr="00203191" w:rsidRDefault="00B26222" w:rsidP="00364E4D">
            <w:pPr>
              <w:rPr>
                <w:rFonts w:ascii="Calibri" w:hAnsi="Calibri" w:cs="Calibri"/>
              </w:rPr>
            </w:pPr>
            <w:r w:rsidRPr="00203191">
              <w:rPr>
                <w:rFonts w:ascii="Calibri" w:hAnsi="Calibri" w:cs="Calibri"/>
              </w:rPr>
              <w:t>wskaźnik</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5</w:t>
            </w:r>
          </w:p>
          <w:p w:rsidR="00B26222" w:rsidRPr="00203191" w:rsidRDefault="00B26222" w:rsidP="00364E4D">
            <w:pPr>
              <w:rPr>
                <w:rFonts w:ascii="Calibri" w:hAnsi="Calibri" w:cs="Calibri"/>
              </w:rPr>
            </w:pPr>
            <w:r w:rsidRPr="00203191">
              <w:rPr>
                <w:rFonts w:ascii="Calibri" w:hAnsi="Calibri" w:cs="Calibri"/>
              </w:rPr>
              <w:sym w:font="Symbol" w:char="F0B3"/>
            </w:r>
            <w:r w:rsidRPr="00203191">
              <w:rPr>
                <w:rFonts w:ascii="Calibri" w:hAnsi="Calibri" w:cs="Calibri"/>
              </w:rPr>
              <w:t xml:space="preserve"> 6</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60" w:after="60"/>
              <w:rPr>
                <w:rFonts w:ascii="Calibri" w:hAnsi="Calibri" w:cs="Calibri"/>
              </w:rPr>
            </w:pPr>
            <w:r w:rsidRPr="00203191">
              <w:rPr>
                <w:rFonts w:ascii="Calibri" w:hAnsi="Calibri" w:cs="Calibri"/>
              </w:rPr>
              <w:t>8</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60" w:after="60"/>
              <w:rPr>
                <w:rFonts w:ascii="Calibri" w:hAnsi="Calibri" w:cs="Calibri"/>
              </w:rPr>
            </w:pPr>
            <w:r w:rsidRPr="00203191">
              <w:rPr>
                <w:rFonts w:ascii="Calibri" w:hAnsi="Calibri" w:cs="Calibri"/>
              </w:rPr>
              <w:t>Czas schnięcia materiału na nawierzchni</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60" w:after="60"/>
              <w:rPr>
                <w:rFonts w:ascii="Calibri" w:hAnsi="Calibri" w:cs="Calibri"/>
              </w:rPr>
            </w:pPr>
            <w:r w:rsidRPr="00203191">
              <w:rPr>
                <w:rFonts w:ascii="Calibri" w:hAnsi="Calibri" w:cs="Calibri"/>
              </w:rPr>
              <w:t>h</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60" w:after="60"/>
              <w:rPr>
                <w:rFonts w:ascii="Calibri" w:hAnsi="Calibri" w:cs="Calibri"/>
              </w:rPr>
            </w:pPr>
            <w:r>
              <w:rPr>
                <w:rFonts w:ascii="Calibri" w:hAnsi="Calibri" w:cs="Calibri"/>
              </w:rPr>
              <w:t>≤</w:t>
            </w:r>
            <w:r w:rsidRPr="00203191">
              <w:rPr>
                <w:rFonts w:ascii="Calibri" w:hAnsi="Calibri" w:cs="Calibri"/>
              </w:rPr>
              <w:t xml:space="preserve"> 2</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9</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Grubość oznakowania nad powierzchnią nawierzchni</w:t>
            </w:r>
          </w:p>
          <w:p w:rsidR="00B26222" w:rsidRPr="00203191" w:rsidRDefault="00B26222" w:rsidP="00364E4D">
            <w:pPr>
              <w:rPr>
                <w:rFonts w:ascii="Calibri" w:hAnsi="Calibri" w:cs="Calibri"/>
              </w:rPr>
            </w:pPr>
            <w:r w:rsidRPr="00203191">
              <w:rPr>
                <w:rFonts w:ascii="Calibri" w:hAnsi="Calibri" w:cs="Calibri"/>
              </w:rPr>
              <w:t>- bez mikrokulek szklanych</w:t>
            </w:r>
          </w:p>
          <w:p w:rsidR="00B26222" w:rsidRPr="00203191" w:rsidRDefault="00B26222" w:rsidP="00364E4D">
            <w:pPr>
              <w:rPr>
                <w:rFonts w:ascii="Calibri" w:hAnsi="Calibri" w:cs="Calibri"/>
              </w:rPr>
            </w:pPr>
            <w:r w:rsidRPr="00203191">
              <w:rPr>
                <w:rFonts w:ascii="Calibri" w:hAnsi="Calibri" w:cs="Calibri"/>
              </w:rPr>
              <w:t>- z mikrokulkami szklanymi</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sidRPr="00203191">
              <w:rPr>
                <w:rFonts w:ascii="Calibri" w:hAnsi="Calibri" w:cs="Calibri"/>
              </w:rPr>
              <w:sym w:font="Symbol" w:char="F06D"/>
            </w:r>
            <w:r w:rsidRPr="00203191">
              <w:rPr>
                <w:rFonts w:ascii="Calibri" w:hAnsi="Calibri" w:cs="Calibri"/>
              </w:rPr>
              <w:t>m</w:t>
            </w:r>
          </w:p>
          <w:p w:rsidR="00B26222" w:rsidRPr="00203191" w:rsidRDefault="00B26222" w:rsidP="00364E4D">
            <w:pPr>
              <w:rPr>
                <w:rFonts w:ascii="Calibri" w:hAnsi="Calibri" w:cs="Calibri"/>
              </w:rPr>
            </w:pPr>
            <w:r w:rsidRPr="00203191">
              <w:rPr>
                <w:rFonts w:ascii="Calibri" w:hAnsi="Calibri" w:cs="Calibri"/>
              </w:rPr>
              <w:t>mm</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p>
          <w:p w:rsidR="00B26222" w:rsidRPr="00203191" w:rsidRDefault="00B26222" w:rsidP="00364E4D">
            <w:pPr>
              <w:rPr>
                <w:rFonts w:ascii="Calibri" w:hAnsi="Calibri" w:cs="Calibri"/>
              </w:rPr>
            </w:pPr>
            <w:r>
              <w:rPr>
                <w:rFonts w:ascii="Calibri" w:hAnsi="Calibri" w:cs="Calibri"/>
              </w:rPr>
              <w:t>≤</w:t>
            </w:r>
            <w:r w:rsidRPr="00203191">
              <w:rPr>
                <w:rFonts w:ascii="Calibri" w:hAnsi="Calibri" w:cs="Calibri"/>
              </w:rPr>
              <w:t xml:space="preserve"> 800</w:t>
            </w:r>
          </w:p>
          <w:p w:rsidR="00B26222" w:rsidRPr="00203191" w:rsidRDefault="00B26222" w:rsidP="00364E4D">
            <w:pPr>
              <w:rPr>
                <w:rFonts w:ascii="Calibri" w:hAnsi="Calibri" w:cs="Calibri"/>
              </w:rPr>
            </w:pPr>
            <w:r w:rsidRPr="00203191">
              <w:rPr>
                <w:rFonts w:ascii="Calibri" w:hAnsi="Calibri" w:cs="Calibri"/>
              </w:rPr>
              <w:t>-</w:t>
            </w:r>
          </w:p>
        </w:tc>
      </w:tr>
      <w:tr w:rsidR="00B26222" w:rsidRPr="00203191" w:rsidTr="00B26222">
        <w:tc>
          <w:tcPr>
            <w:tcW w:w="496"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10</w:t>
            </w:r>
          </w:p>
        </w:tc>
        <w:tc>
          <w:tcPr>
            <w:tcW w:w="340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rPr>
                <w:rFonts w:ascii="Calibri" w:hAnsi="Calibri" w:cs="Calibri"/>
              </w:rPr>
            </w:pPr>
            <w:r w:rsidRPr="00203191">
              <w:rPr>
                <w:rFonts w:ascii="Calibri" w:hAnsi="Calibri" w:cs="Calibri"/>
              </w:rPr>
              <w:t>Okres stałości właściwości materiałów do znakowania przy składowaniu</w:t>
            </w:r>
          </w:p>
        </w:tc>
        <w:tc>
          <w:tcPr>
            <w:tcW w:w="1275"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120"/>
              <w:rPr>
                <w:rFonts w:ascii="Calibri" w:hAnsi="Calibri" w:cs="Calibri"/>
              </w:rPr>
            </w:pPr>
            <w:r w:rsidRPr="00203191">
              <w:rPr>
                <w:rFonts w:ascii="Calibri" w:hAnsi="Calibri" w:cs="Calibri"/>
              </w:rPr>
              <w:t>miesięcy</w:t>
            </w:r>
          </w:p>
        </w:tc>
        <w:tc>
          <w:tcPr>
            <w:tcW w:w="2692" w:type="dxa"/>
            <w:tcBorders>
              <w:top w:val="single" w:sz="6" w:space="0" w:color="auto"/>
              <w:left w:val="single" w:sz="6" w:space="0" w:color="auto"/>
              <w:bottom w:val="single" w:sz="6" w:space="0" w:color="auto"/>
              <w:right w:val="single" w:sz="6" w:space="0" w:color="auto"/>
            </w:tcBorders>
          </w:tcPr>
          <w:p w:rsidR="00B26222" w:rsidRPr="00203191" w:rsidRDefault="00B26222" w:rsidP="00364E4D">
            <w:pPr>
              <w:spacing w:before="120"/>
              <w:rPr>
                <w:rFonts w:ascii="Calibri" w:hAnsi="Calibri" w:cs="Calibri"/>
              </w:rPr>
            </w:pPr>
            <w:r w:rsidRPr="00203191">
              <w:rPr>
                <w:rFonts w:ascii="Calibri" w:hAnsi="Calibri" w:cs="Calibri"/>
              </w:rPr>
              <w:sym w:font="Symbol" w:char="F0B3"/>
            </w:r>
            <w:r w:rsidRPr="00203191">
              <w:rPr>
                <w:rFonts w:ascii="Calibri" w:hAnsi="Calibri" w:cs="Calibri"/>
              </w:rPr>
              <w:t xml:space="preserve"> 6</w:t>
            </w:r>
          </w:p>
        </w:tc>
      </w:tr>
    </w:tbl>
    <w:p w:rsidR="00656AC1" w:rsidRPr="00203191" w:rsidRDefault="00656AC1" w:rsidP="00364E4D">
      <w:pPr>
        <w:spacing w:before="120"/>
        <w:rPr>
          <w:rFonts w:ascii="Calibri" w:hAnsi="Calibri" w:cs="Calibri"/>
        </w:rPr>
      </w:pPr>
    </w:p>
    <w:p w:rsidR="00656AC1" w:rsidRPr="00203191" w:rsidRDefault="00656AC1" w:rsidP="00364E4D">
      <w:pPr>
        <w:pStyle w:val="Nagwek4"/>
        <w:rPr>
          <w:rFonts w:ascii="Calibri" w:hAnsi="Calibri" w:cs="Calibri"/>
        </w:rPr>
      </w:pPr>
      <w:bookmarkStart w:id="1106" w:name="_Toc235079977"/>
      <w:r w:rsidRPr="00203191">
        <w:rPr>
          <w:rFonts w:ascii="Calibri" w:hAnsi="Calibri" w:cs="Calibri"/>
        </w:rPr>
        <w:t>6.4. Tolerancje wymiarów oznakowania</w:t>
      </w:r>
      <w:bookmarkEnd w:id="1106"/>
    </w:p>
    <w:p w:rsidR="00656AC1" w:rsidRPr="00203191" w:rsidRDefault="00656AC1" w:rsidP="00364E4D">
      <w:pPr>
        <w:rPr>
          <w:rFonts w:ascii="Calibri" w:hAnsi="Calibri" w:cs="Calibri"/>
          <w:b/>
          <w:bCs/>
          <w:i/>
          <w:iCs/>
        </w:rPr>
      </w:pPr>
      <w:r w:rsidRPr="00203191">
        <w:rPr>
          <w:rFonts w:ascii="Calibri" w:hAnsi="Calibri" w:cs="Calibri"/>
          <w:b/>
          <w:bCs/>
          <w:i/>
          <w:iCs/>
        </w:rPr>
        <w:t>6.4.1. Tolerancje nowo wykonanego oznakowania</w:t>
      </w:r>
    </w:p>
    <w:p w:rsidR="00656AC1" w:rsidRPr="00203191" w:rsidRDefault="00656AC1" w:rsidP="00364E4D">
      <w:pPr>
        <w:spacing w:before="120"/>
        <w:rPr>
          <w:rFonts w:ascii="Calibri" w:hAnsi="Calibri" w:cs="Calibri"/>
        </w:rPr>
      </w:pPr>
      <w:r w:rsidRPr="00203191">
        <w:rPr>
          <w:rFonts w:ascii="Calibri" w:hAnsi="Calibri" w:cs="Calibri"/>
        </w:rPr>
        <w:t>Tolerancje nowo wykonanego oznakowania poziomego, zgodnego z dokumentacją projektową i „Instrukcją o znakach drogowych poziomych”, powinny odpowiadać następującym warunkom:</w:t>
      </w:r>
    </w:p>
    <w:p w:rsidR="00656AC1" w:rsidRPr="00203191" w:rsidRDefault="00656AC1" w:rsidP="00954A11">
      <w:pPr>
        <w:numPr>
          <w:ilvl w:val="0"/>
          <w:numId w:val="1"/>
        </w:numPr>
        <w:rPr>
          <w:rFonts w:ascii="Calibri" w:hAnsi="Calibri" w:cs="Calibri"/>
        </w:rPr>
      </w:pPr>
      <w:r w:rsidRPr="00203191">
        <w:rPr>
          <w:rFonts w:ascii="Calibri" w:hAnsi="Calibri" w:cs="Calibri"/>
        </w:rPr>
        <w:t xml:space="preserve">szerokość linii może różnić się od wymaganej o </w:t>
      </w:r>
      <w:r>
        <w:rPr>
          <w:rFonts w:ascii="Calibri" w:hAnsi="Calibri" w:cs="Calibri"/>
        </w:rPr>
        <w:t>±</w:t>
      </w:r>
      <w:r w:rsidRPr="00203191">
        <w:rPr>
          <w:rFonts w:ascii="Calibri" w:hAnsi="Calibri" w:cs="Calibri"/>
        </w:rPr>
        <w:t xml:space="preserve"> 5 mm,</w:t>
      </w:r>
    </w:p>
    <w:p w:rsidR="00656AC1" w:rsidRPr="00203191" w:rsidRDefault="00656AC1" w:rsidP="00954A11">
      <w:pPr>
        <w:numPr>
          <w:ilvl w:val="0"/>
          <w:numId w:val="1"/>
        </w:numPr>
        <w:rPr>
          <w:rFonts w:ascii="Calibri" w:hAnsi="Calibri" w:cs="Calibri"/>
        </w:rPr>
      </w:pPr>
      <w:r w:rsidRPr="00203191">
        <w:rPr>
          <w:rFonts w:ascii="Calibri" w:hAnsi="Calibri" w:cs="Calibri"/>
        </w:rPr>
        <w:t>długość linii może być mniejsza od wymaganej co najwyżej o 50 mm lub większa co najwyżej o 150 mm,</w:t>
      </w:r>
    </w:p>
    <w:p w:rsidR="00656AC1" w:rsidRPr="00203191" w:rsidRDefault="00656AC1" w:rsidP="00954A11">
      <w:pPr>
        <w:numPr>
          <w:ilvl w:val="0"/>
          <w:numId w:val="1"/>
        </w:numPr>
        <w:rPr>
          <w:rFonts w:ascii="Calibri" w:hAnsi="Calibri" w:cs="Calibri"/>
        </w:rPr>
      </w:pPr>
      <w:r w:rsidRPr="00203191">
        <w:rPr>
          <w:rFonts w:ascii="Calibri" w:hAnsi="Calibri" w:cs="Calibri"/>
        </w:rPr>
        <w:t xml:space="preserve">dla linii przerywanych, długość cyklu składającego się z linii i przerwy nie może odbiegać od średniej liczonej z 10 kolejnych cykli o więcej niż </w:t>
      </w:r>
      <w:r>
        <w:rPr>
          <w:rFonts w:ascii="Calibri" w:hAnsi="Calibri" w:cs="Calibri"/>
        </w:rPr>
        <w:t>±</w:t>
      </w:r>
      <w:r w:rsidRPr="00203191">
        <w:rPr>
          <w:rFonts w:ascii="Calibri" w:hAnsi="Calibri" w:cs="Calibri"/>
        </w:rPr>
        <w:t xml:space="preserve"> 50 mm długości wymaganej,</w:t>
      </w:r>
    </w:p>
    <w:p w:rsidR="00656AC1" w:rsidRPr="00203191" w:rsidRDefault="00656AC1" w:rsidP="00954A11">
      <w:pPr>
        <w:numPr>
          <w:ilvl w:val="0"/>
          <w:numId w:val="1"/>
        </w:numPr>
        <w:rPr>
          <w:rFonts w:ascii="Calibri" w:hAnsi="Calibri" w:cs="Calibri"/>
        </w:rPr>
      </w:pPr>
      <w:r w:rsidRPr="00203191">
        <w:rPr>
          <w:rFonts w:ascii="Calibri" w:hAnsi="Calibri" w:cs="Calibri"/>
        </w:rPr>
        <w:t xml:space="preserve">dla strzałek, liter i cyfr rozstaw punktów narożnikowych nie może mieć większej odchyłki od wymaganego wzoru niż </w:t>
      </w:r>
      <w:r>
        <w:rPr>
          <w:rFonts w:ascii="Calibri" w:hAnsi="Calibri" w:cs="Calibri"/>
        </w:rPr>
        <w:t>±</w:t>
      </w:r>
      <w:r w:rsidRPr="00203191">
        <w:rPr>
          <w:rFonts w:ascii="Calibri" w:hAnsi="Calibri" w:cs="Calibri"/>
        </w:rPr>
        <w:t xml:space="preserve"> 50 mm dla wymiaru długości i </w:t>
      </w:r>
      <w:r>
        <w:rPr>
          <w:rFonts w:ascii="Calibri" w:hAnsi="Calibri" w:cs="Calibri"/>
        </w:rPr>
        <w:t>±</w:t>
      </w:r>
      <w:r w:rsidRPr="00203191">
        <w:rPr>
          <w:rFonts w:ascii="Calibri" w:hAnsi="Calibri" w:cs="Calibri"/>
        </w:rPr>
        <w:t xml:space="preserve"> 20 mm dla wymiaru szerokości.</w:t>
      </w:r>
    </w:p>
    <w:p w:rsidR="00656AC1" w:rsidRPr="00203191" w:rsidRDefault="00656AC1" w:rsidP="00364E4D">
      <w:pPr>
        <w:pStyle w:val="Nagwek3"/>
        <w:tabs>
          <w:tab w:val="num" w:pos="0"/>
        </w:tabs>
        <w:rPr>
          <w:rFonts w:ascii="Calibri" w:hAnsi="Calibri" w:cs="Calibri"/>
        </w:rPr>
      </w:pPr>
      <w:bookmarkStart w:id="1107" w:name="_Toc420816686"/>
      <w:bookmarkStart w:id="1108" w:name="_Toc235079978"/>
      <w:r w:rsidRPr="00203191">
        <w:rPr>
          <w:rFonts w:ascii="Calibri" w:hAnsi="Calibri" w:cs="Calibri"/>
        </w:rPr>
        <w:lastRenderedPageBreak/>
        <w:t>7. Obmiar robót</w:t>
      </w:r>
      <w:bookmarkEnd w:id="1107"/>
      <w:bookmarkEnd w:id="1108"/>
    </w:p>
    <w:p w:rsidR="00ED260C" w:rsidRPr="00203191" w:rsidRDefault="00ED260C" w:rsidP="00ED260C">
      <w:pPr>
        <w:pStyle w:val="Nagwek4"/>
        <w:rPr>
          <w:rFonts w:asciiTheme="minorHAnsi" w:hAnsiTheme="minorHAnsi"/>
        </w:rPr>
      </w:pPr>
      <w:bookmarkStart w:id="1109" w:name="_Toc235079979"/>
      <w:r w:rsidRPr="00203191">
        <w:rPr>
          <w:rFonts w:asciiTheme="minorHAnsi" w:hAnsiTheme="minorHAnsi"/>
        </w:rPr>
        <w:t>7.1. Ogólne zasady obmiaru robót</w:t>
      </w:r>
      <w:bookmarkEnd w:id="1109"/>
    </w:p>
    <w:p w:rsidR="00ED260C" w:rsidRPr="00203191" w:rsidRDefault="00ED260C" w:rsidP="00ED260C">
      <w:pPr>
        <w:rPr>
          <w:rFonts w:asciiTheme="minorHAnsi" w:hAnsiTheme="minorHAnsi"/>
        </w:rPr>
      </w:pPr>
      <w:r w:rsidRPr="00203191">
        <w:rPr>
          <w:rFonts w:asciiTheme="minorHAnsi" w:hAnsiTheme="minorHAnsi"/>
        </w:rPr>
        <w:t>Ogólne zasady obmiaru robót podano w SSTWiORB D-M-00.00.00 „Wymagania ogólne” pkt 7.</w:t>
      </w:r>
    </w:p>
    <w:p w:rsidR="00ED260C" w:rsidRPr="00203191" w:rsidRDefault="00ED260C" w:rsidP="00ED260C">
      <w:pPr>
        <w:pStyle w:val="Nagwek4"/>
        <w:rPr>
          <w:rFonts w:asciiTheme="minorHAnsi" w:hAnsiTheme="minorHAnsi"/>
        </w:rPr>
      </w:pPr>
      <w:bookmarkStart w:id="1110" w:name="_Toc235079980"/>
      <w:r w:rsidRPr="00203191">
        <w:rPr>
          <w:rFonts w:asciiTheme="minorHAnsi" w:hAnsiTheme="minorHAnsi"/>
        </w:rPr>
        <w:t>7.2. Jednostka obmiarowa</w:t>
      </w:r>
      <w:bookmarkEnd w:id="1110"/>
    </w:p>
    <w:p w:rsidR="00ED260C" w:rsidRPr="00203191" w:rsidRDefault="00ED260C" w:rsidP="00ED260C">
      <w:pPr>
        <w:spacing w:after="120"/>
        <w:rPr>
          <w:rFonts w:asciiTheme="minorHAnsi" w:hAnsiTheme="minorHAnsi"/>
        </w:rPr>
      </w:pPr>
      <w:r w:rsidRPr="00203191">
        <w:rPr>
          <w:rFonts w:asciiTheme="minorHAnsi" w:hAnsiTheme="minorHAnsi"/>
        </w:rPr>
        <w:t>Jednostką obmiarową oznakowania poziomego jest m</w:t>
      </w:r>
      <w:r w:rsidRPr="00203191">
        <w:rPr>
          <w:rFonts w:asciiTheme="minorHAnsi" w:hAnsiTheme="minorHAnsi"/>
          <w:vertAlign w:val="superscript"/>
        </w:rPr>
        <w:t>2</w:t>
      </w:r>
      <w:r w:rsidRPr="00203191">
        <w:rPr>
          <w:rFonts w:asciiTheme="minorHAnsi" w:hAnsiTheme="minorHAnsi"/>
        </w:rPr>
        <w:t xml:space="preserve"> (metr kwadratowy) powierzchni naniesionych znaków lub liczba umieszczonych punktowych elementów odblaskowych.</w:t>
      </w:r>
    </w:p>
    <w:p w:rsidR="00656AC1" w:rsidRPr="00203191" w:rsidRDefault="00656AC1" w:rsidP="00364E4D">
      <w:pPr>
        <w:pStyle w:val="Nagwek3"/>
        <w:tabs>
          <w:tab w:val="num" w:pos="0"/>
        </w:tabs>
        <w:rPr>
          <w:rFonts w:ascii="Calibri" w:hAnsi="Calibri" w:cs="Calibri"/>
        </w:rPr>
      </w:pPr>
      <w:bookmarkStart w:id="1111" w:name="_Toc420816687"/>
      <w:bookmarkStart w:id="1112" w:name="_Toc235079981"/>
      <w:r w:rsidRPr="00203191">
        <w:rPr>
          <w:rFonts w:ascii="Calibri" w:hAnsi="Calibri" w:cs="Calibri"/>
        </w:rPr>
        <w:t>8. odbiór robót</w:t>
      </w:r>
      <w:bookmarkEnd w:id="1111"/>
      <w:bookmarkEnd w:id="1112"/>
    </w:p>
    <w:p w:rsidR="00656AC1" w:rsidRPr="00203191" w:rsidRDefault="00656AC1" w:rsidP="00364E4D">
      <w:pPr>
        <w:pStyle w:val="Nagwek4"/>
        <w:rPr>
          <w:rFonts w:ascii="Calibri" w:hAnsi="Calibri" w:cs="Calibri"/>
        </w:rPr>
      </w:pPr>
      <w:bookmarkStart w:id="1113" w:name="_Toc235079982"/>
      <w:r w:rsidRPr="00203191">
        <w:rPr>
          <w:rFonts w:ascii="Calibri" w:hAnsi="Calibri" w:cs="Calibri"/>
        </w:rPr>
        <w:t>8.1. Ogólne zasady odbioru robót</w:t>
      </w:r>
      <w:bookmarkEnd w:id="1113"/>
    </w:p>
    <w:p w:rsidR="00656AC1" w:rsidRPr="00203191" w:rsidRDefault="00656AC1" w:rsidP="00364E4D">
      <w:pPr>
        <w:rPr>
          <w:rFonts w:ascii="Calibri" w:hAnsi="Calibri" w:cs="Calibri"/>
        </w:rPr>
      </w:pPr>
      <w:r w:rsidRPr="00203191">
        <w:rPr>
          <w:rFonts w:ascii="Calibri" w:hAnsi="Calibri" w:cs="Calibri"/>
        </w:rPr>
        <w:t xml:space="preserve">Ogólne zasady odbioru robót podano w </w:t>
      </w:r>
      <w:r w:rsidR="005B48CA">
        <w:rPr>
          <w:rFonts w:ascii="Calibri" w:hAnsi="Calibri" w:cs="Calibri"/>
        </w:rPr>
        <w:t>STWiORB</w:t>
      </w:r>
      <w:r w:rsidRPr="00203191">
        <w:rPr>
          <w:rFonts w:ascii="Calibri" w:hAnsi="Calibri" w:cs="Calibri"/>
        </w:rPr>
        <w:t xml:space="preserve"> D-M-00.00.00 „Wymagania ogólne” pkt 8.</w:t>
      </w:r>
    </w:p>
    <w:p w:rsidR="00656AC1" w:rsidRPr="00203191" w:rsidRDefault="00656AC1" w:rsidP="00364E4D">
      <w:pPr>
        <w:rPr>
          <w:rFonts w:ascii="Calibri" w:hAnsi="Calibri" w:cs="Calibri"/>
        </w:rPr>
      </w:pPr>
      <w:r w:rsidRPr="00203191">
        <w:rPr>
          <w:rFonts w:ascii="Calibri" w:hAnsi="Calibri" w:cs="Calibri"/>
        </w:rPr>
        <w:t xml:space="preserve">Roboty uznaje się za wykonane zgodnie z dokumentacją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pkt 6, dały wyniki pozytywne.</w:t>
      </w:r>
    </w:p>
    <w:p w:rsidR="00656AC1" w:rsidRPr="00203191" w:rsidRDefault="00656AC1" w:rsidP="00364E4D">
      <w:pPr>
        <w:pStyle w:val="Nagwek4"/>
        <w:rPr>
          <w:rFonts w:ascii="Calibri" w:hAnsi="Calibri" w:cs="Calibri"/>
        </w:rPr>
      </w:pPr>
      <w:bookmarkStart w:id="1114" w:name="_Toc235079983"/>
      <w:r w:rsidRPr="00203191">
        <w:rPr>
          <w:rFonts w:ascii="Calibri" w:hAnsi="Calibri" w:cs="Calibri"/>
        </w:rPr>
        <w:t>8.2. Odbiór robót zanikających i ulegających zakryciu</w:t>
      </w:r>
      <w:bookmarkEnd w:id="1114"/>
    </w:p>
    <w:p w:rsidR="00656AC1" w:rsidRPr="00203191" w:rsidRDefault="00656AC1" w:rsidP="00364E4D">
      <w:pPr>
        <w:rPr>
          <w:rFonts w:ascii="Calibri" w:hAnsi="Calibri" w:cs="Calibri"/>
        </w:rPr>
      </w:pPr>
      <w:r w:rsidRPr="00203191">
        <w:rPr>
          <w:rFonts w:ascii="Calibri" w:hAnsi="Calibri" w:cs="Calibri"/>
        </w:rPr>
        <w:t>Odbiór robót zanikających i ulegających zakryciu, w zależności od przyjętego sposobu wykonania robót, może być dokonany po:</w:t>
      </w:r>
    </w:p>
    <w:p w:rsidR="00656AC1" w:rsidRPr="00203191" w:rsidRDefault="00656AC1" w:rsidP="00954A11">
      <w:pPr>
        <w:numPr>
          <w:ilvl w:val="0"/>
          <w:numId w:val="1"/>
        </w:numPr>
        <w:rPr>
          <w:rFonts w:ascii="Calibri" w:hAnsi="Calibri" w:cs="Calibri"/>
        </w:rPr>
      </w:pPr>
      <w:r w:rsidRPr="00203191">
        <w:rPr>
          <w:rFonts w:ascii="Calibri" w:hAnsi="Calibri" w:cs="Calibri"/>
        </w:rPr>
        <w:t>oczyszczeniu powierzchni nawierzchni,</w:t>
      </w:r>
    </w:p>
    <w:p w:rsidR="00656AC1" w:rsidRPr="00203191" w:rsidRDefault="00656AC1" w:rsidP="00954A11">
      <w:pPr>
        <w:numPr>
          <w:ilvl w:val="0"/>
          <w:numId w:val="1"/>
        </w:numPr>
        <w:rPr>
          <w:rFonts w:ascii="Calibri" w:hAnsi="Calibri" w:cs="Calibri"/>
        </w:rPr>
      </w:pPr>
      <w:r w:rsidRPr="00203191">
        <w:rPr>
          <w:rFonts w:ascii="Calibri" w:hAnsi="Calibri" w:cs="Calibri"/>
        </w:rPr>
        <w:t>przedznakowaniu,</w:t>
      </w:r>
    </w:p>
    <w:p w:rsidR="00656AC1" w:rsidRPr="00203191" w:rsidRDefault="00656AC1" w:rsidP="00954A11">
      <w:pPr>
        <w:numPr>
          <w:ilvl w:val="0"/>
          <w:numId w:val="1"/>
        </w:numPr>
        <w:rPr>
          <w:rFonts w:ascii="Calibri" w:hAnsi="Calibri" w:cs="Calibri"/>
        </w:rPr>
      </w:pPr>
      <w:r w:rsidRPr="00203191">
        <w:rPr>
          <w:rFonts w:ascii="Calibri" w:hAnsi="Calibri" w:cs="Calibri"/>
        </w:rPr>
        <w:t>wykonaniu podkładu (primera) na nawierzchni betonowej.</w:t>
      </w:r>
    </w:p>
    <w:p w:rsidR="00656AC1" w:rsidRPr="00203191" w:rsidRDefault="00656AC1" w:rsidP="00364E4D">
      <w:pPr>
        <w:pStyle w:val="Nagwek4"/>
        <w:rPr>
          <w:rFonts w:ascii="Calibri" w:hAnsi="Calibri" w:cs="Calibri"/>
        </w:rPr>
      </w:pPr>
      <w:bookmarkStart w:id="1115" w:name="_Toc235079984"/>
      <w:r w:rsidRPr="00203191">
        <w:rPr>
          <w:rFonts w:ascii="Calibri" w:hAnsi="Calibri" w:cs="Calibri"/>
        </w:rPr>
        <w:t>8.3. Odbiór ostateczny</w:t>
      </w:r>
      <w:bookmarkEnd w:id="1115"/>
    </w:p>
    <w:p w:rsidR="00656AC1" w:rsidRPr="00203191" w:rsidRDefault="00656AC1" w:rsidP="00364E4D">
      <w:pPr>
        <w:rPr>
          <w:rFonts w:ascii="Calibri" w:hAnsi="Calibri" w:cs="Calibri"/>
        </w:rPr>
      </w:pPr>
      <w:r w:rsidRPr="00203191">
        <w:rPr>
          <w:rFonts w:ascii="Calibri" w:hAnsi="Calibri" w:cs="Calibri"/>
        </w:rPr>
        <w:t>Odbioru ostatecznego należy dokonać po całkowitym zakończeniu robót, na podstawie wyników pomiarów i badań jakościowych określonych w punktach od 2 do 6.</w:t>
      </w:r>
    </w:p>
    <w:p w:rsidR="00656AC1" w:rsidRPr="00203191" w:rsidRDefault="00656AC1" w:rsidP="00364E4D">
      <w:pPr>
        <w:pStyle w:val="Nagwek4"/>
        <w:rPr>
          <w:rFonts w:ascii="Calibri" w:hAnsi="Calibri" w:cs="Calibri"/>
        </w:rPr>
      </w:pPr>
      <w:bookmarkStart w:id="1116" w:name="_Toc235079985"/>
      <w:r w:rsidRPr="00203191">
        <w:rPr>
          <w:rFonts w:ascii="Calibri" w:hAnsi="Calibri" w:cs="Calibri"/>
        </w:rPr>
        <w:t>8.4. Odbiór pogwarancyjny</w:t>
      </w:r>
      <w:bookmarkEnd w:id="1116"/>
    </w:p>
    <w:p w:rsidR="00656AC1" w:rsidRPr="00203191" w:rsidRDefault="00656AC1" w:rsidP="00364E4D">
      <w:pPr>
        <w:rPr>
          <w:rFonts w:ascii="Calibri" w:hAnsi="Calibri" w:cs="Calibri"/>
        </w:rPr>
      </w:pPr>
      <w:r w:rsidRPr="00203191">
        <w:rPr>
          <w:rFonts w:ascii="Calibri" w:hAnsi="Calibri" w:cs="Calibri"/>
        </w:rPr>
        <w:t>Odbioru pogwarancyjnego należy dokonać po upływie okresu gwarancyjnego. Sprawdzeniu podlegają cechy oznakowania określone w POD-97.</w:t>
      </w:r>
    </w:p>
    <w:p w:rsidR="00656AC1" w:rsidRPr="00203191" w:rsidRDefault="00656AC1" w:rsidP="00364E4D">
      <w:pPr>
        <w:pStyle w:val="Nagwek3"/>
        <w:tabs>
          <w:tab w:val="num" w:pos="0"/>
        </w:tabs>
        <w:rPr>
          <w:rFonts w:ascii="Calibri" w:hAnsi="Calibri" w:cs="Calibri"/>
        </w:rPr>
      </w:pPr>
      <w:bookmarkStart w:id="1117" w:name="_Toc420816688"/>
      <w:bookmarkStart w:id="1118" w:name="_Toc235079986"/>
      <w:r w:rsidRPr="00203191">
        <w:rPr>
          <w:rFonts w:ascii="Calibri" w:hAnsi="Calibri" w:cs="Calibri"/>
        </w:rPr>
        <w:t>9. podstawa płatności</w:t>
      </w:r>
      <w:bookmarkEnd w:id="1117"/>
      <w:bookmarkEnd w:id="1118"/>
    </w:p>
    <w:p w:rsidR="00ED260C" w:rsidRPr="00203191" w:rsidRDefault="00ED260C" w:rsidP="00ED260C">
      <w:pPr>
        <w:pStyle w:val="Nagwek4"/>
        <w:rPr>
          <w:rFonts w:asciiTheme="minorHAnsi" w:hAnsiTheme="minorHAnsi"/>
        </w:rPr>
      </w:pPr>
      <w:bookmarkStart w:id="1119" w:name="_Toc235079987"/>
      <w:r w:rsidRPr="00203191">
        <w:rPr>
          <w:rFonts w:asciiTheme="minorHAnsi" w:hAnsiTheme="minorHAnsi"/>
        </w:rPr>
        <w:t>9.1. Ogólne ustalenia dotyczące podstawy płatności</w:t>
      </w:r>
      <w:bookmarkEnd w:id="1119"/>
    </w:p>
    <w:p w:rsidR="00ED260C" w:rsidRPr="00203191" w:rsidRDefault="00ED260C" w:rsidP="00ED260C">
      <w:pPr>
        <w:rPr>
          <w:rFonts w:asciiTheme="minorHAnsi" w:hAnsiTheme="minorHAnsi"/>
        </w:rPr>
      </w:pPr>
      <w:r w:rsidRPr="00203191">
        <w:rPr>
          <w:rFonts w:asciiTheme="minorHAnsi" w:hAnsiTheme="minorHAnsi"/>
        </w:rPr>
        <w:t>Ogólne ustalenia dotyczące podstawy płatności podano w SSTWiORB D-M-00.00.00 „Wymagania ogólne” pkt 9.</w:t>
      </w:r>
    </w:p>
    <w:p w:rsidR="00ED260C" w:rsidRPr="00203191" w:rsidRDefault="00ED260C" w:rsidP="00ED260C">
      <w:pPr>
        <w:pStyle w:val="Nagwek4"/>
        <w:rPr>
          <w:rFonts w:asciiTheme="minorHAnsi" w:hAnsiTheme="minorHAnsi"/>
        </w:rPr>
      </w:pPr>
      <w:bookmarkStart w:id="1120" w:name="_Toc235079988"/>
      <w:r w:rsidRPr="00203191">
        <w:rPr>
          <w:rFonts w:asciiTheme="minorHAnsi" w:hAnsiTheme="minorHAnsi"/>
        </w:rPr>
        <w:t>9.2. Cena jednostki obmiarowej</w:t>
      </w:r>
      <w:bookmarkEnd w:id="1120"/>
    </w:p>
    <w:p w:rsidR="00ED260C" w:rsidRPr="00203191" w:rsidRDefault="00ED260C" w:rsidP="00ED260C">
      <w:pPr>
        <w:rPr>
          <w:rFonts w:asciiTheme="minorHAnsi" w:hAnsiTheme="minorHAnsi"/>
        </w:rPr>
      </w:pPr>
      <w:r w:rsidRPr="00203191">
        <w:rPr>
          <w:rFonts w:asciiTheme="minorHAnsi" w:hAnsiTheme="minorHAnsi"/>
        </w:rPr>
        <w:t xml:space="preserve">Cena </w:t>
      </w:r>
      <w:smartTag w:uri="urn:schemas-microsoft-com:office:smarttags" w:element="metricconverter">
        <w:smartTagPr>
          <w:attr w:name="ProductID" w:val="1 m2"/>
        </w:smartTagPr>
        <w:r w:rsidRPr="00203191">
          <w:rPr>
            <w:rFonts w:asciiTheme="minorHAnsi" w:hAnsiTheme="minorHAnsi"/>
          </w:rPr>
          <w:t>1 m</w:t>
        </w:r>
        <w:r w:rsidRPr="00203191">
          <w:rPr>
            <w:rFonts w:asciiTheme="minorHAnsi" w:hAnsiTheme="minorHAnsi"/>
            <w:vertAlign w:val="superscript"/>
          </w:rPr>
          <w:t>2</w:t>
        </w:r>
      </w:smartTag>
      <w:r w:rsidRPr="00203191">
        <w:rPr>
          <w:rFonts w:asciiTheme="minorHAnsi" w:hAnsiTheme="minorHAnsi"/>
        </w:rPr>
        <w:t xml:space="preserve"> wykonania robót obejmuje:</w:t>
      </w:r>
    </w:p>
    <w:p w:rsidR="00ED260C" w:rsidRPr="00203191" w:rsidRDefault="00ED260C" w:rsidP="00ED260C">
      <w:pPr>
        <w:numPr>
          <w:ilvl w:val="0"/>
          <w:numId w:val="38"/>
        </w:numPr>
        <w:rPr>
          <w:rFonts w:asciiTheme="minorHAnsi" w:hAnsiTheme="minorHAnsi"/>
        </w:rPr>
      </w:pPr>
      <w:r w:rsidRPr="00203191">
        <w:rPr>
          <w:rFonts w:asciiTheme="minorHAnsi" w:hAnsiTheme="minorHAnsi"/>
        </w:rPr>
        <w:t>prace pomiarowe, roboty przygotowawcze i oznakowanie robót,</w:t>
      </w:r>
    </w:p>
    <w:p w:rsidR="00ED260C" w:rsidRPr="00203191" w:rsidRDefault="00ED260C" w:rsidP="00ED260C">
      <w:pPr>
        <w:numPr>
          <w:ilvl w:val="0"/>
          <w:numId w:val="38"/>
        </w:numPr>
        <w:rPr>
          <w:rFonts w:asciiTheme="minorHAnsi" w:hAnsiTheme="minorHAnsi"/>
        </w:rPr>
      </w:pPr>
      <w:r w:rsidRPr="00203191">
        <w:rPr>
          <w:rFonts w:asciiTheme="minorHAnsi" w:hAnsiTheme="minorHAnsi"/>
        </w:rPr>
        <w:t>przygotowanie i dostarczenie materiałów,</w:t>
      </w:r>
    </w:p>
    <w:p w:rsidR="00ED260C" w:rsidRPr="00203191" w:rsidRDefault="00ED260C" w:rsidP="00ED260C">
      <w:pPr>
        <w:numPr>
          <w:ilvl w:val="0"/>
          <w:numId w:val="38"/>
        </w:numPr>
        <w:rPr>
          <w:rFonts w:asciiTheme="minorHAnsi" w:hAnsiTheme="minorHAnsi"/>
        </w:rPr>
      </w:pPr>
      <w:r w:rsidRPr="00203191">
        <w:rPr>
          <w:rFonts w:asciiTheme="minorHAnsi" w:hAnsiTheme="minorHAnsi"/>
        </w:rPr>
        <w:t>oczyszczenie podłoża (nawierzchni),</w:t>
      </w:r>
    </w:p>
    <w:p w:rsidR="00ED260C" w:rsidRPr="00203191" w:rsidRDefault="00ED260C" w:rsidP="00ED260C">
      <w:pPr>
        <w:numPr>
          <w:ilvl w:val="0"/>
          <w:numId w:val="38"/>
        </w:numPr>
        <w:rPr>
          <w:rFonts w:asciiTheme="minorHAnsi" w:hAnsiTheme="minorHAnsi"/>
        </w:rPr>
      </w:pPr>
      <w:r w:rsidRPr="00203191">
        <w:rPr>
          <w:rFonts w:asciiTheme="minorHAnsi" w:hAnsiTheme="minorHAnsi"/>
        </w:rPr>
        <w:t>przedznakowanie,</w:t>
      </w:r>
    </w:p>
    <w:p w:rsidR="00ED260C" w:rsidRPr="00203191" w:rsidRDefault="00ED260C" w:rsidP="00ED260C">
      <w:pPr>
        <w:numPr>
          <w:ilvl w:val="0"/>
          <w:numId w:val="38"/>
        </w:numPr>
        <w:rPr>
          <w:rFonts w:asciiTheme="minorHAnsi" w:hAnsiTheme="minorHAnsi"/>
        </w:rPr>
      </w:pPr>
      <w:r w:rsidRPr="00203191">
        <w:rPr>
          <w:rFonts w:asciiTheme="minorHAnsi" w:hAnsiTheme="minorHAnsi"/>
        </w:rPr>
        <w:t>naniesienie powłoki znaków na nawierzchnię drogi o kształtach i wymiarach zgodnych z dokumentacją projektową i „Instrukcją o znakach drogowych poziomych”,</w:t>
      </w:r>
    </w:p>
    <w:p w:rsidR="00ED260C" w:rsidRPr="00203191" w:rsidRDefault="00ED260C" w:rsidP="00ED260C">
      <w:pPr>
        <w:numPr>
          <w:ilvl w:val="0"/>
          <w:numId w:val="38"/>
        </w:numPr>
        <w:rPr>
          <w:rFonts w:asciiTheme="minorHAnsi" w:hAnsiTheme="minorHAnsi"/>
        </w:rPr>
      </w:pPr>
      <w:r w:rsidRPr="00203191">
        <w:rPr>
          <w:rFonts w:asciiTheme="minorHAnsi" w:hAnsiTheme="minorHAnsi"/>
        </w:rPr>
        <w:t>ochrona znaków przed zniszczeniem przez pojazdy w czasie prowadzenia robót,</w:t>
      </w:r>
    </w:p>
    <w:p w:rsidR="00656AC1" w:rsidRPr="00203191" w:rsidRDefault="00ED260C" w:rsidP="00ED260C">
      <w:pPr>
        <w:spacing w:after="120"/>
        <w:rPr>
          <w:rFonts w:ascii="Calibri" w:hAnsi="Calibri" w:cs="Calibri"/>
        </w:rPr>
      </w:pPr>
      <w:r w:rsidRPr="00203191">
        <w:rPr>
          <w:rFonts w:asciiTheme="minorHAnsi" w:hAnsiTheme="minorHAnsi"/>
        </w:rPr>
        <w:t>przeprowadzenie pomiarów i badań laboratoryjnych wymaganych w specyfikacji technicznej.</w:t>
      </w:r>
    </w:p>
    <w:p w:rsidR="00656AC1" w:rsidRPr="00203191" w:rsidRDefault="00656AC1" w:rsidP="00364E4D">
      <w:pPr>
        <w:pStyle w:val="Nagwek3"/>
        <w:tabs>
          <w:tab w:val="num" w:pos="0"/>
        </w:tabs>
        <w:rPr>
          <w:rFonts w:ascii="Calibri" w:hAnsi="Calibri" w:cs="Calibri"/>
        </w:rPr>
      </w:pPr>
      <w:bookmarkStart w:id="1121" w:name="_Toc420816689"/>
      <w:bookmarkStart w:id="1122" w:name="_Toc235079989"/>
      <w:r w:rsidRPr="00203191">
        <w:rPr>
          <w:rFonts w:ascii="Calibri" w:hAnsi="Calibri" w:cs="Calibri"/>
        </w:rPr>
        <w:t>10. przepisy związane</w:t>
      </w:r>
      <w:bookmarkEnd w:id="1121"/>
      <w:bookmarkEnd w:id="1122"/>
    </w:p>
    <w:p w:rsidR="00656AC1" w:rsidRPr="00203191" w:rsidRDefault="00656AC1" w:rsidP="00364E4D">
      <w:pPr>
        <w:pStyle w:val="Nagwek4"/>
        <w:rPr>
          <w:rFonts w:ascii="Calibri" w:hAnsi="Calibri" w:cs="Calibri"/>
        </w:rPr>
      </w:pPr>
      <w:bookmarkStart w:id="1123" w:name="_Toc235079990"/>
      <w:r w:rsidRPr="00203191">
        <w:rPr>
          <w:rFonts w:ascii="Calibri" w:hAnsi="Calibri" w:cs="Calibri"/>
        </w:rPr>
        <w:t>10.1. Normy</w:t>
      </w:r>
      <w:bookmarkEnd w:id="1123"/>
    </w:p>
    <w:tbl>
      <w:tblPr>
        <w:tblW w:w="9790" w:type="dxa"/>
        <w:tblInd w:w="2" w:type="dxa"/>
        <w:tblLayout w:type="fixed"/>
        <w:tblCellMar>
          <w:left w:w="70" w:type="dxa"/>
          <w:right w:w="70" w:type="dxa"/>
        </w:tblCellMar>
        <w:tblLook w:val="0000"/>
      </w:tblPr>
      <w:tblGrid>
        <w:gridCol w:w="496"/>
        <w:gridCol w:w="1842"/>
        <w:gridCol w:w="7452"/>
      </w:tblGrid>
      <w:tr w:rsidR="00656AC1" w:rsidRPr="00203191">
        <w:tc>
          <w:tcPr>
            <w:tcW w:w="496" w:type="dxa"/>
          </w:tcPr>
          <w:p w:rsidR="00656AC1" w:rsidRPr="00203191" w:rsidRDefault="00656AC1" w:rsidP="00364E4D">
            <w:pPr>
              <w:rPr>
                <w:rFonts w:ascii="Calibri" w:hAnsi="Calibri" w:cs="Calibri"/>
              </w:rPr>
            </w:pPr>
            <w:r w:rsidRPr="00203191">
              <w:rPr>
                <w:rFonts w:ascii="Calibri" w:hAnsi="Calibri" w:cs="Calibri"/>
              </w:rPr>
              <w:t>1.</w:t>
            </w:r>
          </w:p>
        </w:tc>
        <w:tc>
          <w:tcPr>
            <w:tcW w:w="1842" w:type="dxa"/>
          </w:tcPr>
          <w:p w:rsidR="00656AC1" w:rsidRPr="00203191" w:rsidRDefault="00656AC1" w:rsidP="00364E4D">
            <w:pPr>
              <w:rPr>
                <w:rFonts w:ascii="Calibri" w:hAnsi="Calibri" w:cs="Calibri"/>
              </w:rPr>
            </w:pPr>
            <w:r w:rsidRPr="00203191">
              <w:rPr>
                <w:rFonts w:ascii="Calibri" w:hAnsi="Calibri" w:cs="Calibri"/>
              </w:rPr>
              <w:t>PN-C-81400</w:t>
            </w:r>
          </w:p>
        </w:tc>
        <w:tc>
          <w:tcPr>
            <w:tcW w:w="7452" w:type="dxa"/>
          </w:tcPr>
          <w:p w:rsidR="00656AC1" w:rsidRPr="00203191" w:rsidRDefault="00656AC1" w:rsidP="00364E4D">
            <w:pPr>
              <w:rPr>
                <w:rFonts w:ascii="Calibri" w:hAnsi="Calibri" w:cs="Calibri"/>
              </w:rPr>
            </w:pPr>
            <w:r w:rsidRPr="00203191">
              <w:rPr>
                <w:rFonts w:ascii="Calibri" w:hAnsi="Calibri" w:cs="Calibri"/>
              </w:rPr>
              <w:t>Wyroby lakierowe. Pakowanie, przechowywanie i transport</w:t>
            </w:r>
          </w:p>
        </w:tc>
      </w:tr>
      <w:tr w:rsidR="00656AC1" w:rsidRPr="00203191">
        <w:tc>
          <w:tcPr>
            <w:tcW w:w="496" w:type="dxa"/>
          </w:tcPr>
          <w:p w:rsidR="00656AC1" w:rsidRPr="00203191" w:rsidRDefault="00656AC1" w:rsidP="00364E4D">
            <w:pPr>
              <w:rPr>
                <w:rFonts w:ascii="Calibri" w:hAnsi="Calibri" w:cs="Calibri"/>
              </w:rPr>
            </w:pPr>
            <w:r w:rsidRPr="00203191">
              <w:rPr>
                <w:rFonts w:ascii="Calibri" w:hAnsi="Calibri" w:cs="Calibri"/>
              </w:rPr>
              <w:lastRenderedPageBreak/>
              <w:t>2.</w:t>
            </w:r>
          </w:p>
        </w:tc>
        <w:tc>
          <w:tcPr>
            <w:tcW w:w="1842" w:type="dxa"/>
          </w:tcPr>
          <w:p w:rsidR="00656AC1" w:rsidRPr="00203191" w:rsidRDefault="00656AC1" w:rsidP="00364E4D">
            <w:pPr>
              <w:rPr>
                <w:rFonts w:ascii="Calibri" w:hAnsi="Calibri" w:cs="Calibri"/>
              </w:rPr>
            </w:pPr>
            <w:r w:rsidRPr="00203191">
              <w:rPr>
                <w:rFonts w:ascii="Calibri" w:hAnsi="Calibri" w:cs="Calibri"/>
              </w:rPr>
              <w:t>PN-O-79252</w:t>
            </w:r>
          </w:p>
        </w:tc>
        <w:tc>
          <w:tcPr>
            <w:tcW w:w="7452" w:type="dxa"/>
          </w:tcPr>
          <w:p w:rsidR="00656AC1" w:rsidRPr="00203191" w:rsidRDefault="00656AC1" w:rsidP="00364E4D">
            <w:pPr>
              <w:rPr>
                <w:rFonts w:ascii="Calibri" w:hAnsi="Calibri" w:cs="Calibri"/>
              </w:rPr>
            </w:pPr>
            <w:r w:rsidRPr="00203191">
              <w:rPr>
                <w:rFonts w:ascii="Calibri" w:hAnsi="Calibri" w:cs="Calibri"/>
              </w:rPr>
              <w:t>Opakowania transportowe z zawartością. Znaki i znakowanie. Wymagania podstawowe.</w:t>
            </w:r>
          </w:p>
        </w:tc>
      </w:tr>
    </w:tbl>
    <w:p w:rsidR="00656AC1" w:rsidRPr="00203191" w:rsidRDefault="00656AC1" w:rsidP="00364E4D">
      <w:pPr>
        <w:pStyle w:val="Nagwek4"/>
        <w:rPr>
          <w:rFonts w:ascii="Calibri" w:hAnsi="Calibri" w:cs="Calibri"/>
        </w:rPr>
      </w:pPr>
      <w:bookmarkStart w:id="1124" w:name="_Toc235079991"/>
      <w:r w:rsidRPr="00203191">
        <w:rPr>
          <w:rFonts w:ascii="Calibri" w:hAnsi="Calibri" w:cs="Calibri"/>
        </w:rPr>
        <w:t>10.2. Inne dokumenty</w:t>
      </w:r>
      <w:bookmarkEnd w:id="1124"/>
    </w:p>
    <w:p w:rsidR="00656AC1" w:rsidRPr="00203191" w:rsidRDefault="00656AC1" w:rsidP="00973D29">
      <w:pPr>
        <w:numPr>
          <w:ilvl w:val="0"/>
          <w:numId w:val="37"/>
        </w:numPr>
        <w:rPr>
          <w:rFonts w:ascii="Calibri" w:hAnsi="Calibri" w:cs="Calibri"/>
        </w:rPr>
      </w:pPr>
      <w:r w:rsidRPr="00203191">
        <w:rPr>
          <w:rFonts w:ascii="Calibri" w:hAnsi="Calibri" w:cs="Calibri"/>
        </w:rPr>
        <w:t>Warunki techniczne. Poziome znakowanie dróg. POD-97. Seria „I” - Informacje, Instrukcje. Zeszyt nr 55. IBDiM, Warszawa, 1997.</w:t>
      </w:r>
    </w:p>
    <w:p w:rsidR="00656AC1" w:rsidRPr="00651A3F" w:rsidRDefault="00A95FEE" w:rsidP="00651A3F">
      <w:pPr>
        <w:pStyle w:val="Nagwek2"/>
      </w:pPr>
      <w:r w:rsidRPr="00651A3F">
        <w:lastRenderedPageBreak/>
        <w:t>SPECYFIKACJE TECHNICZNE</w:t>
      </w:r>
      <w:r w:rsidR="00E22F37" w:rsidRPr="00651A3F">
        <w:t xml:space="preserve"> WYKONANIA I ODBIORU ROBÓT BUDOWLANYCH</w:t>
      </w:r>
    </w:p>
    <w:p w:rsidR="00656AC1" w:rsidRPr="00651A3F" w:rsidRDefault="00656AC1" w:rsidP="00651A3F">
      <w:pPr>
        <w:pStyle w:val="Nagwek1"/>
      </w:pPr>
      <w:bookmarkStart w:id="1125" w:name="_Toc285044248"/>
      <w:bookmarkStart w:id="1126" w:name="_Toc296923116"/>
      <w:bookmarkStart w:id="1127" w:name="_Toc333441682"/>
      <w:bookmarkStart w:id="1128" w:name="_Toc333657259"/>
      <w:bookmarkStart w:id="1129" w:name="_Toc334095444"/>
      <w:bookmarkStart w:id="1130" w:name="_Toc352837497"/>
      <w:bookmarkStart w:id="1131" w:name="_Toc427178282"/>
      <w:bookmarkStart w:id="1132" w:name="_Toc459929675"/>
      <w:r w:rsidRPr="00651A3F">
        <w:t>D-07.02.01 OZNAKOWANIE PIONOWE</w:t>
      </w:r>
      <w:bookmarkEnd w:id="1125"/>
      <w:bookmarkEnd w:id="1126"/>
      <w:bookmarkEnd w:id="1127"/>
      <w:bookmarkEnd w:id="1128"/>
      <w:bookmarkEnd w:id="1129"/>
      <w:bookmarkEnd w:id="1130"/>
      <w:bookmarkEnd w:id="1131"/>
      <w:bookmarkEnd w:id="1132"/>
    </w:p>
    <w:p w:rsidR="00656AC1" w:rsidRPr="00203191" w:rsidRDefault="00656AC1" w:rsidP="00364E4D">
      <w:pPr>
        <w:pStyle w:val="Nagwek3"/>
        <w:tabs>
          <w:tab w:val="left" w:pos="9914"/>
        </w:tabs>
        <w:rPr>
          <w:rFonts w:ascii="Calibri" w:hAnsi="Calibri" w:cs="Calibri"/>
        </w:rPr>
      </w:pPr>
      <w:bookmarkStart w:id="1133" w:name="_Toc425833580"/>
      <w:r w:rsidRPr="00203191">
        <w:rPr>
          <w:rFonts w:ascii="Calibri" w:hAnsi="Calibri" w:cs="Calibri"/>
        </w:rPr>
        <w:t>1. WSTĘP</w:t>
      </w:r>
      <w:bookmarkEnd w:id="1133"/>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1.1. Przedmiot </w:t>
      </w:r>
      <w:r w:rsidR="005B48CA">
        <w:rPr>
          <w:rFonts w:ascii="Calibri" w:hAnsi="Calibri" w:cs="Calibri"/>
        </w:rPr>
        <w:t>STWiORB</w:t>
      </w:r>
    </w:p>
    <w:p w:rsidR="00656AC1" w:rsidRPr="00203191" w:rsidRDefault="00656AC1" w:rsidP="00364E4D">
      <w:pPr>
        <w:pStyle w:val="Standardowytekst"/>
        <w:tabs>
          <w:tab w:val="left" w:pos="9914"/>
        </w:tabs>
        <w:rPr>
          <w:rFonts w:ascii="Calibri" w:hAnsi="Calibri" w:cs="Calibri"/>
        </w:rPr>
      </w:pPr>
      <w:r w:rsidRPr="00203191">
        <w:rPr>
          <w:rFonts w:ascii="Calibri" w:hAnsi="Calibri" w:cs="Calibri"/>
        </w:rPr>
        <w:t xml:space="preserve">Przedmiotem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 xml:space="preserve"> są wymagania dotyczące wykonania i odbioru oznakowania pionowego.</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1.2. Zakres stosowania </w:t>
      </w:r>
      <w:r w:rsidR="005B48CA">
        <w:rPr>
          <w:rFonts w:ascii="Calibri" w:hAnsi="Calibri" w:cs="Calibri"/>
        </w:rPr>
        <w:t>STWiORB</w:t>
      </w:r>
    </w:p>
    <w:p w:rsidR="00656AC1" w:rsidRPr="00203191" w:rsidRDefault="00FE60E3" w:rsidP="00891619">
      <w:pPr>
        <w:rPr>
          <w:rFonts w:ascii="Calibri" w:hAnsi="Calibri" w:cs="Calibri"/>
        </w:rPr>
      </w:pPr>
      <w:r>
        <w:rPr>
          <w:rFonts w:ascii="Calibri" w:hAnsi="Calibri" w:cs="Calibri"/>
        </w:rPr>
        <w:t>Specyfikacja techniczna</w:t>
      </w:r>
      <w:r w:rsidR="00E22F37">
        <w:rPr>
          <w:rFonts w:ascii="Calibri" w:hAnsi="Calibri" w:cs="Calibri"/>
        </w:rPr>
        <w:t xml:space="preserve"> </w:t>
      </w:r>
      <w:r>
        <w:rPr>
          <w:rFonts w:ascii="Calibri" w:hAnsi="Calibri" w:cs="Calibri"/>
        </w:rPr>
        <w:t>stanowi</w:t>
      </w:r>
      <w:r w:rsidR="00E22F37">
        <w:rPr>
          <w:rFonts w:ascii="Calibri" w:hAnsi="Calibri" w:cs="Calibri"/>
        </w:rPr>
        <w:t xml:space="preserve"> </w:t>
      </w:r>
      <w:r w:rsidR="00656AC1" w:rsidRPr="00203191">
        <w:rPr>
          <w:rFonts w:ascii="Calibri" w:hAnsi="Calibri" w:cs="Calibri"/>
        </w:rPr>
        <w:t xml:space="preserve">dokument przetargowy i kontraktowy przy realizacji  zadania </w:t>
      </w:r>
      <w:r w:rsidR="00B26FFB">
        <w:rPr>
          <w:rFonts w:ascii="Calibri" w:hAnsi="Calibri" w:cs="Calibri"/>
        </w:rPr>
        <w:t>„</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r w:rsidR="00B26FFB">
        <w:rPr>
          <w:rFonts w:ascii="Calibri" w:hAnsi="Calibri" w:cs="Calibri"/>
        </w:rPr>
        <w:t>”</w:t>
      </w:r>
    </w:p>
    <w:p w:rsidR="00656AC1" w:rsidRPr="00203191" w:rsidRDefault="00656AC1" w:rsidP="00446FC2">
      <w:pPr>
        <w:pStyle w:val="Nagwek4"/>
        <w:tabs>
          <w:tab w:val="center" w:pos="4749"/>
        </w:tabs>
        <w:rPr>
          <w:rFonts w:ascii="Calibri" w:hAnsi="Calibri" w:cs="Calibri"/>
        </w:rPr>
      </w:pPr>
      <w:r w:rsidRPr="00203191">
        <w:rPr>
          <w:rFonts w:ascii="Calibri" w:hAnsi="Calibri" w:cs="Calibri"/>
        </w:rPr>
        <w:t xml:space="preserve">1.3. Zakres robót objętych </w:t>
      </w:r>
      <w:r w:rsidR="005B48CA">
        <w:rPr>
          <w:rFonts w:ascii="Calibri" w:hAnsi="Calibri" w:cs="Calibri"/>
        </w:rPr>
        <w:t>STWiORB</w:t>
      </w:r>
      <w:r w:rsidR="00446FC2">
        <w:rPr>
          <w:rFonts w:ascii="Calibri" w:hAnsi="Calibri" w:cs="Calibri"/>
        </w:rPr>
        <w:tab/>
      </w:r>
    </w:p>
    <w:p w:rsidR="00656AC1" w:rsidRPr="00203191" w:rsidRDefault="00656AC1" w:rsidP="00364E4D">
      <w:pPr>
        <w:tabs>
          <w:tab w:val="left" w:pos="9914"/>
        </w:tabs>
        <w:rPr>
          <w:rFonts w:ascii="Calibri" w:hAnsi="Calibri" w:cs="Calibri"/>
        </w:rPr>
      </w:pPr>
      <w:r w:rsidRPr="00203191">
        <w:rPr>
          <w:rFonts w:ascii="Calibri" w:hAnsi="Calibri" w:cs="Calibri"/>
        </w:rPr>
        <w:t xml:space="preserve">Ustalenia zawarte w </w:t>
      </w:r>
      <w:r w:rsidR="00ED6D29">
        <w:rPr>
          <w:rFonts w:ascii="Calibri" w:hAnsi="Calibri" w:cs="Calibri"/>
        </w:rPr>
        <w:t>niniejszej</w:t>
      </w:r>
      <w:r w:rsidR="00E22F37">
        <w:rPr>
          <w:rFonts w:ascii="Calibri" w:hAnsi="Calibri" w:cs="Calibri"/>
        </w:rPr>
        <w:t xml:space="preserve"> </w:t>
      </w:r>
      <w:r w:rsidR="00ED6D29">
        <w:rPr>
          <w:rFonts w:ascii="Calibri" w:hAnsi="Calibri" w:cs="Calibri"/>
        </w:rPr>
        <w:t>specyfikacji</w:t>
      </w:r>
      <w:r w:rsidR="00E22F37">
        <w:rPr>
          <w:rFonts w:ascii="Calibri" w:hAnsi="Calibri" w:cs="Calibri"/>
        </w:rPr>
        <w:t xml:space="preserve"> </w:t>
      </w:r>
      <w:r w:rsidRPr="00203191">
        <w:rPr>
          <w:rFonts w:ascii="Calibri" w:hAnsi="Calibri" w:cs="Calibri"/>
        </w:rPr>
        <w:t>dotyczą zasad prowadzenia robót związanych z wykonywaniem i odbiorem oznakowania pionowego stosowanego na drogach, w postaci:</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znaków ostrzegawczych,</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znaków zakazu i nakazu,</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znaków informacyjnych, kierunku, miejscowości i znaków uzupełniających.</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1.4. Określenia podstawowe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1.4.1.</w:t>
      </w:r>
      <w:r w:rsidRPr="00203191">
        <w:rPr>
          <w:rFonts w:ascii="Calibri" w:hAnsi="Calibri" w:cs="Calibri"/>
          <w:b/>
          <w:bCs/>
        </w:rPr>
        <w:t xml:space="preserve"> </w:t>
      </w:r>
      <w:r w:rsidRPr="00203191">
        <w:rPr>
          <w:rFonts w:ascii="Calibri" w:hAnsi="Calibri" w:cs="Calibri"/>
        </w:rPr>
        <w:t>Znak pionowy - znak wykonany w postaci tarczy lub tablicy z napisami albo symbolami, zwykle umieszczony na konstrukcji wsporczej.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1.4.2.</w:t>
      </w:r>
      <w:r w:rsidRPr="00203191">
        <w:rPr>
          <w:rFonts w:ascii="Calibri" w:hAnsi="Calibri" w:cs="Calibri"/>
          <w:b/>
          <w:bCs/>
        </w:rPr>
        <w:t xml:space="preserve"> </w:t>
      </w:r>
      <w:r w:rsidRPr="00203191">
        <w:rPr>
          <w:rFonts w:ascii="Calibri" w:hAnsi="Calibri" w:cs="Calibri"/>
        </w:rPr>
        <w:t>Tarcza znaku - element konstrukcyjny, na powierzchni którego umieszczana jest treść znaku. Tarcza może być wykonana z różnych materiałów (stal, aluminium, tworzywa syntetyczne itp.) - jako jednolita lub składana.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1.4.3.</w:t>
      </w:r>
      <w:r w:rsidRPr="00203191">
        <w:rPr>
          <w:rFonts w:ascii="Calibri" w:hAnsi="Calibri" w:cs="Calibri"/>
          <w:b/>
          <w:bCs/>
        </w:rPr>
        <w:t xml:space="preserve"> </w:t>
      </w:r>
      <w:r w:rsidRPr="00203191">
        <w:rPr>
          <w:rFonts w:ascii="Calibri" w:hAnsi="Calibri" w:cs="Calibri"/>
        </w:rPr>
        <w:t>Lico znaku - przednia część znaku, służąca do podania treści znaku. Lico znaku może być wykonane jako malowane lub oklejane (folią odblaskową lub nieodblaskową). W przypadkach szczególnych (znak z przejrzystych tworzyw syntetycznych) lico znaku może być zatopione w tarczy znaku.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1.4.4.</w:t>
      </w:r>
      <w:r w:rsidRPr="00203191">
        <w:rPr>
          <w:rFonts w:ascii="Calibri" w:hAnsi="Calibri" w:cs="Calibri"/>
          <w:b/>
          <w:bCs/>
        </w:rPr>
        <w:t xml:space="preserve"> </w:t>
      </w:r>
      <w:r w:rsidRPr="00203191">
        <w:rPr>
          <w:rFonts w:ascii="Calibri" w:hAnsi="Calibri" w:cs="Calibri"/>
        </w:rPr>
        <w:t>Znak drogowy odblaskowy - znak, którego lico wykazuje właściwości odblaskowe (wykonane jest z materiału o odbiciu powrotnym - współdrożnym).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1.4.5.</w:t>
      </w:r>
      <w:r w:rsidRPr="00203191">
        <w:rPr>
          <w:rFonts w:ascii="Calibri" w:hAnsi="Calibri" w:cs="Calibri"/>
          <w:b/>
          <w:bCs/>
        </w:rPr>
        <w:t xml:space="preserve"> </w:t>
      </w:r>
      <w:r w:rsidRPr="00203191">
        <w:rPr>
          <w:rFonts w:ascii="Calibri" w:hAnsi="Calibri" w:cs="Calibri"/>
        </w:rPr>
        <w:t>Konstrukcja wsporcza znaku - słup (słupy), wysięgnik, wspornik itp., na którym zamocowana jest tarcza znaku, wraz z elementami służącymi do przymocowania tarczy (śruby, zaciski itp.).</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1.4.6.</w:t>
      </w:r>
      <w:r w:rsidRPr="00203191">
        <w:rPr>
          <w:rFonts w:ascii="Calibri" w:hAnsi="Calibri" w:cs="Calibri"/>
          <w:b/>
          <w:bCs/>
        </w:rPr>
        <w:t xml:space="preserve"> </w:t>
      </w:r>
      <w:r w:rsidRPr="00203191">
        <w:rPr>
          <w:rFonts w:ascii="Calibri" w:hAnsi="Calibri" w:cs="Calibri"/>
        </w:rPr>
        <w:t>Znak nowy - znak użytkowany (ustawiony na drodze) lub magazynowany w okresie do 3 miesięcy od daty produkcji.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1.4.7.</w:t>
      </w:r>
      <w:r w:rsidRPr="00203191">
        <w:rPr>
          <w:rFonts w:ascii="Calibri" w:hAnsi="Calibri" w:cs="Calibri"/>
          <w:b/>
          <w:bCs/>
        </w:rPr>
        <w:t xml:space="preserve"> </w:t>
      </w:r>
      <w:r w:rsidRPr="00203191">
        <w:rPr>
          <w:rFonts w:ascii="Calibri" w:hAnsi="Calibri" w:cs="Calibri"/>
        </w:rPr>
        <w:t xml:space="preserve">Pozostałe określenia podstawowe są zgodne z obowiązującymi, odpowiednimi polskimi normami i z definicjami podanymi w </w:t>
      </w:r>
      <w:r w:rsidR="005B48CA">
        <w:rPr>
          <w:rFonts w:ascii="Calibri" w:hAnsi="Calibri" w:cs="Calibri"/>
        </w:rPr>
        <w:t>STWiORB</w:t>
      </w:r>
      <w:r w:rsidRPr="00203191">
        <w:rPr>
          <w:rFonts w:ascii="Calibri" w:hAnsi="Calibri" w:cs="Calibri"/>
        </w:rPr>
        <w:t xml:space="preserve"> D-M-00.00.00 „Wymagania ogólne” pkt 1.4. </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1.5. Ogólne wymagania dotyczące robót</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wymagania dotyczące robót podano w </w:t>
      </w:r>
      <w:r w:rsidR="005B48CA">
        <w:rPr>
          <w:rFonts w:ascii="Calibri" w:hAnsi="Calibri" w:cs="Calibri"/>
        </w:rPr>
        <w:t>STWiORB</w:t>
      </w:r>
      <w:r w:rsidRPr="00203191">
        <w:rPr>
          <w:rFonts w:ascii="Calibri" w:hAnsi="Calibri" w:cs="Calibri"/>
        </w:rPr>
        <w:t xml:space="preserve"> D-M-00.00.00 „Wymagania ogólne” pkt 1.5. </w:t>
      </w:r>
    </w:p>
    <w:p w:rsidR="00656AC1" w:rsidRPr="00203191" w:rsidRDefault="00656AC1" w:rsidP="00364E4D">
      <w:pPr>
        <w:pStyle w:val="Nagwek3"/>
        <w:tabs>
          <w:tab w:val="left" w:pos="9914"/>
        </w:tabs>
        <w:rPr>
          <w:rFonts w:ascii="Calibri" w:hAnsi="Calibri" w:cs="Calibri"/>
        </w:rPr>
      </w:pPr>
      <w:bookmarkStart w:id="1134" w:name="_Toc425833581"/>
      <w:r w:rsidRPr="00203191">
        <w:rPr>
          <w:rFonts w:ascii="Calibri" w:hAnsi="Calibri" w:cs="Calibri"/>
        </w:rPr>
        <w:t xml:space="preserve">2. </w:t>
      </w:r>
      <w:r w:rsidR="00A95FEE">
        <w:rPr>
          <w:rFonts w:ascii="Calibri" w:hAnsi="Calibri" w:cs="Calibri"/>
        </w:rPr>
        <w:t>WYROBY BUDOWLANE</w:t>
      </w:r>
      <w:bookmarkEnd w:id="1134"/>
    </w:p>
    <w:p w:rsidR="00656AC1" w:rsidRPr="00203191" w:rsidRDefault="00656AC1" w:rsidP="00364E4D">
      <w:pPr>
        <w:pStyle w:val="Nagwek4"/>
        <w:tabs>
          <w:tab w:val="left" w:pos="9914"/>
        </w:tabs>
        <w:rPr>
          <w:rFonts w:ascii="Calibri" w:hAnsi="Calibri" w:cs="Calibri"/>
        </w:rPr>
      </w:pPr>
      <w:r w:rsidRPr="00203191">
        <w:rPr>
          <w:rFonts w:ascii="Calibri" w:hAnsi="Calibri" w:cs="Calibri"/>
        </w:rPr>
        <w:t>2.1. Ogólne wymagania dotyczące materiałów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wymagania dotyczące materiałów, ich pozyskiwania i składowania podano w </w:t>
      </w:r>
      <w:r w:rsidR="005B48CA">
        <w:rPr>
          <w:rFonts w:ascii="Calibri" w:hAnsi="Calibri" w:cs="Calibri"/>
        </w:rPr>
        <w:t>STWiORB</w:t>
      </w:r>
      <w:r w:rsidRPr="00203191">
        <w:rPr>
          <w:rFonts w:ascii="Calibri" w:hAnsi="Calibri" w:cs="Calibri"/>
        </w:rPr>
        <w:t xml:space="preserve"> D-M-00.00.00 „Wymagania ogólne” pkt 2.</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lastRenderedPageBreak/>
        <w:t>2.2. Aprobata techniczna dla materiałów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Każdy materiał do wykonania pionowego znaku drogowego, na który nie ma normy,  musi posiadać aprobatę techniczną wydaną przez uprawnioną jednostkę. Znaki drogowe powinny mieć certyfikat bezpieczeństwa (znak „B”) nadany przez uprawnioną jednostkę.</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 xml:space="preserve">2.3. </w:t>
      </w:r>
      <w:r w:rsidR="00A95FEE">
        <w:rPr>
          <w:rFonts w:ascii="Calibri" w:hAnsi="Calibri" w:cs="Calibri"/>
        </w:rPr>
        <w:t>Wyroby budowlane</w:t>
      </w:r>
      <w:r w:rsidRPr="00203191">
        <w:rPr>
          <w:rFonts w:ascii="Calibri" w:hAnsi="Calibri" w:cs="Calibri"/>
        </w:rPr>
        <w:t xml:space="preserve"> stosowane do fundamentów znaków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Fundamenty dla zamocowania konstrukcji wsporczych znaków mogą być wykonywane jako:</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prefabrykaty betonowe,</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z betonu wykonywanego „na mokro”,</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z betonu zbrojonego,</w:t>
      </w:r>
    </w:p>
    <w:p w:rsidR="00656AC1" w:rsidRPr="00203191" w:rsidRDefault="00656AC1" w:rsidP="00954A11">
      <w:pPr>
        <w:numPr>
          <w:ilvl w:val="0"/>
          <w:numId w:val="1"/>
        </w:numPr>
        <w:tabs>
          <w:tab w:val="left" w:pos="9914"/>
        </w:tabs>
        <w:rPr>
          <w:rFonts w:ascii="Calibri" w:hAnsi="Calibri" w:cs="Calibri"/>
        </w:rPr>
      </w:pPr>
      <w:r w:rsidRPr="00203191">
        <w:rPr>
          <w:rFonts w:ascii="Calibri" w:hAnsi="Calibri" w:cs="Calibri"/>
        </w:rPr>
        <w:t>inne rozwiązania zaakceptowane przez Inżyniera.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Klasa betonu powinna być zgodna z dokumentacją projektową. Beton powinien odpowiadać wymaganiom PN-B-06250:1988 </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2.3.1. Cement</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Cement stosowany do betonu powinien być cementem CEM Iklasy N 32,5, odpowiadający wymaganiom PN-EN-197-1.</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2.3.2. Kruszywo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Kruszywo stosowane do betonu powinno odpowiadać wymaganiom PN-EN-12620:2004. Zaleca się stosowanie kruszywa o marce nie niższej niż klasa betonu.</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2.3.3. Woda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Woda do betonu powinna być zgodna z wymaganiami normy PN-EN-1008:2004.</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2.3.4. Domieszki chemiczne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Domieszki chemiczne do betonu powinny być stosowane jeśli przewiduje je dokumentacja projektowa, lub wskazania Inżyniera. Domieszki chemiczne powinny odpowiadać wymaganiom PN-B-23010:1985.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 betonie niezbrojonym zaleca się stosować domieszki napowietrzające, a w betonie zbrojonym dodatkowo domieszki uplastyczniające lub upłynniające.</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2.3.5. Pręty zbrojenia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Pręty zbrojenia w fundamentach z betonu zbrojonego powinny odpowiadać wymaganiom PN-B-06251:1963.</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2.4. Konstrukcje wsporcze</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2.4.1. Ogólne charakterystyki konstrukcji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Konstrukcje wsporcze znaków pionowych należy wykonać zgodnie z dokumentacją projektową a w przypadku braku wystarczających ustaleń, zgodnie z propozycją Wykonawcy zaakceptowaną przez Inżyniera.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Konstrukcje wsporcze można wykonać z ocynkowanych rur.</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Wymiary i najważniejsze charakterystyki elementów konstrukcji wsporczej z rur i kątowników podano w tablicy 1.</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Tablica 1. Rury stalowe okrągłe bez szwu walcowane na gorąco wg PN-H-74219</w:t>
      </w:r>
    </w:p>
    <w:tbl>
      <w:tblPr>
        <w:tblW w:w="0" w:type="auto"/>
        <w:tblInd w:w="2" w:type="dxa"/>
        <w:tblLayout w:type="fixed"/>
        <w:tblCellMar>
          <w:left w:w="70" w:type="dxa"/>
          <w:right w:w="70" w:type="dxa"/>
        </w:tblCellMar>
        <w:tblLook w:val="0000"/>
      </w:tblPr>
      <w:tblGrid>
        <w:gridCol w:w="1204"/>
        <w:gridCol w:w="1843"/>
        <w:gridCol w:w="1985"/>
        <w:gridCol w:w="1241"/>
        <w:gridCol w:w="1241"/>
      </w:tblGrid>
      <w:tr w:rsidR="00656AC1" w:rsidRPr="00203191">
        <w:tc>
          <w:tcPr>
            <w:tcW w:w="1204" w:type="dxa"/>
            <w:tcBorders>
              <w:top w:val="single" w:sz="6" w:space="0" w:color="auto"/>
              <w:lef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Średnica</w:t>
            </w:r>
          </w:p>
        </w:tc>
        <w:tc>
          <w:tcPr>
            <w:tcW w:w="1843" w:type="dxa"/>
            <w:tcBorders>
              <w:top w:val="single" w:sz="6" w:space="0" w:color="auto"/>
              <w:lef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Grubość</w:t>
            </w:r>
          </w:p>
        </w:tc>
        <w:tc>
          <w:tcPr>
            <w:tcW w:w="1985" w:type="dxa"/>
            <w:tcBorders>
              <w:top w:val="single" w:sz="6" w:space="0" w:color="auto"/>
              <w:lef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Masa 1 m</w:t>
            </w:r>
          </w:p>
        </w:tc>
        <w:tc>
          <w:tcPr>
            <w:tcW w:w="2477" w:type="dxa"/>
            <w:gridSpan w:val="2"/>
            <w:tcBorders>
              <w:top w:val="single" w:sz="6" w:space="0" w:color="auto"/>
              <w:left w:val="single" w:sz="6" w:space="0" w:color="auto"/>
              <w:bottom w:val="sing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Dopuszczalne odchyłki</w:t>
            </w:r>
          </w:p>
        </w:tc>
      </w:tr>
      <w:tr w:rsidR="00656AC1" w:rsidRPr="00203191">
        <w:tc>
          <w:tcPr>
            <w:tcW w:w="1204" w:type="dxa"/>
            <w:tcBorders>
              <w:left w:val="single" w:sz="6" w:space="0" w:color="auto"/>
              <w:bottom w:val="doub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zewnętrzna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mm</w:t>
            </w:r>
          </w:p>
        </w:tc>
        <w:tc>
          <w:tcPr>
            <w:tcW w:w="1843" w:type="dxa"/>
            <w:tcBorders>
              <w:bottom w:val="doub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ścianki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mm</w:t>
            </w:r>
          </w:p>
        </w:tc>
        <w:tc>
          <w:tcPr>
            <w:tcW w:w="1985" w:type="dxa"/>
            <w:tcBorders>
              <w:left w:val="single" w:sz="6" w:space="0" w:color="auto"/>
              <w:bottom w:val="doub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kg/m</w:t>
            </w:r>
          </w:p>
        </w:tc>
        <w:tc>
          <w:tcPr>
            <w:tcW w:w="1241"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średnicy zewnętrznej</w:t>
            </w:r>
          </w:p>
        </w:tc>
        <w:tc>
          <w:tcPr>
            <w:tcW w:w="1241" w:type="dxa"/>
            <w:tcBorders>
              <w:top w:val="single" w:sz="6" w:space="0" w:color="auto"/>
              <w:left w:val="single" w:sz="6" w:space="0" w:color="auto"/>
              <w:bottom w:val="doub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grubości ścianki</w:t>
            </w:r>
          </w:p>
        </w:tc>
      </w:tr>
      <w:tr w:rsidR="00656AC1" w:rsidRPr="00203191">
        <w:tc>
          <w:tcPr>
            <w:tcW w:w="1204" w:type="dxa"/>
            <w:tcBorders>
              <w:left w:val="single" w:sz="6" w:space="0" w:color="auto"/>
              <w:bottom w:val="sing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44,5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48,3</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51,0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54,0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57,0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60,3</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63,5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70,0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76,1</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82,5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88,9</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101,6</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102,0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108,0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114,0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114,3</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121,0</w:t>
            </w:r>
          </w:p>
        </w:tc>
        <w:tc>
          <w:tcPr>
            <w:tcW w:w="1843" w:type="dxa"/>
            <w:tcBorders>
              <w:left w:val="single" w:sz="6" w:space="0" w:color="auto"/>
              <w:bottom w:val="sing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od 2,6 do 11,0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2,6 do 11,0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2,6 do 12,5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2,6 do 14,2</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2,9 do 14,2</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2,9 do 14,2</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2,9 do 16,0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2,9 do 16,0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2,9 do 20,0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3,2 do 20,0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3,2 do 34,0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3,6 do 20,0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4,0 do 12,0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3,6 do 20,0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od 4,0 do 14,0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3,6 do 20,0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4,0 do 16,0</w:t>
            </w:r>
          </w:p>
        </w:tc>
        <w:tc>
          <w:tcPr>
            <w:tcW w:w="1985" w:type="dxa"/>
            <w:tcBorders>
              <w:left w:val="single" w:sz="6" w:space="0" w:color="auto"/>
              <w:bottom w:val="sing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od 2,69 do 9,09</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2,93 do 10,01</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3,10 do 11,9</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3,30 do 13,9</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3,87 do 15,0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4,11 do 16,1</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4,33 do 18,7</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4,80 do 21,3</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5,24 do 27,7</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6,26 do 30,8</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6,76 do 34,0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8,70 do 40,2</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9,67 do 26,6</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9,27 do 43,4</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od 10,9 do 34,5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9,83 do 46,5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 11,5 do 41,4</w:t>
            </w:r>
          </w:p>
        </w:tc>
        <w:tc>
          <w:tcPr>
            <w:tcW w:w="1241" w:type="dxa"/>
            <w:tcBorders>
              <w:left w:val="single" w:sz="6" w:space="0" w:color="auto"/>
              <w:bottom w:val="sing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p>
          <w:p w:rsidR="00656AC1" w:rsidRPr="00203191" w:rsidRDefault="00656AC1" w:rsidP="00364E4D">
            <w:pPr>
              <w:numPr>
                <w:ilvl w:val="12"/>
                <w:numId w:val="0"/>
              </w:numPr>
              <w:tabs>
                <w:tab w:val="left" w:pos="9914"/>
              </w:tabs>
              <w:rPr>
                <w:rFonts w:ascii="Calibri" w:hAnsi="Calibri" w:cs="Calibri"/>
              </w:rPr>
            </w:pPr>
            <w:r>
              <w:rPr>
                <w:rFonts w:ascii="Calibri" w:hAnsi="Calibri" w:cs="Calibri"/>
              </w:rPr>
              <w:t>±</w:t>
            </w:r>
            <w:r w:rsidRPr="00203191">
              <w:rPr>
                <w:rFonts w:ascii="Calibri" w:hAnsi="Calibri" w:cs="Calibri"/>
              </w:rPr>
              <w:t xml:space="preserve"> 1,25 %</w:t>
            </w:r>
          </w:p>
        </w:tc>
        <w:tc>
          <w:tcPr>
            <w:tcW w:w="1241" w:type="dxa"/>
            <w:tcBorders>
              <w:left w:val="single" w:sz="6" w:space="0" w:color="auto"/>
              <w:bottom w:val="single" w:sz="6" w:space="0" w:color="auto"/>
              <w:right w:val="single" w:sz="6" w:space="0" w:color="auto"/>
            </w:tcBorders>
          </w:tcPr>
          <w:p w:rsidR="00656AC1" w:rsidRPr="00203191" w:rsidRDefault="00656AC1" w:rsidP="00364E4D">
            <w:pPr>
              <w:numPr>
                <w:ilvl w:val="12"/>
                <w:numId w:val="0"/>
              </w:numPr>
              <w:tabs>
                <w:tab w:val="left" w:pos="9914"/>
              </w:tabs>
              <w:rPr>
                <w:rFonts w:ascii="Calibri" w:hAnsi="Calibri" w:cs="Calibri"/>
              </w:rPr>
            </w:pPr>
          </w:p>
          <w:p w:rsidR="00656AC1" w:rsidRPr="00203191" w:rsidRDefault="00656AC1" w:rsidP="00364E4D">
            <w:pPr>
              <w:numPr>
                <w:ilvl w:val="12"/>
                <w:numId w:val="0"/>
              </w:numPr>
              <w:tabs>
                <w:tab w:val="left" w:pos="9914"/>
              </w:tabs>
              <w:rPr>
                <w:rFonts w:ascii="Calibri" w:hAnsi="Calibri" w:cs="Calibri"/>
              </w:rPr>
            </w:pPr>
            <w:r>
              <w:rPr>
                <w:rFonts w:ascii="Calibri" w:hAnsi="Calibri" w:cs="Calibri"/>
              </w:rPr>
              <w:t>±</w:t>
            </w:r>
            <w:r w:rsidRPr="00203191">
              <w:rPr>
                <w:rFonts w:ascii="Calibri" w:hAnsi="Calibri" w:cs="Calibri"/>
              </w:rPr>
              <w:t xml:space="preserve"> 15 %</w:t>
            </w:r>
          </w:p>
        </w:tc>
      </w:tr>
    </w:tbl>
    <w:p w:rsidR="00656AC1" w:rsidRPr="00203191" w:rsidRDefault="00656AC1" w:rsidP="00364E4D">
      <w:pPr>
        <w:numPr>
          <w:ilvl w:val="12"/>
          <w:numId w:val="0"/>
        </w:numPr>
        <w:tabs>
          <w:tab w:val="left" w:pos="9914"/>
        </w:tabs>
        <w:rPr>
          <w:rFonts w:ascii="Calibri" w:hAnsi="Calibri" w:cs="Calibri"/>
        </w:rPr>
      </w:pPr>
    </w:p>
    <w:p w:rsidR="00656AC1" w:rsidRPr="00203191" w:rsidRDefault="00656AC1" w:rsidP="00446FC2">
      <w:pPr>
        <w:overflowPunct/>
        <w:autoSpaceDE/>
        <w:autoSpaceDN/>
        <w:adjustRightInd/>
        <w:spacing w:after="200" w:line="276" w:lineRule="auto"/>
        <w:jc w:val="left"/>
        <w:textAlignment w:val="auto"/>
        <w:rPr>
          <w:rFonts w:ascii="Calibri" w:hAnsi="Calibri" w:cs="Calibri"/>
          <w:b/>
          <w:bCs/>
          <w:i/>
          <w:iCs/>
        </w:rPr>
      </w:pPr>
      <w:r w:rsidRPr="00203191">
        <w:rPr>
          <w:rFonts w:ascii="Calibri" w:hAnsi="Calibri" w:cs="Calibri"/>
          <w:b/>
          <w:bCs/>
          <w:i/>
          <w:iCs/>
        </w:rPr>
        <w:t>2.4.2. Rury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Rury powinny odpowiadać wymaganiom PN-H-74219, PN-H-74220 lub innej normy zaakceptowanej przez Inżyniera.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Końce rur powinny być obcięte równo i prostopadle do osi rury.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Pożądane jest, aby rury były dostarczane o długościach:</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 xml:space="preserve">dokładnych, zgodnych z zamówieniem; z dopuszczalną odchyłką </w:t>
      </w:r>
      <w:r>
        <w:rPr>
          <w:rFonts w:ascii="Calibri" w:hAnsi="Calibri" w:cs="Calibri"/>
        </w:rPr>
        <w:t>±</w:t>
      </w:r>
      <w:r w:rsidRPr="00203191">
        <w:rPr>
          <w:rFonts w:ascii="Calibri" w:hAnsi="Calibri" w:cs="Calibri"/>
        </w:rPr>
        <w:t xml:space="preserve"> 10 mm,</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wielokrotnych w stosunku do zamówionych długości dokładnych poniżej 3 m z naddatkiem 5 mm na każde cięcie i z dopuszczalną odchyłką dla całej długości wielokrotnej, jak dla długości dokładnych.</w:t>
      </w:r>
    </w:p>
    <w:p w:rsidR="00656AC1" w:rsidRPr="00203191" w:rsidRDefault="00656AC1" w:rsidP="00364E4D">
      <w:pPr>
        <w:tabs>
          <w:tab w:val="left" w:pos="9914"/>
        </w:tabs>
        <w:rPr>
          <w:rFonts w:ascii="Calibri" w:hAnsi="Calibri" w:cs="Calibri"/>
        </w:rPr>
      </w:pPr>
      <w:r w:rsidRPr="00203191">
        <w:rPr>
          <w:rFonts w:ascii="Calibri" w:hAnsi="Calibri" w:cs="Calibri"/>
        </w:rPr>
        <w:t>Rury powinny być proste. Dopuszczalna miejscowa krzywizna nie powinna przekraczać 1,5 mm na 1 m długości rury.</w:t>
      </w:r>
    </w:p>
    <w:p w:rsidR="00656AC1" w:rsidRPr="00203191" w:rsidRDefault="00656AC1" w:rsidP="00364E4D">
      <w:pPr>
        <w:tabs>
          <w:tab w:val="left" w:pos="9914"/>
        </w:tabs>
        <w:rPr>
          <w:rFonts w:ascii="Calibri" w:hAnsi="Calibri" w:cs="Calibri"/>
        </w:rPr>
      </w:pPr>
      <w:r w:rsidRPr="00203191">
        <w:rPr>
          <w:rFonts w:ascii="Calibri" w:hAnsi="Calibri" w:cs="Calibri"/>
        </w:rPr>
        <w:t>Rury powinny być wykonane ze stali w gatunkach dopuszczonych przez normy (np. R 55, R 65, 18G2A): PN-H-84023-07, PN-H-84018, PN-H-84019, PN-H-84030-02 lub inne normy.</w:t>
      </w:r>
    </w:p>
    <w:p w:rsidR="00656AC1" w:rsidRPr="00203191" w:rsidRDefault="00656AC1" w:rsidP="00364E4D">
      <w:pPr>
        <w:tabs>
          <w:tab w:val="left" w:pos="9914"/>
        </w:tabs>
        <w:rPr>
          <w:rFonts w:ascii="Calibri" w:hAnsi="Calibri" w:cs="Calibri"/>
        </w:rPr>
      </w:pPr>
      <w:r w:rsidRPr="00203191">
        <w:rPr>
          <w:rFonts w:ascii="Calibri" w:hAnsi="Calibri" w:cs="Calibri"/>
        </w:rPr>
        <w:t>Do ocynkowania rur stosuje się gatunek cynku Raf według PN-H-82200.</w:t>
      </w:r>
    </w:p>
    <w:p w:rsidR="00656AC1" w:rsidRPr="00203191" w:rsidRDefault="00656AC1" w:rsidP="00364E4D">
      <w:pPr>
        <w:tabs>
          <w:tab w:val="left" w:pos="9914"/>
        </w:tabs>
        <w:rPr>
          <w:rFonts w:ascii="Calibri" w:hAnsi="Calibri" w:cs="Calibri"/>
        </w:rPr>
      </w:pPr>
      <w:r w:rsidRPr="00203191">
        <w:rPr>
          <w:rFonts w:ascii="Calibri" w:hAnsi="Calibri" w:cs="Calibri"/>
        </w:rPr>
        <w:t>Rury powinny być dostarczone bez opakowania w wiązkach lub luzem względnie w opakowaniu uzgodnionym z Zamawiającym. Rury powinny być cechowane indywidualnie (dotyczy średnic 31,8 mm i większych i grubości ścianek 3,2 mm i większych) lub na przywieszkach metalowych (dotyczy średnic i grubości mniejszych od wyżej wymienionych). Cechowanie na rurze lub przywieszce powinno co najmniej obejmować: znak wytwórcy, znak stali i numer wytopu.</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2.5. Tarcza znaku</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2.5.1.  Trwałość materiałów na wpływy zewnętrzne</w:t>
      </w:r>
    </w:p>
    <w:p w:rsidR="00656AC1" w:rsidRPr="00203191" w:rsidRDefault="00A95FEE" w:rsidP="00364E4D">
      <w:pPr>
        <w:tabs>
          <w:tab w:val="left" w:pos="9914"/>
        </w:tabs>
        <w:rPr>
          <w:rFonts w:ascii="Calibri" w:hAnsi="Calibri" w:cs="Calibri"/>
        </w:rPr>
      </w:pPr>
      <w:r>
        <w:rPr>
          <w:rFonts w:ascii="Calibri" w:hAnsi="Calibri" w:cs="Calibri"/>
        </w:rPr>
        <w:t>Wyroby budowlane</w:t>
      </w:r>
      <w:r w:rsidR="00656AC1" w:rsidRPr="00203191">
        <w:rPr>
          <w:rFonts w:ascii="Calibri" w:hAnsi="Calibri" w:cs="Calibri"/>
        </w:rPr>
        <w:t xml:space="preserve">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2.5.2. Warunki gwarancyjne producenta lub dostawcy znaku</w:t>
      </w:r>
    </w:p>
    <w:p w:rsidR="00656AC1" w:rsidRPr="00203191" w:rsidRDefault="00656AC1" w:rsidP="00364E4D">
      <w:pPr>
        <w:tabs>
          <w:tab w:val="left" w:pos="9914"/>
        </w:tabs>
        <w:rPr>
          <w:rFonts w:ascii="Calibri" w:hAnsi="Calibri" w:cs="Calibri"/>
        </w:rPr>
      </w:pPr>
      <w:r w:rsidRPr="00203191">
        <w:rPr>
          <w:rFonts w:ascii="Calibri" w:hAnsi="Calibri" w:cs="Calibri"/>
        </w:rPr>
        <w:t>Producent lub dostawca znaku obowiązany jest przy dostawie określić, uzgodnioną z odbiorcą, trwałość znaku oraz warunki gwarancyjne dla znaku, a także udostępnić na życzenie odbiorcy:</w:t>
      </w:r>
    </w:p>
    <w:p w:rsidR="00656AC1" w:rsidRPr="00203191" w:rsidRDefault="00656AC1" w:rsidP="00973D29">
      <w:pPr>
        <w:numPr>
          <w:ilvl w:val="0"/>
          <w:numId w:val="22"/>
        </w:numPr>
        <w:tabs>
          <w:tab w:val="left" w:pos="9914"/>
        </w:tabs>
        <w:rPr>
          <w:rFonts w:ascii="Calibri" w:hAnsi="Calibri" w:cs="Calibri"/>
        </w:rPr>
      </w:pPr>
      <w:r w:rsidRPr="00203191">
        <w:rPr>
          <w:rFonts w:ascii="Calibri" w:hAnsi="Calibri" w:cs="Calibri"/>
        </w:rPr>
        <w:t>instrukcję montażu znaku,</w:t>
      </w:r>
    </w:p>
    <w:p w:rsidR="00656AC1" w:rsidRPr="00203191" w:rsidRDefault="00656AC1" w:rsidP="00973D29">
      <w:pPr>
        <w:numPr>
          <w:ilvl w:val="0"/>
          <w:numId w:val="22"/>
        </w:numPr>
        <w:tabs>
          <w:tab w:val="left" w:pos="9914"/>
        </w:tabs>
        <w:rPr>
          <w:rFonts w:ascii="Calibri" w:hAnsi="Calibri" w:cs="Calibri"/>
        </w:rPr>
      </w:pPr>
      <w:r w:rsidRPr="00203191">
        <w:rPr>
          <w:rFonts w:ascii="Calibri" w:hAnsi="Calibri" w:cs="Calibri"/>
        </w:rPr>
        <w:t>dane szczegółowe o ewentualnych ograniczeniach w stosowaniu znaku,</w:t>
      </w:r>
    </w:p>
    <w:p w:rsidR="00656AC1" w:rsidRPr="00203191" w:rsidRDefault="00656AC1" w:rsidP="00973D29">
      <w:pPr>
        <w:numPr>
          <w:ilvl w:val="0"/>
          <w:numId w:val="22"/>
        </w:numPr>
        <w:tabs>
          <w:tab w:val="left" w:pos="9914"/>
        </w:tabs>
        <w:rPr>
          <w:rFonts w:ascii="Calibri" w:hAnsi="Calibri" w:cs="Calibri"/>
        </w:rPr>
      </w:pPr>
      <w:r w:rsidRPr="00203191">
        <w:rPr>
          <w:rFonts w:ascii="Calibri" w:hAnsi="Calibri" w:cs="Calibri"/>
        </w:rPr>
        <w:t>instrukcję utrzymania znaku.</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 xml:space="preserve">2.5.3. </w:t>
      </w:r>
      <w:r w:rsidR="00A95FEE">
        <w:rPr>
          <w:rFonts w:ascii="Calibri" w:hAnsi="Calibri" w:cs="Calibri"/>
          <w:b/>
          <w:bCs/>
          <w:i/>
          <w:iCs/>
        </w:rPr>
        <w:t>Wyroby budowlane</w:t>
      </w:r>
      <w:r w:rsidRPr="00203191">
        <w:rPr>
          <w:rFonts w:ascii="Calibri" w:hAnsi="Calibri" w:cs="Calibri"/>
          <w:b/>
          <w:bCs/>
          <w:i/>
          <w:iCs/>
        </w:rPr>
        <w:t xml:space="preserve"> do wykonania tarczy znaku</w:t>
      </w:r>
    </w:p>
    <w:p w:rsidR="00656AC1" w:rsidRPr="00203191" w:rsidRDefault="00656AC1" w:rsidP="00364E4D">
      <w:pPr>
        <w:tabs>
          <w:tab w:val="left" w:pos="9914"/>
        </w:tabs>
        <w:rPr>
          <w:rFonts w:ascii="Calibri" w:hAnsi="Calibri" w:cs="Calibri"/>
        </w:rPr>
      </w:pPr>
      <w:r w:rsidRPr="00203191">
        <w:rPr>
          <w:rFonts w:ascii="Calibri" w:hAnsi="Calibri" w:cs="Calibri"/>
        </w:rPr>
        <w:t>Materiałem stosowanymi do wykonania tarczy znaku drogowego jest blacha stalowa,</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2.5.4. Tarcza znaku z blachy stalowej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Tarcza znaku z blachy stalowej grubości co najmniej 1,0 mm powinna być zabezpieczona przed korozją obustronnie cynkowaniem ogniowym lub elektrolitycznym. Dopuszcza się stosowanie innych sposobów zabezpieczenia stalowych tarcz znaków przed korozją, np. przez metalizowanie lub pokrywanie tworzywami syntetycznymi pod warunkiem uzyskania aprobaty technicznej dla danej technologii.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Nie dopuszcza się stosowania stalowych tarcz znaków, zabezpieczonych przed korozją jedynie farbami antykorozyjnymi.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Krawędzie tarczy powinny być zabezpieczone przed korozją farbami ochronnymi o odpowiedniej trwałości, nie mniejszej niż przewidywany okres użytkowania znaku.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Wytrzymałość dla tarczy znaku z blachy stalowej nie powinna być mniejsza niż 310 MPa.</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2.5.6. Warunki wykonania tarczy znaku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Tarcza znaku musi być równa i gładka - bez odkształceń płaszczyzny znaku, w tym pofałdowań, wgięć, lokalnych wgnieceń lub nierówności itp. Odchylenie płaszczyzny tarczy znaku (zwichrowanie, pofałdowanie itp.) nie może wynosić więcej niż 1,5 % największego wymiaru znaku.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Krawędzie tarczy znaku muszą być równe i nieostre. Zniekształcenia krawędzi tarczy znaku, pozostałe po tłoczeniu lub innych procesach technologicznych, którym tarcza ta (w znakach drogowych składanych - segmenty tarczy) była poddana, muszą być usunięte.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Tarcze znaków drogowych składanych mogą być wykonane z modułowych kształtowników aluminiowych lub odpowiednio ukształtowanych segmentów stalowych. Dopuszcza się stosowanie modułowych kształtowników z tworzyw syntetycznych lub sklejki wodoodpornej, pod warunkiem uzyskania odpowiedniej aprobaty technicznej. Szczeliny między sąsiednimi segmentami znaku składanego nie mogą być większe od 0,8 mm.</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2.6. Znaki odblaskowe</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2.6.1. Wymagania dotyczące powierzchni odblaskowej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Znaki drogowe odblaskowe wykonuje się z zasady przez oklejenie tarczy znaku materiałem odblaskowym.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Właściwości folii odblaskowej (odbijającej powrotnie) powinny spełniać wymagania określone w aprobacie technicznej.</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2.6.2. Wymagania jakościowe znaku odblaskowego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Folie odblaskowe użyte do wykonania lica znaku powinny wykazywać pełne związanie z tarczą znaku przez cały okres wymaganej trwałości znaku. Niedopuszczalne są lokalne niedoklejenia, odklejania, złuszczenia lub odstawanie folii na krawędziach tarczy znaku oraz na jego powierzchni.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Sposób połączenia folii z powierzchnią tarczy znaku powinien uniemożliwiać jej odłączenie od tarczy bez jej zniszczenia.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Przy malowaniu lub klejeniu symboli lub obrzeży znaków na folii odblaskowej, technologia malowania lub klejenia oraz stosowane w tym celu </w:t>
      </w:r>
      <w:r w:rsidR="00A95FEE">
        <w:rPr>
          <w:rFonts w:ascii="Calibri" w:hAnsi="Calibri" w:cs="Calibri"/>
        </w:rPr>
        <w:t>wyroby budowlane</w:t>
      </w:r>
      <w:r w:rsidRPr="00203191">
        <w:rPr>
          <w:rFonts w:ascii="Calibri" w:hAnsi="Calibri" w:cs="Calibri"/>
        </w:rPr>
        <w:t xml:space="preserve"> powinny być uzgodnione z producentem folii.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Okres trwałości znaku wykonanego przy użyciu folii odblaskowych powinien wynosić od 7 do 10 lat, w zależności od rodzaju materiału.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Powierzchnia lica znaku powinna być równa i gładka, nie mogą na niej występować lokalne nierówności i pofałdowania. Niedopuszczalne jest występowanie jakichkolwiek ognisk korozji, zarówno na powierzchni jak i na obrzeżach tarczy znaku.</w:t>
      </w:r>
    </w:p>
    <w:p w:rsidR="00656AC1" w:rsidRPr="00203191" w:rsidRDefault="00656AC1" w:rsidP="00973D29">
      <w:pPr>
        <w:numPr>
          <w:ilvl w:val="0"/>
          <w:numId w:val="21"/>
        </w:numPr>
        <w:tabs>
          <w:tab w:val="left" w:pos="9914"/>
        </w:tabs>
        <w:ind w:left="0" w:firstLine="0"/>
        <w:rPr>
          <w:rFonts w:ascii="Calibri" w:hAnsi="Calibri" w:cs="Calibri"/>
        </w:rPr>
      </w:pPr>
      <w:r w:rsidRPr="00203191">
        <w:rPr>
          <w:rFonts w:ascii="Calibri" w:hAnsi="Calibri" w:cs="Calibri"/>
        </w:rPr>
        <w:t xml:space="preserve">Dokładność rysunku znaku powinna być taka, aby wady konturów znaku, które mogą powstać przy nanoszeniu farby na odblaskową powierzchnię znaku, nie były większe niż 2 mm </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Powstałe zacieki przy nanoszeniu farby na odblaskową część znaku nie powinny być większe w każdym kierunku niż 2 mm .</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Uszkodzenia folii nie mogą zniekształcać treści znaku - w przypadku występowania takiego zniekształcenia znak musi być bezzwłocznie wymieniony.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 znakach nowych niedopuszczalne jest występowanie jakichkolwiek rys, sięgających przez warstwę folii do powierzchni tarczy znaku. W znakach użytkowanych istnienie takich rys jest dopuszczalne pod warunkiem, że występujące w ich otoczeniu ogniska korozyjne nie przekroczą wielkości określonych poniżej.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Wymagana jest taka wytrzymałość połączenia folii odblaskowej z tarczą znaku, by po zgięciu tarczy o 90</w:t>
      </w:r>
      <w:r w:rsidRPr="00203191">
        <w:rPr>
          <w:rFonts w:ascii="Calibri" w:hAnsi="Calibri" w:cs="Calibri"/>
          <w:vertAlign w:val="superscript"/>
        </w:rPr>
        <w:t>o</w:t>
      </w:r>
      <w:r w:rsidRPr="00203191">
        <w:rPr>
          <w:rFonts w:ascii="Calibri" w:hAnsi="Calibri" w:cs="Calibri"/>
        </w:rPr>
        <w:t xml:space="preserve"> przy promieniu łuku zgięcia do 10 mm w żadnym miejscu nie uległo ono zniszczeniu.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Tylna strona tarczy znaków odblaskowych musi być zabezpieczona matową farbą nieodblaskową barwy ciemno-szarej (szarej naturalnej) o współczynniku luminancji 0,08 do 0,10. Grubość powłoki farby nie może być mniejsza od 20 </w:t>
      </w:r>
      <w:r w:rsidRPr="00203191">
        <w:rPr>
          <w:rFonts w:ascii="Calibri" w:hAnsi="Calibri" w:cs="Calibri"/>
        </w:rPr>
        <w:sym w:font="Symbol" w:char="F06D"/>
      </w:r>
      <w:r w:rsidRPr="00203191">
        <w:rPr>
          <w:rFonts w:ascii="Calibri" w:hAnsi="Calibri" w:cs="Calibri"/>
        </w:rPr>
        <w:t>m. Gdy tarcza znaku jest wykonana z aluminium lub ze stali cynkowanej ogniowo i cynkowanie to jest wykonywane po ukształtowaniu tarczy - jej krawędzie mogą pozostać niezabezpieczone farbą ochronną.</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2.7. Przechowywanie i składowanie materiałów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Cement stosowany do wykonania fundamentów dla pionowych znaków drogowych powinien być przechowywany zgodnie z BN-88/6731-08.</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Kruszywo do betonu należy przechowywać w warunkach zabezpieczających je przed zanieczyszczeniem oraz zmieszaniem z kruszywami innych klas.</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Prefabrykaty betonowe powinny być składowane na wyrównanym, utwardzonym i odwodnionym podłożu. Prefabrykaty należy układać na podkładach z zachowaniem prześwitu minimum 10 cm między podłożem a prefabrykatem.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Znaki powinny być przechowywane w pomieszczeniach suchych, z dala od materiałów działających korodująco i w warunkach zabezpieczających przed uszkodzeniami.</w:t>
      </w:r>
    </w:p>
    <w:p w:rsidR="00656AC1" w:rsidRPr="00203191" w:rsidRDefault="00656AC1" w:rsidP="00364E4D">
      <w:pPr>
        <w:pStyle w:val="Nagwek3"/>
        <w:tabs>
          <w:tab w:val="left" w:pos="9914"/>
        </w:tabs>
        <w:rPr>
          <w:rFonts w:ascii="Calibri" w:hAnsi="Calibri" w:cs="Calibri"/>
        </w:rPr>
      </w:pPr>
      <w:bookmarkStart w:id="1135" w:name="_Toc425833582"/>
      <w:r w:rsidRPr="00203191">
        <w:rPr>
          <w:rFonts w:ascii="Calibri" w:hAnsi="Calibri" w:cs="Calibri"/>
        </w:rPr>
        <w:t>3. SPRZĘT</w:t>
      </w:r>
      <w:bookmarkEnd w:id="1135"/>
    </w:p>
    <w:p w:rsidR="00656AC1" w:rsidRPr="00203191" w:rsidRDefault="00656AC1" w:rsidP="00364E4D">
      <w:pPr>
        <w:pStyle w:val="Nagwek4"/>
        <w:tabs>
          <w:tab w:val="left" w:pos="9914"/>
        </w:tabs>
        <w:rPr>
          <w:rFonts w:ascii="Calibri" w:hAnsi="Calibri" w:cs="Calibri"/>
        </w:rPr>
      </w:pPr>
      <w:r w:rsidRPr="00203191">
        <w:rPr>
          <w:rFonts w:ascii="Calibri" w:hAnsi="Calibri" w:cs="Calibri"/>
        </w:rPr>
        <w:t>3.1. Ogólne wymagania dotyczące sprzętu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wymagania dotyczące sprzętu podano w </w:t>
      </w:r>
      <w:r w:rsidR="005B48CA">
        <w:rPr>
          <w:rFonts w:ascii="Calibri" w:hAnsi="Calibri" w:cs="Calibri"/>
        </w:rPr>
        <w:t>STWiORB</w:t>
      </w:r>
      <w:r w:rsidRPr="00203191">
        <w:rPr>
          <w:rFonts w:ascii="Calibri" w:hAnsi="Calibri" w:cs="Calibri"/>
        </w:rPr>
        <w:t xml:space="preserve"> D-M-00.00.00 „Wymagania ogólne” pkt 3.</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3.2. Sprzęt do wykonania oznakowania pionowego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Wykonawca przystępujący do wykonania oznakowania pionowego powinien wykazać się możliwością korzystania z następującego sprzętu:</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koparek kołowych, np. 0,15 m</w:t>
      </w:r>
      <w:r w:rsidRPr="00203191">
        <w:rPr>
          <w:rFonts w:ascii="Calibri" w:hAnsi="Calibri" w:cs="Calibri"/>
          <w:vertAlign w:val="superscript"/>
        </w:rPr>
        <w:t>3</w:t>
      </w:r>
      <w:r w:rsidRPr="00203191">
        <w:rPr>
          <w:rFonts w:ascii="Calibri" w:hAnsi="Calibri" w:cs="Calibri"/>
        </w:rPr>
        <w:t xml:space="preserve"> lub koparek gąsienicowych, np. 0,25 m</w:t>
      </w:r>
      <w:r w:rsidRPr="00203191">
        <w:rPr>
          <w:rFonts w:ascii="Calibri" w:hAnsi="Calibri" w:cs="Calibri"/>
          <w:vertAlign w:val="superscript"/>
        </w:rPr>
        <w:t>3</w:t>
      </w:r>
      <w:r w:rsidRPr="00203191">
        <w:rPr>
          <w:rFonts w:ascii="Calibri" w:hAnsi="Calibri" w:cs="Calibri"/>
        </w:rPr>
        <w:t>,</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żurawi samochodowych o udźwigu do 4 t,</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ewentualnie wiertnic do wykonywania dołów pod słupki w gruncie spoistym,</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betoniarek przewoźnych do wykonywania fundamentów betonowych „na mokro”,</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środków transportowych do przewozu materiałów,</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przewoźnych zbiorników na wodę,</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sprzętu spawalniczego, itp.</w:t>
      </w:r>
    </w:p>
    <w:p w:rsidR="00656AC1" w:rsidRPr="00203191" w:rsidRDefault="00656AC1" w:rsidP="00364E4D">
      <w:pPr>
        <w:pStyle w:val="Nagwek3"/>
        <w:tabs>
          <w:tab w:val="left" w:pos="9914"/>
        </w:tabs>
        <w:rPr>
          <w:rFonts w:ascii="Calibri" w:hAnsi="Calibri" w:cs="Calibri"/>
        </w:rPr>
      </w:pPr>
      <w:bookmarkStart w:id="1136" w:name="_Toc425833583"/>
      <w:r w:rsidRPr="00203191">
        <w:rPr>
          <w:rFonts w:ascii="Calibri" w:hAnsi="Calibri" w:cs="Calibri"/>
        </w:rPr>
        <w:t>4. TRANSPORT</w:t>
      </w:r>
      <w:bookmarkEnd w:id="1136"/>
    </w:p>
    <w:p w:rsidR="00656AC1" w:rsidRPr="00203191" w:rsidRDefault="00656AC1" w:rsidP="00364E4D">
      <w:pPr>
        <w:pStyle w:val="Nagwek4"/>
        <w:tabs>
          <w:tab w:val="left" w:pos="9914"/>
        </w:tabs>
        <w:rPr>
          <w:rFonts w:ascii="Calibri" w:hAnsi="Calibri" w:cs="Calibri"/>
        </w:rPr>
      </w:pPr>
      <w:r w:rsidRPr="00203191">
        <w:rPr>
          <w:rFonts w:ascii="Calibri" w:hAnsi="Calibri" w:cs="Calibri"/>
        </w:rPr>
        <w:t>4.1. Ogólne wymagania dotyczące transportu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wymagania dotyczące transportu podano w </w:t>
      </w:r>
      <w:r w:rsidR="005B48CA">
        <w:rPr>
          <w:rFonts w:ascii="Calibri" w:hAnsi="Calibri" w:cs="Calibri"/>
        </w:rPr>
        <w:t>STWiORB</w:t>
      </w:r>
      <w:r w:rsidRPr="00203191">
        <w:rPr>
          <w:rFonts w:ascii="Calibri" w:hAnsi="Calibri" w:cs="Calibri"/>
        </w:rPr>
        <w:t xml:space="preserve"> D-M-00.00.00 „Wymagania ogólne” pkt 4.</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4.2. Transport materiałów do pionowego oznakowania dróg</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Transport cementu powinien odbywać się  zgodnie z BN-88/6731-08.</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Transport kruszywa  powinien odbywać się  zgodnie z PN-B-06712.</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Prefabrykaty betonowe - do zamocowania konstrukcji wsporczych znaków, powinny być przewożone środkami transportowymi w warunkach zabezpieczających je przed uszkodzeniami. Rozmieszczenie prefabrykatów na środkach transportu powinno być symetryczne.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Transport znaków, konstrukcji wsporczych i sprzętu (uchwyty, śruby, nakrętki itp.) powinien się odbywać środkami transportowymi w sposób uniemożliwiający ich przesuwanie się w czasie transportu i uszkadzanie.</w:t>
      </w:r>
    </w:p>
    <w:p w:rsidR="00656AC1" w:rsidRPr="00203191" w:rsidRDefault="00656AC1" w:rsidP="00364E4D">
      <w:pPr>
        <w:pStyle w:val="Nagwek3"/>
        <w:tabs>
          <w:tab w:val="left" w:pos="9914"/>
        </w:tabs>
        <w:rPr>
          <w:rFonts w:ascii="Calibri" w:hAnsi="Calibri" w:cs="Calibri"/>
        </w:rPr>
      </w:pPr>
      <w:bookmarkStart w:id="1137" w:name="_Toc425833584"/>
      <w:r w:rsidRPr="00203191">
        <w:rPr>
          <w:rFonts w:ascii="Calibri" w:hAnsi="Calibri" w:cs="Calibri"/>
        </w:rPr>
        <w:t>5. WYKONANIE ROBÓT</w:t>
      </w:r>
      <w:bookmarkEnd w:id="1137"/>
    </w:p>
    <w:p w:rsidR="00656AC1" w:rsidRPr="00203191" w:rsidRDefault="00656AC1" w:rsidP="00364E4D">
      <w:pPr>
        <w:pStyle w:val="Nagwek4"/>
        <w:tabs>
          <w:tab w:val="left" w:pos="9914"/>
        </w:tabs>
        <w:rPr>
          <w:rFonts w:ascii="Calibri" w:hAnsi="Calibri" w:cs="Calibri"/>
        </w:rPr>
      </w:pPr>
      <w:r w:rsidRPr="00203191">
        <w:rPr>
          <w:rFonts w:ascii="Calibri" w:hAnsi="Calibri" w:cs="Calibri"/>
        </w:rPr>
        <w:t>5.1. Ogólne zasady wykonywania robót</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Ogólne zasady wykonywania robót podano w </w:t>
      </w:r>
      <w:r w:rsidR="005B48CA">
        <w:rPr>
          <w:rFonts w:ascii="Calibri" w:hAnsi="Calibri" w:cs="Calibri"/>
        </w:rPr>
        <w:t>STWiORB</w:t>
      </w:r>
      <w:r w:rsidRPr="00203191">
        <w:rPr>
          <w:rFonts w:ascii="Calibri" w:hAnsi="Calibri" w:cs="Calibri"/>
        </w:rPr>
        <w:t xml:space="preserve"> D-M-00.00.00 „Wymagania ogólne” pkt 5.</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5.2. Roboty przygotowawcze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Przed przystąpieniem do robót należy wyznaczyć:</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lokalizację znaku, tj. jego pikietaż oraz odległość od krawędzi jezdni, krawędzi pobocza umocnionego lub pasa awaryjnego postoju,</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wysokość zamocowania znaku na konstrukcji wsporczej.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Punkty stabilizujące miejsca ustawienia znaków należy zabezpieczyć w taki sposób, aby w czasie trwania i odbioru robót istniała możliwość sprawdzenia lokalizacji znaków.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Lokalizacja i wysokość zamocowania znaku powinny być zgodne z dokumentacją projektową.</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lastRenderedPageBreak/>
        <w:t>5.3. Wykonanie wykopów i fundamentów dla konstrukcji wsporczych znaków</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Sposób wykonania wykopu pod fundament znaku pionowego powinien być dostosowany do głębokości wykopu, rodzaju gruntu i posiadanego sprzętu. Wymiary wykopu powinny być zgodne z dokumentacją projektową lub wskazaniami Inżyniera.</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Wykopy fundamentowe powinny być wykonane w takim okresie, aby po ich zakończeniu można było przystąpić natychmiast do wykonania w nich robót fundamentowych.</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5.3.1. Prefabrykaty betonowe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Dno wykopu przed ułożeniem prefabrykatu należy wyrównać i zagęścić. Wolne przestrzenie między ścianami gruntu i prefabrykatem należy wypełnić materiałem kamiennym, np. klińcem i dokładnie zagęścić ubijakami ręcznymi.</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Jeżeli znak jest zlokalizowany na poboczu drogi, to górna powierzchnia prefabrykatu powinna być równa z powierzchnią pobocza lub być wyniesiona nad tę powierzchnię nie więcej niż 0,03 m.</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5.3.2. Fundamenty z betonu i betonu zbrojonego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Wykopy pod fundamenty konstrukcji wsporczych dla zamocowania znaków wielkowymiarowych (znak kierunku i miejscowości), wykonywane z betonu „na mokro” lub z betonu zbrojonego należy wykonać zgodnie z PN-S-02205.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Posadowienie fundamentów w wykopach otwartych bądź rozpartych należy wykonywać zgodnie z dokumentacją projektową lub wskazaniami Inżyniera. Wykopy należy zabezpieczyć przed napływem wód opadowych przez wyprofilowanie terenu ze spadkiem umożliwiającym łatwy odpływ wody poza teren przylegający do wykopu. Dno wykopu powinno być wyrównane z dokładnością </w:t>
      </w:r>
      <w:r>
        <w:rPr>
          <w:rFonts w:ascii="Calibri" w:hAnsi="Calibri" w:cs="Calibri"/>
        </w:rPr>
        <w:t>±</w:t>
      </w:r>
      <w:r w:rsidRPr="00203191">
        <w:rPr>
          <w:rFonts w:ascii="Calibri" w:hAnsi="Calibri" w:cs="Calibri"/>
        </w:rPr>
        <w:t xml:space="preserve"> 2 cm.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Przy naruszonej strukturze gruntu rodzimego, grunt należy usunąć i miejsce wypełnić do spodu fundamentu betonem klasy B 15. Płaszczyzny boczne fundamentów stykające się z gruntem należy zabezpieczyć izolacją, np. emulsją kationową. Po wykonaniu fundamentu wykop należy zasypać warstwami grubości 20 cm z dokładnym zagęszczeniem gruntu.</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5.4. Tolerancje ustawienia znaku pionowego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Konstrukcje wsporcze znaków - słupki, słupy, wysięgniki, powinny być wykonane zgodnie z dokumentacją.</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Dopuszczalne tolerancje ustawienia znaku:</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 xml:space="preserve">odchyłka od pionu, nie więcej niż </w:t>
      </w:r>
      <w:r>
        <w:rPr>
          <w:rFonts w:ascii="Calibri" w:hAnsi="Calibri" w:cs="Calibri"/>
        </w:rPr>
        <w:t>±</w:t>
      </w:r>
      <w:r w:rsidRPr="00203191">
        <w:rPr>
          <w:rFonts w:ascii="Calibri" w:hAnsi="Calibri" w:cs="Calibri"/>
        </w:rPr>
        <w:t xml:space="preserve"> 1 %,</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 xml:space="preserve">odchyłka w wysokości umieszczenia znaku, nie więcej niż </w:t>
      </w:r>
      <w:r>
        <w:rPr>
          <w:rFonts w:ascii="Calibri" w:hAnsi="Calibri" w:cs="Calibri"/>
        </w:rPr>
        <w:t>±</w:t>
      </w:r>
      <w:r w:rsidRPr="00203191">
        <w:rPr>
          <w:rFonts w:ascii="Calibri" w:hAnsi="Calibri" w:cs="Calibri"/>
        </w:rPr>
        <w:t xml:space="preserve"> 2 cm,</w:t>
      </w:r>
    </w:p>
    <w:p w:rsidR="00656AC1" w:rsidRPr="00203191" w:rsidRDefault="00656AC1" w:rsidP="00973D29">
      <w:pPr>
        <w:numPr>
          <w:ilvl w:val="0"/>
          <w:numId w:val="21"/>
        </w:numPr>
        <w:tabs>
          <w:tab w:val="left" w:pos="9914"/>
        </w:tabs>
        <w:ind w:left="283"/>
        <w:rPr>
          <w:rFonts w:ascii="Calibri" w:hAnsi="Calibri" w:cs="Calibri"/>
        </w:rPr>
      </w:pPr>
      <w:r w:rsidRPr="00203191">
        <w:rPr>
          <w:rFonts w:ascii="Calibri" w:hAnsi="Calibri" w:cs="Calibri"/>
        </w:rPr>
        <w:t xml:space="preserve">odchyłka w odległości ustawienia znaku od krawędzi jezdni utwardzonego pobocza lub pasa awaryjnego postoju, nie więcej niż </w:t>
      </w:r>
      <w:r>
        <w:rPr>
          <w:rFonts w:ascii="Calibri" w:hAnsi="Calibri" w:cs="Calibri"/>
        </w:rPr>
        <w:t>±</w:t>
      </w:r>
      <w:r w:rsidRPr="00203191">
        <w:rPr>
          <w:rFonts w:ascii="Calibri" w:hAnsi="Calibri" w:cs="Calibri"/>
        </w:rPr>
        <w:t xml:space="preserve"> 5 cm, przy zachowaniu minimalnej odległości umieszczenia znaku.</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5.5. Wykonanie spawanych złącz elementów metalowych</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Złącza spawane elementów metalowych powinny odpowiadać wymaganiom PN-M-69011.</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Wytrzymałość zmęczeniowa spoin powinna wynosić od 19 do 32 MPa. Odchyłki wymiarów spoin nie powinny przekraczać </w:t>
      </w:r>
      <w:r>
        <w:rPr>
          <w:rFonts w:ascii="Calibri" w:hAnsi="Calibri" w:cs="Calibri"/>
        </w:rPr>
        <w:t>±</w:t>
      </w:r>
      <w:r w:rsidRPr="00203191">
        <w:rPr>
          <w:rFonts w:ascii="Calibri" w:hAnsi="Calibri" w:cs="Calibri"/>
        </w:rPr>
        <w:t xml:space="preserve"> 0,5 mm dla spoiny grubości do 6 mm i </w:t>
      </w:r>
      <w:r>
        <w:rPr>
          <w:rFonts w:ascii="Calibri" w:hAnsi="Calibri" w:cs="Calibri"/>
        </w:rPr>
        <w:t>±</w:t>
      </w:r>
      <w:r w:rsidRPr="00203191">
        <w:rPr>
          <w:rFonts w:ascii="Calibri" w:hAnsi="Calibri" w:cs="Calibri"/>
        </w:rPr>
        <w:t xml:space="preserve"> 1,0 mm dla spoiny o grubości powyżej 6 mm.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Odstęp w złączach zakładkowych i nakładkowych, pomiędzy przylegającymi do siebie płaszczyznami nie powinien być większy niż 1 mm.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Złącza spawane nie powinny mieć wad większych niż podane w tablicy 2. Inżynier może dopuścić wady większe niż podane w tablicy jeśli uzna, że nie mają one zasadniczego wpływu na cechy eksploatacyjne znaku pionowego.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 xml:space="preserve">Tablica 2. Dopuszczalne wymiary wad w złączach spawanych, wg PN-M-69775 </w:t>
      </w:r>
    </w:p>
    <w:tbl>
      <w:tblPr>
        <w:tblW w:w="8717" w:type="dxa"/>
        <w:tblInd w:w="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6166"/>
        <w:gridCol w:w="2551"/>
      </w:tblGrid>
      <w:tr w:rsidR="00656AC1" w:rsidRPr="00203191">
        <w:tc>
          <w:tcPr>
            <w:tcW w:w="6166" w:type="dxa"/>
            <w:tcBorders>
              <w:bottom w:val="doub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Rodzaj wady</w:t>
            </w:r>
          </w:p>
        </w:tc>
        <w:tc>
          <w:tcPr>
            <w:tcW w:w="2551" w:type="dxa"/>
            <w:tcBorders>
              <w:bottom w:val="double" w:sz="6" w:space="0" w:color="auto"/>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Dopuszczalny wymiar wady,   mm</w:t>
            </w:r>
          </w:p>
        </w:tc>
      </w:tr>
      <w:tr w:rsidR="00656AC1" w:rsidRPr="00203191">
        <w:tc>
          <w:tcPr>
            <w:tcW w:w="6166" w:type="dxa"/>
            <w:tcBorders>
              <w:top w:val="nil"/>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Brak przetopu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Podtopienie lica spoiny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Porowatość spoiny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Krater w spoinie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Wklęśnięcie lica spoiny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Uszkodzenie mechaniczne spoiny</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Różnica wysokości sąsiednich wgłębień  i wypukłości lica spoiny</w:t>
            </w:r>
          </w:p>
        </w:tc>
        <w:tc>
          <w:tcPr>
            <w:tcW w:w="2551" w:type="dxa"/>
            <w:tcBorders>
              <w:top w:val="nil"/>
            </w:tcBorders>
          </w:tcPr>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2,0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3,0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1,5</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1,0</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3,0</w:t>
            </w:r>
          </w:p>
        </w:tc>
      </w:tr>
    </w:tbl>
    <w:p w:rsidR="00656AC1" w:rsidRPr="00203191" w:rsidRDefault="00656AC1" w:rsidP="00364E4D">
      <w:pPr>
        <w:pStyle w:val="Nagwek4"/>
        <w:tabs>
          <w:tab w:val="left" w:pos="9914"/>
        </w:tabs>
        <w:rPr>
          <w:rFonts w:ascii="Calibri" w:hAnsi="Calibri" w:cs="Calibri"/>
        </w:rPr>
      </w:pPr>
      <w:r w:rsidRPr="00203191">
        <w:rPr>
          <w:rFonts w:ascii="Calibri" w:hAnsi="Calibri" w:cs="Calibri"/>
        </w:rPr>
        <w:t>5.6. Konstrukcje wsporcze</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5.6.1. Zabezpieczenie konstrukcji wsporczej przed najechaniem</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lastRenderedPageBreak/>
        <w:t>Konstrukcje wsporcze znaków drogowych bramowych lub wysięgnikowych jedno lub dwustronnych, jak również konstrukcje wsporcze znaków tablicowych bocznych o powierzchni większej od 4,5 m</w:t>
      </w:r>
      <w:r w:rsidRPr="00203191">
        <w:rPr>
          <w:rFonts w:ascii="Calibri" w:hAnsi="Calibri" w:cs="Calibri"/>
          <w:vertAlign w:val="superscript"/>
        </w:rPr>
        <w:t>2</w:t>
      </w:r>
      <w:r w:rsidRPr="00203191">
        <w:rPr>
          <w:rFonts w:ascii="Calibri" w:hAnsi="Calibri" w:cs="Calibri"/>
        </w:rPr>
        <w:t>, gdy występuje możliwość bezpośredniego najechania na nie przez pojazd - muszą być zabezpieczone odpowiednio umieszczonymi barierami ochronnymi lub innego rodzaju urządzeniami ochronnymi lub przeciwdestrukcyjnymi, zgodnie z dokumentacją projektową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lub Inżynier.</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b/>
          <w:bCs/>
          <w:i/>
          <w:iCs/>
        </w:rPr>
        <w:t>5.6.2. Łatwo zrywalne złącza konstrukcji wsporczej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 przypadku konstrukcji wsporczych, nie osłoniętych barierami ochronnymi - zaleca się stosowanie łatwo zrywalnych lub łatwo rozłączalnych przekrojów, złączy lub przegubów o odpowiednio bezpiecznej konstrukcji, umieszczonych na wysokości od 0,15 do 0,20 m nad powierzchnią terenu.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Łatwo zrywalne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5.6.3.  Zapobieganie   zagrożeniu   użytkowników drogi i terenu przyległego - przez konstrukcję wsporczą</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5.6.4. Poziom górnej powierzchni fundamentu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5.6.6. Barwa konstrukcji wsporczej</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5.7. Połączenie tarczy znaku z konstrukcją wsporczą</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Tarcza znaku musi być zamocowana do konstrukcji wsporczej w sposób uniemożliwiający jej przesunięcie lub obrót.</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Materiał i sposób wykonania połączenia tarczy znaku z konstrukcją wsporczą musi umożliwiać, przy użyciu odpowiednich narzędzi, odłączenie tarczy znaku od tej konstrukcji przez cały okres użytkowania znaku.</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Na drogach i obszarach, na których występują częste przypadki dewastacji znaków, zaleca się stosowanie elementów złącznych o konstrukcji uniemożliwiającej lub znacznie utrudniającej ich rozłączenie przez osoby niepowołane.</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Tarcza znaku składanego musi wykazywać pełną integralność podczas najechania przez pojazd w każdych warunkach kolizji. W szczególności - żaden z segmentów lub elementów tarczy nie może się od niej odłączać w sposób powodujący narażenie kogokolwiek na niebezpieczeństwo lub szkodę.</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Nie dopuszcza się zamocowania znaku do konstrukcji wsporczej w sposób wymagający bezpośredniego przeprowadzenia śrub mocujących przez lico znaku.</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5.8. Trwałość wykonania znaku pionowego</w:t>
      </w:r>
    </w:p>
    <w:p w:rsidR="00656AC1" w:rsidRPr="00203191" w:rsidRDefault="00656AC1" w:rsidP="00364E4D">
      <w:pPr>
        <w:numPr>
          <w:ilvl w:val="12"/>
          <w:numId w:val="0"/>
        </w:numPr>
        <w:tabs>
          <w:tab w:val="left" w:pos="9914"/>
        </w:tabs>
        <w:rPr>
          <w:rFonts w:ascii="Calibri" w:hAnsi="Calibri" w:cs="Calibri"/>
        </w:rPr>
      </w:pPr>
      <w:r w:rsidRPr="00203191">
        <w:rPr>
          <w:rFonts w:ascii="Calibri" w:hAnsi="Calibri" w:cs="Calibri"/>
        </w:rPr>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5.9. Tabliczka znamionowa znaku</w:t>
      </w:r>
    </w:p>
    <w:p w:rsidR="00656AC1" w:rsidRPr="00203191" w:rsidRDefault="00656AC1" w:rsidP="00364E4D">
      <w:pPr>
        <w:tabs>
          <w:tab w:val="left" w:pos="9914"/>
        </w:tabs>
        <w:rPr>
          <w:rFonts w:ascii="Calibri" w:hAnsi="Calibri" w:cs="Calibri"/>
        </w:rPr>
      </w:pPr>
      <w:r w:rsidRPr="00203191">
        <w:rPr>
          <w:rFonts w:ascii="Calibri" w:hAnsi="Calibri" w:cs="Calibri"/>
        </w:rPr>
        <w:t>Każdy wykonany znak drogowy oraz każda konstrukcja wsporcza musi mieć tabliczkę znamionową z:</w:t>
      </w:r>
    </w:p>
    <w:p w:rsidR="00656AC1" w:rsidRPr="00203191" w:rsidRDefault="00656AC1" w:rsidP="00973D29">
      <w:pPr>
        <w:numPr>
          <w:ilvl w:val="0"/>
          <w:numId w:val="23"/>
        </w:numPr>
        <w:tabs>
          <w:tab w:val="left" w:pos="9914"/>
        </w:tabs>
        <w:rPr>
          <w:rFonts w:ascii="Calibri" w:hAnsi="Calibri" w:cs="Calibri"/>
        </w:rPr>
      </w:pPr>
      <w:r w:rsidRPr="00203191">
        <w:rPr>
          <w:rFonts w:ascii="Calibri" w:hAnsi="Calibri" w:cs="Calibri"/>
        </w:rPr>
        <w:t>nazwą, marką fabryczną lub innym oznaczeniem umożliwiającym identyfikację wytwórcy lub dostawcy,</w:t>
      </w:r>
    </w:p>
    <w:p w:rsidR="00656AC1" w:rsidRPr="00203191" w:rsidRDefault="00656AC1" w:rsidP="00973D29">
      <w:pPr>
        <w:numPr>
          <w:ilvl w:val="0"/>
          <w:numId w:val="23"/>
        </w:numPr>
        <w:tabs>
          <w:tab w:val="left" w:pos="9914"/>
        </w:tabs>
        <w:rPr>
          <w:rFonts w:ascii="Calibri" w:hAnsi="Calibri" w:cs="Calibri"/>
        </w:rPr>
      </w:pPr>
      <w:r w:rsidRPr="00203191">
        <w:rPr>
          <w:rFonts w:ascii="Calibri" w:hAnsi="Calibri" w:cs="Calibri"/>
        </w:rPr>
        <w:lastRenderedPageBreak/>
        <w:t>datą produkcji,</w:t>
      </w:r>
    </w:p>
    <w:p w:rsidR="00656AC1" w:rsidRPr="00203191" w:rsidRDefault="00656AC1" w:rsidP="00973D29">
      <w:pPr>
        <w:numPr>
          <w:ilvl w:val="0"/>
          <w:numId w:val="23"/>
        </w:numPr>
        <w:tabs>
          <w:tab w:val="left" w:pos="9914"/>
        </w:tabs>
        <w:rPr>
          <w:rFonts w:ascii="Calibri" w:hAnsi="Calibri" w:cs="Calibri"/>
        </w:rPr>
      </w:pPr>
      <w:r w:rsidRPr="00203191">
        <w:rPr>
          <w:rFonts w:ascii="Calibri" w:hAnsi="Calibri" w:cs="Calibri"/>
        </w:rPr>
        <w:t>oznaczeniem dotyczącym materiału lica znaku,</w:t>
      </w:r>
    </w:p>
    <w:p w:rsidR="00656AC1" w:rsidRPr="00203191" w:rsidRDefault="00656AC1" w:rsidP="00973D29">
      <w:pPr>
        <w:numPr>
          <w:ilvl w:val="0"/>
          <w:numId w:val="23"/>
        </w:numPr>
        <w:tabs>
          <w:tab w:val="left" w:pos="9914"/>
        </w:tabs>
        <w:rPr>
          <w:rFonts w:ascii="Calibri" w:hAnsi="Calibri" w:cs="Calibri"/>
        </w:rPr>
      </w:pPr>
      <w:r w:rsidRPr="00203191">
        <w:rPr>
          <w:rFonts w:ascii="Calibri" w:hAnsi="Calibri" w:cs="Calibri"/>
        </w:rPr>
        <w:t>datą ustawienia znaku.</w:t>
      </w:r>
    </w:p>
    <w:p w:rsidR="00656AC1" w:rsidRPr="00203191" w:rsidRDefault="00656AC1" w:rsidP="00364E4D">
      <w:pPr>
        <w:tabs>
          <w:tab w:val="left" w:pos="9914"/>
        </w:tabs>
        <w:rPr>
          <w:rFonts w:ascii="Calibri" w:hAnsi="Calibri" w:cs="Calibri"/>
        </w:rPr>
      </w:pPr>
      <w:r w:rsidRPr="00203191">
        <w:rPr>
          <w:rFonts w:ascii="Calibri" w:hAnsi="Calibri" w:cs="Calibri"/>
        </w:rPr>
        <w:t>Zaleca się, aby tabliczka znamionowa konstrukcji wsporczych zawierała również miesiąc i rok wymaganego przeglądu technicznego.</w:t>
      </w:r>
    </w:p>
    <w:p w:rsidR="00656AC1" w:rsidRPr="00203191" w:rsidRDefault="00656AC1" w:rsidP="00364E4D">
      <w:pPr>
        <w:tabs>
          <w:tab w:val="left" w:pos="9914"/>
        </w:tabs>
        <w:rPr>
          <w:rFonts w:ascii="Calibri" w:hAnsi="Calibri" w:cs="Calibri"/>
        </w:rPr>
      </w:pPr>
      <w:r w:rsidRPr="00203191">
        <w:rPr>
          <w:rFonts w:ascii="Calibri" w:hAnsi="Calibri" w:cs="Calibri"/>
        </w:rPr>
        <w:t>Napisy na tabliczce znamionowej muszą być wykonane w sposób trwały i wyraźny, czytelny w normalnych warunkach przez cały okres użytkowania znaku.</w:t>
      </w:r>
    </w:p>
    <w:p w:rsidR="00656AC1" w:rsidRPr="00203191" w:rsidRDefault="00656AC1" w:rsidP="00364E4D">
      <w:pPr>
        <w:pStyle w:val="Nagwek3"/>
        <w:tabs>
          <w:tab w:val="left" w:pos="9914"/>
        </w:tabs>
        <w:rPr>
          <w:rFonts w:ascii="Calibri" w:hAnsi="Calibri" w:cs="Calibri"/>
        </w:rPr>
      </w:pPr>
      <w:bookmarkStart w:id="1138" w:name="_Toc425833585"/>
      <w:r w:rsidRPr="00203191">
        <w:rPr>
          <w:rFonts w:ascii="Calibri" w:hAnsi="Calibri" w:cs="Calibri"/>
        </w:rPr>
        <w:t>6. KONTROLA JAKOŚCI ROBÓT</w:t>
      </w:r>
      <w:bookmarkEnd w:id="1138"/>
    </w:p>
    <w:p w:rsidR="00656AC1" w:rsidRPr="00203191" w:rsidRDefault="00656AC1" w:rsidP="00364E4D">
      <w:pPr>
        <w:pStyle w:val="Nagwek4"/>
        <w:tabs>
          <w:tab w:val="left" w:pos="9914"/>
        </w:tabs>
        <w:rPr>
          <w:rFonts w:ascii="Calibri" w:hAnsi="Calibri" w:cs="Calibri"/>
        </w:rPr>
      </w:pPr>
      <w:r w:rsidRPr="00203191">
        <w:rPr>
          <w:rFonts w:ascii="Calibri" w:hAnsi="Calibri" w:cs="Calibri"/>
        </w:rPr>
        <w:t>6.1. Ogólne zasady kontroli jakości robót</w:t>
      </w:r>
    </w:p>
    <w:p w:rsidR="00656AC1" w:rsidRPr="00203191" w:rsidRDefault="00656AC1" w:rsidP="00364E4D">
      <w:pPr>
        <w:tabs>
          <w:tab w:val="left" w:pos="9914"/>
        </w:tabs>
        <w:rPr>
          <w:rFonts w:ascii="Calibri" w:hAnsi="Calibri" w:cs="Calibri"/>
        </w:rPr>
      </w:pPr>
      <w:r w:rsidRPr="00203191">
        <w:rPr>
          <w:rFonts w:ascii="Calibri" w:hAnsi="Calibri" w:cs="Calibri"/>
        </w:rPr>
        <w:t xml:space="preserve">Ogólne zasady kontroli jakości robót podano w </w:t>
      </w:r>
      <w:r w:rsidR="005B48CA">
        <w:rPr>
          <w:rFonts w:ascii="Calibri" w:hAnsi="Calibri" w:cs="Calibri"/>
        </w:rPr>
        <w:t>STWiORB</w:t>
      </w:r>
      <w:r w:rsidRPr="00203191">
        <w:rPr>
          <w:rFonts w:ascii="Calibri" w:hAnsi="Calibri" w:cs="Calibri"/>
        </w:rPr>
        <w:t xml:space="preserve"> D-M-00.00.00 „Wymagania ogólne” pkt 6.</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6.2. Badania materiałów do wykonania fundamentów betonowych</w:t>
      </w:r>
    </w:p>
    <w:p w:rsidR="00656AC1" w:rsidRPr="00203191" w:rsidRDefault="00656AC1" w:rsidP="00364E4D">
      <w:pPr>
        <w:tabs>
          <w:tab w:val="left" w:pos="9914"/>
        </w:tabs>
        <w:rPr>
          <w:rFonts w:ascii="Calibri" w:hAnsi="Calibri" w:cs="Calibri"/>
        </w:rPr>
      </w:pPr>
      <w:r w:rsidRPr="00203191">
        <w:rPr>
          <w:rFonts w:ascii="Calibri" w:hAnsi="Calibri" w:cs="Calibri"/>
        </w:rPr>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6.3. Badania w czasie wykonywania robót</w:t>
      </w:r>
    </w:p>
    <w:p w:rsidR="00656AC1" w:rsidRPr="00203191" w:rsidRDefault="00656AC1" w:rsidP="00364E4D">
      <w:pPr>
        <w:numPr>
          <w:ilvl w:val="12"/>
          <w:numId w:val="0"/>
        </w:numPr>
        <w:tabs>
          <w:tab w:val="left" w:pos="9914"/>
        </w:tabs>
        <w:rPr>
          <w:rFonts w:ascii="Calibri" w:hAnsi="Calibri" w:cs="Calibri"/>
          <w:b/>
          <w:bCs/>
          <w:i/>
          <w:iCs/>
        </w:rPr>
      </w:pPr>
      <w:r w:rsidRPr="00203191">
        <w:rPr>
          <w:rFonts w:ascii="Calibri" w:hAnsi="Calibri" w:cs="Calibri"/>
          <w:b/>
          <w:bCs/>
          <w:i/>
          <w:iCs/>
        </w:rPr>
        <w:t>6.3.1. Badania materiałów w czasie wykonywania robót</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 xml:space="preserve">Wszystkie </w:t>
      </w:r>
      <w:r w:rsidR="00A95FEE">
        <w:rPr>
          <w:rFonts w:ascii="Calibri" w:hAnsi="Calibri" w:cs="Calibri"/>
          <w:sz w:val="20"/>
          <w:szCs w:val="20"/>
        </w:rPr>
        <w:t>wyroby budowlane</w:t>
      </w:r>
      <w:r w:rsidRPr="00203191">
        <w:rPr>
          <w:rFonts w:ascii="Calibri" w:hAnsi="Calibri" w:cs="Calibri"/>
          <w:sz w:val="20"/>
          <w:szCs w:val="20"/>
        </w:rPr>
        <w:t xml:space="preserve"> dostarczone na budowę z aprobatą techniczną lub z deklaracją zgodności wydaną przez producenta powinny być sprawdzone w zakresie powierzchni wyrobu i jego wymiarów.</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Częstotliwość badań i ocena ich wyników powinna być zgodna z ustaleniami tablicy 3.</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Tablica 3. Częstotliwość badań przy sprawdzeniu powierzchni i wymiarów wyrobów</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 xml:space="preserve">                   dostarczonych przez producentów</w:t>
      </w:r>
    </w:p>
    <w:tbl>
      <w:tblPr>
        <w:tblW w:w="9852" w:type="dxa"/>
        <w:tblInd w:w="2"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496"/>
        <w:gridCol w:w="1275"/>
        <w:gridCol w:w="2127"/>
        <w:gridCol w:w="4394"/>
        <w:gridCol w:w="1560"/>
      </w:tblGrid>
      <w:tr w:rsidR="00656AC1" w:rsidRPr="00203191">
        <w:tc>
          <w:tcPr>
            <w:tcW w:w="496" w:type="dxa"/>
            <w:tcBorders>
              <w:top w:val="single" w:sz="6" w:space="0" w:color="auto"/>
              <w:bottom w:val="doub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Lp.</w:t>
            </w:r>
          </w:p>
        </w:tc>
        <w:tc>
          <w:tcPr>
            <w:tcW w:w="1275" w:type="dxa"/>
            <w:tcBorders>
              <w:top w:val="single" w:sz="6" w:space="0" w:color="auto"/>
              <w:bottom w:val="doub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Rodzaj badania</w:t>
            </w:r>
          </w:p>
        </w:tc>
        <w:tc>
          <w:tcPr>
            <w:tcW w:w="2127" w:type="dxa"/>
            <w:tcBorders>
              <w:top w:val="single" w:sz="6" w:space="0" w:color="auto"/>
              <w:bottom w:val="doub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Liczba badań</w:t>
            </w:r>
          </w:p>
        </w:tc>
        <w:tc>
          <w:tcPr>
            <w:tcW w:w="4394" w:type="dxa"/>
            <w:tcBorders>
              <w:top w:val="single" w:sz="6" w:space="0" w:color="auto"/>
              <w:bottom w:val="doub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Opis badań</w:t>
            </w:r>
          </w:p>
        </w:tc>
        <w:tc>
          <w:tcPr>
            <w:tcW w:w="1560" w:type="dxa"/>
            <w:tcBorders>
              <w:top w:val="single" w:sz="6" w:space="0" w:color="auto"/>
              <w:bottom w:val="doub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Ocena wyników badań</w:t>
            </w:r>
          </w:p>
        </w:tc>
      </w:tr>
      <w:tr w:rsidR="00656AC1" w:rsidRPr="00203191">
        <w:tc>
          <w:tcPr>
            <w:tcW w:w="496" w:type="dxa"/>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1</w:t>
            </w:r>
          </w:p>
        </w:tc>
        <w:tc>
          <w:tcPr>
            <w:tcW w:w="1275" w:type="dxa"/>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Sprawdzenie powierzchni</w:t>
            </w:r>
          </w:p>
        </w:tc>
        <w:tc>
          <w:tcPr>
            <w:tcW w:w="2127" w:type="dxa"/>
            <w:vMerge w:val="restart"/>
          </w:tcPr>
          <w:p w:rsidR="00656AC1" w:rsidRPr="00203191" w:rsidRDefault="00656AC1" w:rsidP="00364E4D">
            <w:pPr>
              <w:pStyle w:val="StylIwony"/>
              <w:tabs>
                <w:tab w:val="left" w:pos="9914"/>
              </w:tabs>
              <w:rPr>
                <w:rFonts w:ascii="Calibri" w:hAnsi="Calibri" w:cs="Calibri"/>
                <w:sz w:val="20"/>
                <w:szCs w:val="20"/>
              </w:rPr>
            </w:pPr>
            <w:r w:rsidRPr="00203191">
              <w:rPr>
                <w:rFonts w:ascii="Calibri" w:hAnsi="Calibri" w:cs="Calibri"/>
                <w:sz w:val="20"/>
                <w:szCs w:val="20"/>
              </w:rPr>
              <w:t>od 5 do 10 badań z wybranych losowo elementów w każdej dostarczonej partii wyrobów liczącej do 1000 elementów</w:t>
            </w:r>
          </w:p>
        </w:tc>
        <w:tc>
          <w:tcPr>
            <w:tcW w:w="4394" w:type="dxa"/>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Powierzchnię zbadać nieuzbrojonym okiem. Do ew. sprawdzenia głębokości wad użyć dostępnych narzędzi (np. liniałów z czujnikiem, suwmiarek, mikrometrów itp.</w:t>
            </w:r>
          </w:p>
        </w:tc>
        <w:tc>
          <w:tcPr>
            <w:tcW w:w="1560" w:type="dxa"/>
            <w:vMerge w:val="restart"/>
          </w:tcPr>
          <w:p w:rsidR="00656AC1" w:rsidRPr="00203191" w:rsidRDefault="00656AC1" w:rsidP="00364E4D">
            <w:pPr>
              <w:pStyle w:val="StylIwony"/>
              <w:tabs>
                <w:tab w:val="left" w:pos="9914"/>
              </w:tabs>
              <w:rPr>
                <w:rFonts w:ascii="Calibri" w:hAnsi="Calibri" w:cs="Calibri"/>
                <w:sz w:val="20"/>
                <w:szCs w:val="20"/>
              </w:rPr>
            </w:pPr>
            <w:r w:rsidRPr="00203191">
              <w:rPr>
                <w:rFonts w:ascii="Calibri" w:hAnsi="Calibri" w:cs="Calibri"/>
                <w:sz w:val="20"/>
                <w:szCs w:val="20"/>
              </w:rPr>
              <w:t>Wyniki badań powinny być zgodne z wymaganiami punktu 2</w:t>
            </w:r>
          </w:p>
        </w:tc>
      </w:tr>
      <w:tr w:rsidR="00656AC1" w:rsidRPr="00203191">
        <w:tc>
          <w:tcPr>
            <w:tcW w:w="496" w:type="dxa"/>
            <w:tcBorders>
              <w:bottom w:val="sing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2</w:t>
            </w:r>
          </w:p>
        </w:tc>
        <w:tc>
          <w:tcPr>
            <w:tcW w:w="1275" w:type="dxa"/>
            <w:tcBorders>
              <w:bottom w:val="sing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Sprawdzenie wymiarów</w:t>
            </w:r>
          </w:p>
        </w:tc>
        <w:tc>
          <w:tcPr>
            <w:tcW w:w="2127" w:type="dxa"/>
            <w:vMerge/>
            <w:tcBorders>
              <w:bottom w:val="sing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p>
        </w:tc>
        <w:tc>
          <w:tcPr>
            <w:tcW w:w="4394" w:type="dxa"/>
            <w:tcBorders>
              <w:bottom w:val="sing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Przeprowadzić uniwersalnymi przyrządami pomiarowymi lub sprawdzianami (np. liniałami, przymiarami itp.)</w:t>
            </w:r>
          </w:p>
        </w:tc>
        <w:tc>
          <w:tcPr>
            <w:tcW w:w="1560" w:type="dxa"/>
            <w:vMerge/>
            <w:tcBorders>
              <w:bottom w:val="single" w:sz="6" w:space="0" w:color="auto"/>
            </w:tcBorders>
          </w:tcPr>
          <w:p w:rsidR="00656AC1" w:rsidRPr="00203191" w:rsidRDefault="00656AC1" w:rsidP="00364E4D">
            <w:pPr>
              <w:pStyle w:val="StylIwony"/>
              <w:tabs>
                <w:tab w:val="left" w:pos="9914"/>
              </w:tabs>
              <w:spacing w:before="0" w:after="0"/>
              <w:rPr>
                <w:rFonts w:ascii="Calibri" w:hAnsi="Calibri" w:cs="Calibri"/>
                <w:sz w:val="20"/>
                <w:szCs w:val="20"/>
              </w:rPr>
            </w:pPr>
          </w:p>
        </w:tc>
      </w:tr>
    </w:tbl>
    <w:p w:rsidR="00656AC1" w:rsidRPr="00203191" w:rsidRDefault="00656AC1" w:rsidP="00364E4D">
      <w:pPr>
        <w:pStyle w:val="StylIwony"/>
        <w:tabs>
          <w:tab w:val="left" w:pos="9914"/>
        </w:tabs>
        <w:spacing w:before="0" w:after="0"/>
        <w:rPr>
          <w:rFonts w:ascii="Calibri" w:hAnsi="Calibri" w:cs="Calibri"/>
          <w:sz w:val="20"/>
          <w:szCs w:val="20"/>
        </w:rPr>
      </w:pP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 xml:space="preserve">W przypadkach budzących wątpliwości można zlecić uprawnionej jednostce zbadanie właściwości dostarczonych wyrobów i materiałów w zakresie wymagań podanych w punkcie 2.  </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b/>
          <w:bCs/>
          <w:sz w:val="20"/>
          <w:szCs w:val="20"/>
        </w:rPr>
        <w:t>6</w:t>
      </w:r>
      <w:r w:rsidRPr="00203191">
        <w:rPr>
          <w:rFonts w:ascii="Calibri" w:hAnsi="Calibri" w:cs="Calibri"/>
          <w:b/>
          <w:bCs/>
          <w:i/>
          <w:iCs/>
          <w:sz w:val="20"/>
          <w:szCs w:val="20"/>
        </w:rPr>
        <w:t>.3.2. Kontrola w czasie wykonywania robót</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W czasie wykonywania robót należy sprawdzać:</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zgodność wykonania znaków pionowych z dokumentacją projektową (lokalizacja, wymiary, wysokość zamocowania znaków),</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zachowanie dopuszczalnych odchyłek wymiarów, zgodnie z punktem 2 i 5,</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prawidłowość wykonania wykopów pod konstrukcje wsporcze, zgodnie z punktem 5.3,</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poprawność wykonania fundamentów pod słupki zgodnie z punktem 5.3,</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poprawność ustawienia słupków i konstrukcji wsporczych, zgodnie z punktem 5.4.</w:t>
      </w:r>
    </w:p>
    <w:p w:rsidR="00656AC1" w:rsidRPr="00203191" w:rsidRDefault="00656AC1" w:rsidP="00364E4D">
      <w:pPr>
        <w:pStyle w:val="StylIwony"/>
        <w:numPr>
          <w:ilvl w:val="12"/>
          <w:numId w:val="0"/>
        </w:numPr>
        <w:tabs>
          <w:tab w:val="left" w:pos="9914"/>
        </w:tabs>
        <w:spacing w:before="0" w:after="0"/>
        <w:rPr>
          <w:rFonts w:ascii="Calibri" w:hAnsi="Calibri" w:cs="Calibri"/>
          <w:sz w:val="20"/>
          <w:szCs w:val="20"/>
        </w:rPr>
      </w:pPr>
      <w:r w:rsidRPr="00203191">
        <w:rPr>
          <w:rFonts w:ascii="Calibri" w:hAnsi="Calibri" w:cs="Calibri"/>
          <w:sz w:val="20"/>
          <w:szCs w:val="20"/>
        </w:rPr>
        <w:t>W przypadku wykonania spawanych złącz elementów konstrukcji wsporczych:</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przed oględzinami, spoinę i przylegające do niej elementy łączone  (od 10 do 20 mm z każdej strony) należy dokładnie oczyścić z zanieczyszczeń utrudniających prowadzenie obserwacji i pomiarów,</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oględziny złączy należy przeprowadzić wizualnie z ewentualnym użyciem lupy o powiększeniu od 2 do 4 razy; do pomiarów spoin powinny być stosowane wzorniki, przymiary oraz uniwersalne spoinomierze,</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t>w przypadkach wątpliwych można zlecić uprawnionej jednostce zbadanie wytrzymałości zmęczeniowej spoin, zgodnie z PN-M-06515,</w:t>
      </w:r>
    </w:p>
    <w:p w:rsidR="00656AC1" w:rsidRPr="00203191" w:rsidRDefault="00656AC1" w:rsidP="00973D29">
      <w:pPr>
        <w:pStyle w:val="StylIwony"/>
        <w:numPr>
          <w:ilvl w:val="0"/>
          <w:numId w:val="21"/>
        </w:numPr>
        <w:tabs>
          <w:tab w:val="left" w:pos="9914"/>
        </w:tabs>
        <w:spacing w:before="0" w:after="0"/>
        <w:ind w:left="283"/>
        <w:rPr>
          <w:rFonts w:ascii="Calibri" w:hAnsi="Calibri" w:cs="Calibri"/>
          <w:sz w:val="20"/>
          <w:szCs w:val="20"/>
        </w:rPr>
      </w:pPr>
      <w:r w:rsidRPr="00203191">
        <w:rPr>
          <w:rFonts w:ascii="Calibri" w:hAnsi="Calibri" w:cs="Calibri"/>
          <w:sz w:val="20"/>
          <w:szCs w:val="20"/>
        </w:rPr>
        <w:lastRenderedPageBreak/>
        <w:t>złącza o wadach większych niż dopuszczalne, określone w punkcie 5.5, powinny być naprawione powtórnym spawaniem.</w:t>
      </w:r>
    </w:p>
    <w:p w:rsidR="00656AC1" w:rsidRPr="00203191" w:rsidRDefault="00656AC1" w:rsidP="00364E4D">
      <w:pPr>
        <w:pStyle w:val="Nagwek3"/>
        <w:tabs>
          <w:tab w:val="left" w:pos="9914"/>
        </w:tabs>
        <w:rPr>
          <w:rFonts w:ascii="Calibri" w:hAnsi="Calibri" w:cs="Calibri"/>
        </w:rPr>
      </w:pPr>
      <w:bookmarkStart w:id="1139" w:name="_Toc425562419"/>
      <w:bookmarkStart w:id="1140" w:name="_Toc425833586"/>
      <w:r w:rsidRPr="00203191">
        <w:rPr>
          <w:rFonts w:ascii="Calibri" w:hAnsi="Calibri" w:cs="Calibri"/>
        </w:rPr>
        <w:t>7. OBMIAR ROBÓT</w:t>
      </w:r>
      <w:bookmarkEnd w:id="1139"/>
      <w:bookmarkEnd w:id="1140"/>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7.1. Ogólne zasady obmiaru robót</w:t>
      </w:r>
    </w:p>
    <w:p w:rsidR="00ED260C" w:rsidRPr="00203191" w:rsidRDefault="00ED260C" w:rsidP="00ED260C">
      <w:pPr>
        <w:pStyle w:val="StylIwony"/>
        <w:tabs>
          <w:tab w:val="left" w:pos="9914"/>
        </w:tabs>
        <w:spacing w:before="0" w:after="0"/>
        <w:rPr>
          <w:rFonts w:asciiTheme="minorHAnsi" w:hAnsiTheme="minorHAnsi"/>
          <w:sz w:val="20"/>
        </w:rPr>
      </w:pPr>
      <w:r w:rsidRPr="00203191">
        <w:rPr>
          <w:rFonts w:asciiTheme="minorHAnsi" w:hAnsiTheme="minorHAnsi"/>
          <w:sz w:val="20"/>
        </w:rPr>
        <w:t>Ogólne zasady obmiaru robót podano w SSTWiORB D-M-00.00.00 „Wymagania ogólne” pkt 7.</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7.2. Jednostka obmiarowa</w:t>
      </w:r>
    </w:p>
    <w:p w:rsidR="00ED260C" w:rsidRPr="00203191" w:rsidRDefault="00ED260C" w:rsidP="00ED260C">
      <w:pPr>
        <w:pStyle w:val="StylIwony"/>
        <w:tabs>
          <w:tab w:val="left" w:pos="9914"/>
        </w:tabs>
        <w:spacing w:before="0" w:after="0"/>
        <w:rPr>
          <w:rFonts w:asciiTheme="minorHAnsi" w:hAnsiTheme="minorHAnsi"/>
          <w:sz w:val="20"/>
        </w:rPr>
      </w:pPr>
      <w:r w:rsidRPr="00203191">
        <w:rPr>
          <w:rFonts w:asciiTheme="minorHAnsi" w:hAnsiTheme="minorHAnsi"/>
          <w:sz w:val="20"/>
        </w:rPr>
        <w:t>Jednostkami obmiarowymi są:</w:t>
      </w:r>
    </w:p>
    <w:p w:rsidR="00656AC1" w:rsidRPr="00203191" w:rsidRDefault="00ED260C" w:rsidP="00ED260C">
      <w:pPr>
        <w:pStyle w:val="StylIwony"/>
        <w:tabs>
          <w:tab w:val="left" w:pos="9914"/>
        </w:tabs>
        <w:spacing w:before="0" w:after="0"/>
        <w:rPr>
          <w:rFonts w:ascii="Calibri" w:hAnsi="Calibri" w:cs="Calibri"/>
          <w:sz w:val="20"/>
          <w:szCs w:val="20"/>
        </w:rPr>
      </w:pPr>
      <w:r w:rsidRPr="00203191">
        <w:rPr>
          <w:rFonts w:asciiTheme="minorHAnsi" w:hAnsiTheme="minorHAnsi"/>
          <w:sz w:val="20"/>
        </w:rPr>
        <w:t>szt. (sztuka), dla znaków konwencjonalnych oraz konstrukcji wsporczych,</w:t>
      </w:r>
    </w:p>
    <w:p w:rsidR="00656AC1" w:rsidRPr="00203191" w:rsidRDefault="00656AC1" w:rsidP="00364E4D">
      <w:pPr>
        <w:pStyle w:val="Nagwek3"/>
        <w:tabs>
          <w:tab w:val="left" w:pos="9914"/>
        </w:tabs>
        <w:rPr>
          <w:rFonts w:ascii="Calibri" w:hAnsi="Calibri" w:cs="Calibri"/>
        </w:rPr>
      </w:pPr>
      <w:bookmarkStart w:id="1141" w:name="_Toc425562420"/>
      <w:bookmarkStart w:id="1142" w:name="_Toc425833587"/>
      <w:r w:rsidRPr="00203191">
        <w:rPr>
          <w:rFonts w:ascii="Calibri" w:hAnsi="Calibri" w:cs="Calibri"/>
        </w:rPr>
        <w:t>8. ODBIÓR ROBÓT</w:t>
      </w:r>
      <w:bookmarkEnd w:id="1141"/>
      <w:bookmarkEnd w:id="1142"/>
    </w:p>
    <w:p w:rsidR="00656AC1" w:rsidRPr="00203191" w:rsidRDefault="00656AC1" w:rsidP="00364E4D">
      <w:pPr>
        <w:pStyle w:val="Nagwek4"/>
        <w:tabs>
          <w:tab w:val="left" w:pos="9914"/>
        </w:tabs>
        <w:rPr>
          <w:rFonts w:ascii="Calibri" w:hAnsi="Calibri" w:cs="Calibri"/>
        </w:rPr>
      </w:pPr>
      <w:r w:rsidRPr="00203191">
        <w:rPr>
          <w:rFonts w:ascii="Calibri" w:hAnsi="Calibri" w:cs="Calibri"/>
        </w:rPr>
        <w:t>8.1. Ogólne zasady odbioru robót</w:t>
      </w:r>
    </w:p>
    <w:p w:rsidR="00656AC1" w:rsidRPr="00203191" w:rsidRDefault="00656AC1" w:rsidP="00364E4D">
      <w:pPr>
        <w:pStyle w:val="StylIwony"/>
        <w:tabs>
          <w:tab w:val="left" w:pos="9914"/>
        </w:tabs>
        <w:spacing w:before="0" w:after="0"/>
        <w:rPr>
          <w:rFonts w:ascii="Calibri" w:hAnsi="Calibri" w:cs="Calibri"/>
          <w:sz w:val="20"/>
          <w:szCs w:val="20"/>
        </w:rPr>
      </w:pPr>
      <w:r w:rsidRPr="00203191">
        <w:rPr>
          <w:rFonts w:ascii="Calibri" w:hAnsi="Calibri" w:cs="Calibri"/>
          <w:sz w:val="20"/>
          <w:szCs w:val="20"/>
        </w:rPr>
        <w:t xml:space="preserve">Ogólne zasady odbioru robót podano w </w:t>
      </w:r>
      <w:r w:rsidR="005B48CA">
        <w:rPr>
          <w:rFonts w:ascii="Calibri" w:hAnsi="Calibri" w:cs="Calibri"/>
          <w:sz w:val="20"/>
          <w:szCs w:val="20"/>
        </w:rPr>
        <w:t>STWiORB</w:t>
      </w:r>
      <w:r w:rsidRPr="00203191">
        <w:rPr>
          <w:rFonts w:ascii="Calibri" w:hAnsi="Calibri" w:cs="Calibri"/>
          <w:sz w:val="20"/>
          <w:szCs w:val="20"/>
        </w:rPr>
        <w:t xml:space="preserve"> D-M-00.00.00 „Wymagania ogólne” pkt 8.</w:t>
      </w:r>
    </w:p>
    <w:p w:rsidR="00656AC1" w:rsidRPr="00203191" w:rsidRDefault="00656AC1" w:rsidP="00364E4D">
      <w:pPr>
        <w:tabs>
          <w:tab w:val="left" w:pos="9914"/>
        </w:tabs>
        <w:rPr>
          <w:rFonts w:ascii="Calibri" w:hAnsi="Calibri" w:cs="Calibri"/>
        </w:rPr>
      </w:pPr>
      <w:r w:rsidRPr="00203191">
        <w:rPr>
          <w:rFonts w:ascii="Calibri" w:hAnsi="Calibri" w:cs="Calibri"/>
        </w:rPr>
        <w:t xml:space="preserve">Roboty uznaje się za wykonane zgodnie z dokumentacją projektową, </w:t>
      </w:r>
      <w:r w:rsidR="005B48CA">
        <w:rPr>
          <w:rFonts w:ascii="Calibri" w:hAnsi="Calibri" w:cs="Calibri"/>
        </w:rPr>
        <w:t>STWiORB</w:t>
      </w:r>
      <w:r w:rsidRPr="00203191">
        <w:rPr>
          <w:rFonts w:ascii="Calibri" w:hAnsi="Calibri" w:cs="Calibri"/>
        </w:rPr>
        <w:t xml:space="preserve"> i wymaganiami Inżyniera, jeżeli wszystkie pomiary i badania z zachowaniem tolerancji wg pkt 6, dały wyniki pozytywne.</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8.2. Odbiór ostateczny</w:t>
      </w:r>
    </w:p>
    <w:p w:rsidR="00656AC1" w:rsidRPr="00203191" w:rsidRDefault="00656AC1" w:rsidP="00364E4D">
      <w:pPr>
        <w:tabs>
          <w:tab w:val="left" w:pos="9914"/>
        </w:tabs>
        <w:rPr>
          <w:rFonts w:ascii="Calibri" w:hAnsi="Calibri" w:cs="Calibri"/>
        </w:rPr>
      </w:pPr>
      <w:r w:rsidRPr="00203191">
        <w:rPr>
          <w:rFonts w:ascii="Calibri" w:hAnsi="Calibri" w:cs="Calibri"/>
        </w:rPr>
        <w:t>Odbiór robót oznakowania pionowego dokonywany jest na zasadzie odbioru ostatecznego.</w:t>
      </w:r>
    </w:p>
    <w:p w:rsidR="00656AC1" w:rsidRPr="00203191" w:rsidRDefault="00656AC1" w:rsidP="00364E4D">
      <w:pPr>
        <w:tabs>
          <w:tab w:val="left" w:pos="9914"/>
        </w:tabs>
        <w:rPr>
          <w:rFonts w:ascii="Calibri" w:hAnsi="Calibri" w:cs="Calibri"/>
        </w:rPr>
      </w:pPr>
      <w:r w:rsidRPr="00203191">
        <w:rPr>
          <w:rFonts w:ascii="Calibri" w:hAnsi="Calibri" w:cs="Calibri"/>
        </w:rPr>
        <w:t>Odbiór ostateczny powinien być dokonany po całkowitym zakończeniu robót, na podstawie wyników pomiarów i badań jakościowych określonych w punktach 2 i 5.</w:t>
      </w:r>
    </w:p>
    <w:p w:rsidR="00656AC1" w:rsidRPr="00203191" w:rsidRDefault="00656AC1" w:rsidP="00364E4D">
      <w:pPr>
        <w:pStyle w:val="Nagwek4"/>
        <w:tabs>
          <w:tab w:val="left" w:pos="9914"/>
        </w:tabs>
        <w:rPr>
          <w:rFonts w:ascii="Calibri" w:hAnsi="Calibri" w:cs="Calibri"/>
        </w:rPr>
      </w:pPr>
      <w:r w:rsidRPr="00203191">
        <w:rPr>
          <w:rFonts w:ascii="Calibri" w:hAnsi="Calibri" w:cs="Calibri"/>
        </w:rPr>
        <w:t>8.3. Odbiór pogwarancyjny</w:t>
      </w:r>
    </w:p>
    <w:p w:rsidR="00656AC1" w:rsidRPr="00203191" w:rsidRDefault="00656AC1" w:rsidP="00364E4D">
      <w:pPr>
        <w:tabs>
          <w:tab w:val="left" w:pos="9914"/>
        </w:tabs>
        <w:rPr>
          <w:rFonts w:ascii="Calibri" w:hAnsi="Calibri" w:cs="Calibri"/>
        </w:rPr>
      </w:pPr>
      <w:r w:rsidRPr="00203191">
        <w:rPr>
          <w:rFonts w:ascii="Calibri" w:hAnsi="Calibri" w:cs="Calibri"/>
        </w:rPr>
        <w:t>Odbioru pogwarancyjnego należy dokonać po upływie okresu gwarancyjnego.</w:t>
      </w:r>
    </w:p>
    <w:p w:rsidR="00656AC1" w:rsidRPr="00203191" w:rsidRDefault="00656AC1" w:rsidP="00364E4D">
      <w:pPr>
        <w:pStyle w:val="Nagwek3"/>
        <w:tabs>
          <w:tab w:val="left" w:pos="9914"/>
        </w:tabs>
        <w:rPr>
          <w:rFonts w:ascii="Calibri" w:hAnsi="Calibri" w:cs="Calibri"/>
        </w:rPr>
      </w:pPr>
      <w:bookmarkStart w:id="1143" w:name="_Toc425833588"/>
      <w:r w:rsidRPr="00203191">
        <w:rPr>
          <w:rFonts w:ascii="Calibri" w:hAnsi="Calibri" w:cs="Calibri"/>
        </w:rPr>
        <w:t>9. PODSTAWA PŁATNOŚCI</w:t>
      </w:r>
      <w:bookmarkEnd w:id="1143"/>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9.1. Ogólne ustalenia dotyczące podstawy płatności</w:t>
      </w:r>
    </w:p>
    <w:p w:rsidR="00ED260C" w:rsidRPr="00203191" w:rsidRDefault="00ED260C" w:rsidP="00ED260C">
      <w:pPr>
        <w:tabs>
          <w:tab w:val="left" w:pos="9914"/>
        </w:tabs>
        <w:rPr>
          <w:rFonts w:asciiTheme="minorHAnsi" w:hAnsiTheme="minorHAnsi"/>
        </w:rPr>
      </w:pPr>
      <w:r w:rsidRPr="00203191">
        <w:rPr>
          <w:rFonts w:asciiTheme="minorHAnsi" w:hAnsiTheme="minorHAnsi"/>
        </w:rPr>
        <w:t>Ogólne ustalenia dotyczące podstawy płatności podano w STWiORB D-M-00.00.00 „Wymagania ogólne” pkt 9.</w:t>
      </w:r>
    </w:p>
    <w:p w:rsidR="00ED260C" w:rsidRPr="00203191" w:rsidRDefault="00ED260C" w:rsidP="00ED260C">
      <w:pPr>
        <w:pStyle w:val="Nagwek4"/>
        <w:tabs>
          <w:tab w:val="left" w:pos="9914"/>
        </w:tabs>
        <w:rPr>
          <w:rFonts w:asciiTheme="minorHAnsi" w:hAnsiTheme="minorHAnsi"/>
        </w:rPr>
      </w:pPr>
      <w:r w:rsidRPr="00203191">
        <w:rPr>
          <w:rFonts w:asciiTheme="minorHAnsi" w:hAnsiTheme="minorHAnsi"/>
        </w:rPr>
        <w:t>9.2. Cena jednostki obmiarowej</w:t>
      </w:r>
    </w:p>
    <w:p w:rsidR="00ED260C" w:rsidRPr="00203191" w:rsidRDefault="00ED260C" w:rsidP="00ED260C">
      <w:pPr>
        <w:tabs>
          <w:tab w:val="left" w:pos="9914"/>
        </w:tabs>
        <w:rPr>
          <w:rFonts w:asciiTheme="minorHAnsi" w:hAnsiTheme="minorHAnsi"/>
        </w:rPr>
      </w:pPr>
      <w:r w:rsidRPr="00203191">
        <w:rPr>
          <w:rFonts w:asciiTheme="minorHAnsi" w:hAnsiTheme="minorHAnsi"/>
        </w:rPr>
        <w:t>Cena wykonania jednostki obmiarowej oznakowania pionowego obejmuje:</w:t>
      </w:r>
    </w:p>
    <w:p w:rsidR="00ED260C" w:rsidRPr="00203191" w:rsidRDefault="00ED260C" w:rsidP="00790883">
      <w:pPr>
        <w:numPr>
          <w:ilvl w:val="0"/>
          <w:numId w:val="77"/>
        </w:numPr>
        <w:tabs>
          <w:tab w:val="left" w:pos="9914"/>
        </w:tabs>
        <w:ind w:left="283"/>
        <w:rPr>
          <w:rFonts w:asciiTheme="minorHAnsi" w:hAnsiTheme="minorHAnsi"/>
        </w:rPr>
      </w:pPr>
      <w:r w:rsidRPr="00203191">
        <w:rPr>
          <w:rFonts w:asciiTheme="minorHAnsi" w:hAnsiTheme="minorHAnsi"/>
        </w:rPr>
        <w:t>prace pomiarowe i roboty przygotowawcze,</w:t>
      </w:r>
    </w:p>
    <w:p w:rsidR="00ED260C" w:rsidRPr="00203191" w:rsidRDefault="00ED260C" w:rsidP="00790883">
      <w:pPr>
        <w:numPr>
          <w:ilvl w:val="0"/>
          <w:numId w:val="77"/>
        </w:numPr>
        <w:tabs>
          <w:tab w:val="left" w:pos="9914"/>
        </w:tabs>
        <w:ind w:left="283"/>
        <w:rPr>
          <w:rFonts w:asciiTheme="minorHAnsi" w:hAnsiTheme="minorHAnsi"/>
        </w:rPr>
      </w:pPr>
      <w:r w:rsidRPr="00203191">
        <w:rPr>
          <w:rFonts w:asciiTheme="minorHAnsi" w:hAnsiTheme="minorHAnsi"/>
        </w:rPr>
        <w:t>wykonanie fundamentów</w:t>
      </w:r>
    </w:p>
    <w:p w:rsidR="00ED260C" w:rsidRPr="00203191" w:rsidRDefault="00ED260C" w:rsidP="00790883">
      <w:pPr>
        <w:numPr>
          <w:ilvl w:val="0"/>
          <w:numId w:val="77"/>
        </w:numPr>
        <w:tabs>
          <w:tab w:val="left" w:pos="9914"/>
        </w:tabs>
        <w:ind w:left="283"/>
        <w:rPr>
          <w:rFonts w:asciiTheme="minorHAnsi" w:hAnsiTheme="minorHAnsi"/>
        </w:rPr>
      </w:pPr>
      <w:r w:rsidRPr="00203191">
        <w:rPr>
          <w:rFonts w:asciiTheme="minorHAnsi" w:hAnsiTheme="minorHAnsi"/>
        </w:rPr>
        <w:t>dostarczenie i ustawienie konstrukcji wsporczych,</w:t>
      </w:r>
    </w:p>
    <w:p w:rsidR="00ED260C" w:rsidRPr="00203191" w:rsidRDefault="00ED260C" w:rsidP="00790883">
      <w:pPr>
        <w:numPr>
          <w:ilvl w:val="0"/>
          <w:numId w:val="77"/>
        </w:numPr>
        <w:tabs>
          <w:tab w:val="left" w:pos="9914"/>
        </w:tabs>
        <w:ind w:left="283"/>
        <w:rPr>
          <w:rFonts w:asciiTheme="minorHAnsi" w:hAnsiTheme="minorHAnsi"/>
        </w:rPr>
      </w:pPr>
      <w:r w:rsidRPr="00203191">
        <w:rPr>
          <w:rFonts w:asciiTheme="minorHAnsi" w:hAnsiTheme="minorHAnsi"/>
        </w:rPr>
        <w:t>zamocowanie tarcz znaków drogowych,</w:t>
      </w:r>
    </w:p>
    <w:p w:rsidR="00ED260C" w:rsidRPr="00203191" w:rsidRDefault="00ED260C" w:rsidP="00790883">
      <w:pPr>
        <w:numPr>
          <w:ilvl w:val="0"/>
          <w:numId w:val="77"/>
        </w:numPr>
        <w:tabs>
          <w:tab w:val="left" w:pos="9914"/>
        </w:tabs>
        <w:ind w:left="283"/>
        <w:rPr>
          <w:rFonts w:asciiTheme="minorHAnsi" w:hAnsiTheme="minorHAnsi"/>
        </w:rPr>
      </w:pPr>
      <w:r w:rsidRPr="00203191">
        <w:rPr>
          <w:rFonts w:asciiTheme="minorHAnsi" w:hAnsiTheme="minorHAnsi"/>
        </w:rPr>
        <w:t>przeprowadzenie pomiarów i badań wymaganych w specyfikacji technicznej.</w:t>
      </w:r>
    </w:p>
    <w:p w:rsidR="00656AC1" w:rsidRPr="00203191" w:rsidRDefault="00656AC1" w:rsidP="00651A3F">
      <w:pPr>
        <w:tabs>
          <w:tab w:val="left" w:pos="9914"/>
        </w:tabs>
        <w:rPr>
          <w:rFonts w:ascii="Calibri" w:hAnsi="Calibri" w:cs="Calibri"/>
        </w:rPr>
      </w:pPr>
    </w:p>
    <w:p w:rsidR="00656AC1" w:rsidRPr="00203191" w:rsidRDefault="00656AC1" w:rsidP="00364E4D">
      <w:pPr>
        <w:pStyle w:val="Nagwek3"/>
        <w:tabs>
          <w:tab w:val="left" w:pos="9914"/>
        </w:tabs>
        <w:rPr>
          <w:rFonts w:ascii="Calibri" w:hAnsi="Calibri" w:cs="Calibri"/>
        </w:rPr>
      </w:pPr>
      <w:bookmarkStart w:id="1144" w:name="_Toc425833589"/>
      <w:r w:rsidRPr="00203191">
        <w:rPr>
          <w:rFonts w:ascii="Calibri" w:hAnsi="Calibri" w:cs="Calibri"/>
        </w:rPr>
        <w:t>10. PRZEPISY ZWIĄZANE</w:t>
      </w:r>
      <w:bookmarkEnd w:id="1144"/>
    </w:p>
    <w:p w:rsidR="00656AC1" w:rsidRPr="00203191" w:rsidRDefault="00656AC1" w:rsidP="00364E4D">
      <w:pPr>
        <w:pStyle w:val="Nagwek4"/>
        <w:tabs>
          <w:tab w:val="left" w:pos="9914"/>
        </w:tabs>
        <w:rPr>
          <w:rFonts w:ascii="Calibri" w:hAnsi="Calibri" w:cs="Calibri"/>
        </w:rPr>
      </w:pPr>
      <w:r w:rsidRPr="00203191">
        <w:rPr>
          <w:rFonts w:ascii="Calibri" w:hAnsi="Calibri" w:cs="Calibri"/>
        </w:rPr>
        <w:t>10.1. Normy</w:t>
      </w:r>
    </w:p>
    <w:tbl>
      <w:tblPr>
        <w:tblW w:w="10134" w:type="dxa"/>
        <w:tblInd w:w="2" w:type="dxa"/>
        <w:tblLayout w:type="fixed"/>
        <w:tblCellMar>
          <w:left w:w="70" w:type="dxa"/>
          <w:right w:w="70" w:type="dxa"/>
        </w:tblCellMar>
        <w:tblLook w:val="0000"/>
      </w:tblPr>
      <w:tblGrid>
        <w:gridCol w:w="637"/>
        <w:gridCol w:w="1843"/>
        <w:gridCol w:w="7654"/>
      </w:tblGrid>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1.</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PN-B-06250:1988</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Beton zwykły</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2.</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PN-B-06251:1963</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Roboty betonowe i żelbetowe. Wymagania techniczne</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3.</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PN-EN-12620:2004</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Kruszywa do betonu </w:t>
            </w:r>
          </w:p>
        </w:tc>
      </w:tr>
      <w:tr w:rsidR="00656AC1" w:rsidRPr="00957196">
        <w:tc>
          <w:tcPr>
            <w:tcW w:w="637" w:type="dxa"/>
          </w:tcPr>
          <w:p w:rsidR="00656AC1" w:rsidRPr="00957196" w:rsidRDefault="00656AC1" w:rsidP="00364E4D">
            <w:pPr>
              <w:tabs>
                <w:tab w:val="left" w:pos="9914"/>
              </w:tabs>
              <w:rPr>
                <w:rFonts w:ascii="Calibri" w:hAnsi="Calibri" w:cs="Calibri"/>
                <w:sz w:val="18"/>
                <w:szCs w:val="18"/>
                <w:lang w:val="en-US"/>
              </w:rPr>
            </w:pPr>
            <w:r w:rsidRPr="00957196">
              <w:rPr>
                <w:rFonts w:ascii="Calibri" w:hAnsi="Calibri" w:cs="Calibri"/>
                <w:sz w:val="18"/>
                <w:szCs w:val="18"/>
              </w:rPr>
              <w:t xml:space="preserve">  </w:t>
            </w:r>
            <w:r w:rsidRPr="00957196">
              <w:rPr>
                <w:rFonts w:ascii="Calibri" w:hAnsi="Calibri" w:cs="Calibri"/>
                <w:sz w:val="18"/>
                <w:szCs w:val="18"/>
                <w:lang w:val="en-US"/>
              </w:rPr>
              <w:t>4.</w:t>
            </w:r>
          </w:p>
        </w:tc>
        <w:tc>
          <w:tcPr>
            <w:tcW w:w="1843" w:type="dxa"/>
          </w:tcPr>
          <w:p w:rsidR="00656AC1" w:rsidRPr="00957196" w:rsidRDefault="00656AC1" w:rsidP="00364E4D">
            <w:pPr>
              <w:tabs>
                <w:tab w:val="left" w:pos="9914"/>
              </w:tabs>
              <w:rPr>
                <w:rFonts w:ascii="Calibri" w:hAnsi="Calibri" w:cs="Calibri"/>
                <w:sz w:val="18"/>
                <w:szCs w:val="18"/>
                <w:lang w:val="en-US"/>
              </w:rPr>
            </w:pPr>
            <w:r w:rsidRPr="00957196">
              <w:rPr>
                <w:rFonts w:ascii="Calibri" w:hAnsi="Calibri" w:cs="Calibri"/>
                <w:sz w:val="18"/>
                <w:szCs w:val="18"/>
                <w:lang w:val="en-US"/>
              </w:rPr>
              <w:t>PN-EN-197-1:2002</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Cement. Część I. Skład, wymagania i kryteria zgodności dotyczące cementów powszechnego użytku</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5.</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PN-B-23010:1986</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Domieszki do betonu. Klasyfikacja i określenia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6.</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PN-EN-1008:2004</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Woda zarobowa do betonu. Specyfikacja pobierania próbek i ocena przydatności wody zarobowej do betonu, w tym wody odzyskanej z procesów produkcji betonu</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lastRenderedPageBreak/>
              <w:t xml:space="preserve">  7.</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PN-E-06314</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Elektryczne oprawy oświetlenia zewnętrznego</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8.</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PN-H-04651</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Ochrona przed korozją. Klasyfikacja i określenie agresywności korozyjnej środowiska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  9.</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PN-H-74219</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Rury stalowe bez szwu walcowane na gorąco ogólnego zastosowania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10.</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PN-H-74220</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Rury stalowe bez szwu ciągnione i walcowane na zimno ogólnego przeznaczenia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11.</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PN-H-82200</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Cynk</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12.</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PN-H-84018</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niskostopowa o podwyższonej wytrzymałości. Gatunki</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13.</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PN-H-84019</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niestopowa do utwardzania powierzchniowego i ulepszania cieplnego. Gatunki</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14.</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PN-H-84020</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niestopowa konstrukcyjna ogólnego przeznaczenia. Gatunki</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15.</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PN-H-84023-07</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określonego zastosowania. Stal na rury. Gatunki</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16.</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PN-H-84030-02</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stopowa konstrukcyjna. Stal do nawęglania. Gatunki</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17.</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PN-H-93010</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Kształtowniki walcowane na gorąco</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18.</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PN-H-93401</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Stal walcowana. Kątowniki równoramienne</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19.</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PN-M-06515</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Dźwignice. Ogólne zasady projektowania stalowych ustrojów nośnych</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 xml:space="preserve">20. </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PN-M-69011</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Spawalnictwo. Złącza spawane w konstrukcjach spawanych. Podział i wymagania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21.</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PN-M-69420</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Spawalnictwo. Druty lite do spawania i napawania stali</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22.</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PN-M-69430</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Spawalnictwo. Elektrody stalowe otulone do spawania i napawania. Ogólne wymagania i badania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23.</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PN-M-69775</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Spawalnictwo. Wadliwość złączy spawanych. Oznaczanie klasy wadliwości na podstawie oględzin zewnętrznych</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24.</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PN-S-02205</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Drogi samochodowe. Roboty ziemne. Wymagania i badania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25.</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BN-89/1076-02</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Ochrona przed korozją. Powłoki metalizacyjne cynkowe i aluminiowe na konstrukcjach stalowych i żeliwnych. Wymagania i badania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26.</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BN-82/4131-03</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Spawalnictwo. Pręty i elektrody ze stopów stellitowych i pręty z żeliw wysokochromowych do napawania</w:t>
            </w:r>
          </w:p>
        </w:tc>
      </w:tr>
      <w:tr w:rsidR="00656AC1" w:rsidRPr="00957196">
        <w:tc>
          <w:tcPr>
            <w:tcW w:w="637"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27.</w:t>
            </w:r>
          </w:p>
        </w:tc>
        <w:tc>
          <w:tcPr>
            <w:tcW w:w="1843"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BN-88/6731-08</w:t>
            </w:r>
          </w:p>
        </w:tc>
        <w:tc>
          <w:tcPr>
            <w:tcW w:w="7654" w:type="dxa"/>
          </w:tcPr>
          <w:p w:rsidR="00656AC1" w:rsidRPr="00957196" w:rsidRDefault="00656AC1" w:rsidP="00364E4D">
            <w:pPr>
              <w:tabs>
                <w:tab w:val="left" w:pos="9914"/>
              </w:tabs>
              <w:rPr>
                <w:rFonts w:ascii="Calibri" w:hAnsi="Calibri" w:cs="Calibri"/>
                <w:sz w:val="18"/>
                <w:szCs w:val="18"/>
              </w:rPr>
            </w:pPr>
            <w:r w:rsidRPr="00957196">
              <w:rPr>
                <w:rFonts w:ascii="Calibri" w:hAnsi="Calibri" w:cs="Calibri"/>
                <w:sz w:val="18"/>
                <w:szCs w:val="18"/>
              </w:rPr>
              <w:t>Cement. Transport i przechowywanie.</w:t>
            </w:r>
          </w:p>
        </w:tc>
      </w:tr>
    </w:tbl>
    <w:p w:rsidR="00656AC1" w:rsidRPr="00203191" w:rsidRDefault="00656AC1" w:rsidP="00364E4D">
      <w:pPr>
        <w:tabs>
          <w:tab w:val="left" w:pos="9914"/>
        </w:tabs>
        <w:rPr>
          <w:rFonts w:ascii="Calibri" w:hAnsi="Calibri" w:cs="Calibri"/>
        </w:rPr>
      </w:pPr>
    </w:p>
    <w:p w:rsidR="00413511" w:rsidRDefault="00413511" w:rsidP="00364E4D">
      <w:pPr>
        <w:rPr>
          <w:rFonts w:ascii="Calibri" w:hAnsi="Calibri" w:cs="Calibri"/>
        </w:rPr>
      </w:pPr>
    </w:p>
    <w:p w:rsidR="00413511" w:rsidRDefault="00413511" w:rsidP="00364E4D">
      <w:pPr>
        <w:rPr>
          <w:rFonts w:ascii="Calibri" w:hAnsi="Calibri" w:cs="Calibri"/>
        </w:rPr>
      </w:pPr>
    </w:p>
    <w:p w:rsidR="004F5BEB" w:rsidRPr="00651A3F" w:rsidRDefault="004F5BEB" w:rsidP="00651A3F">
      <w:pPr>
        <w:pStyle w:val="Nagwek2"/>
      </w:pPr>
      <w:bookmarkStart w:id="1145" w:name="_Toc285044239"/>
      <w:r w:rsidRPr="00651A3F">
        <w:lastRenderedPageBreak/>
        <w:t>SPECYFIKACJA TECHNICZNA WYKONANIA I ODBIORU ROBÓT BUDOWLANYCH</w:t>
      </w:r>
    </w:p>
    <w:p w:rsidR="004F5BEB" w:rsidRPr="008C309F" w:rsidRDefault="004F5BEB" w:rsidP="004F5BEB">
      <w:pPr>
        <w:pStyle w:val="Nagwek1"/>
      </w:pPr>
      <w:bookmarkStart w:id="1146" w:name="_Toc377823426"/>
      <w:bookmarkStart w:id="1147" w:name="_Toc427178283"/>
      <w:bookmarkStart w:id="1148" w:name="_Toc459929676"/>
      <w:r w:rsidRPr="008C309F">
        <w:t>D - 07.06.02 URZĄDZENIA ZABEZPIECZAJĄCE RUCH PIESZYCH</w:t>
      </w:r>
      <w:bookmarkEnd w:id="1146"/>
      <w:bookmarkEnd w:id="1147"/>
      <w:bookmarkEnd w:id="1148"/>
    </w:p>
    <w:p w:rsidR="004F5BEB" w:rsidRPr="00651A3F" w:rsidRDefault="004F5BEB" w:rsidP="004F5BEB">
      <w:pPr>
        <w:pStyle w:val="Nagwek3"/>
        <w:rPr>
          <w:rFonts w:asciiTheme="minorHAnsi" w:hAnsiTheme="minorHAnsi"/>
        </w:rPr>
      </w:pPr>
      <w:bookmarkStart w:id="1149" w:name="_Toc425562413"/>
      <w:r w:rsidRPr="00651A3F">
        <w:rPr>
          <w:rFonts w:asciiTheme="minorHAnsi" w:hAnsiTheme="minorHAnsi"/>
        </w:rPr>
        <w:t>1. WSTĘP</w:t>
      </w:r>
      <w:bookmarkEnd w:id="1149"/>
    </w:p>
    <w:p w:rsidR="004F5BEB" w:rsidRPr="00651A3F" w:rsidRDefault="004F5BEB" w:rsidP="004F5BEB">
      <w:pPr>
        <w:pStyle w:val="Nagwek4"/>
        <w:rPr>
          <w:rFonts w:asciiTheme="minorHAnsi" w:hAnsiTheme="minorHAnsi"/>
        </w:rPr>
      </w:pPr>
      <w:r w:rsidRPr="00651A3F">
        <w:rPr>
          <w:rFonts w:asciiTheme="minorHAnsi" w:hAnsiTheme="minorHAnsi"/>
        </w:rPr>
        <w:t>1.1. Przedmiot STWiORB</w:t>
      </w:r>
    </w:p>
    <w:p w:rsidR="004F5BEB" w:rsidRPr="00651A3F" w:rsidRDefault="004F5BEB" w:rsidP="004F5BEB">
      <w:pPr>
        <w:rPr>
          <w:rFonts w:asciiTheme="minorHAnsi" w:hAnsiTheme="minorHAnsi"/>
        </w:rPr>
      </w:pPr>
      <w:r w:rsidRPr="00651A3F">
        <w:rPr>
          <w:rFonts w:asciiTheme="minorHAnsi" w:hAnsiTheme="minorHAnsi"/>
        </w:rPr>
        <w:t>Przedmiotem niniejszej specyfikacji technicznej wykonania i odbioru robót budowlanych (STWiORB) są wymagania dotyczące wykonania i odbioru robót związanych z urządzeniami zabezpieczającymi ruch pieszych.</w:t>
      </w:r>
    </w:p>
    <w:p w:rsidR="004F5BEB" w:rsidRPr="00651A3F" w:rsidRDefault="004F5BEB" w:rsidP="004F5BEB">
      <w:pPr>
        <w:pStyle w:val="Nagwek4"/>
        <w:rPr>
          <w:rFonts w:asciiTheme="minorHAnsi" w:hAnsiTheme="minorHAnsi"/>
        </w:rPr>
      </w:pPr>
      <w:r w:rsidRPr="00651A3F">
        <w:rPr>
          <w:rFonts w:asciiTheme="minorHAnsi" w:hAnsiTheme="minorHAnsi"/>
        </w:rPr>
        <w:t>1.2. Zakres stosowania STWiORB</w:t>
      </w:r>
    </w:p>
    <w:p w:rsidR="00584330" w:rsidRPr="00203191" w:rsidRDefault="00584330" w:rsidP="00584330">
      <w:pPr>
        <w:rPr>
          <w:rFonts w:ascii="Calibri" w:hAnsi="Calibri" w:cs="Calibri"/>
        </w:rPr>
      </w:pPr>
      <w:r>
        <w:rPr>
          <w:rFonts w:ascii="Calibri" w:hAnsi="Calibri" w:cs="Calibri"/>
        </w:rPr>
        <w:t xml:space="preserve">Specyfikacja techniczna stanowi </w:t>
      </w:r>
      <w:r w:rsidRPr="00203191">
        <w:rPr>
          <w:rFonts w:ascii="Calibri" w:hAnsi="Calibri" w:cs="Calibri"/>
        </w:rPr>
        <w:t xml:space="preserve">dokument przetargowy i kontraktowy przy realizacji  zadania </w:t>
      </w:r>
      <w:r>
        <w:rPr>
          <w:rFonts w:ascii="Calibri" w:hAnsi="Calibri" w:cs="Calibri"/>
        </w:rPr>
        <w:t>„</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r>
        <w:rPr>
          <w:rFonts w:ascii="Calibri" w:hAnsi="Calibri" w:cs="Calibri"/>
        </w:rPr>
        <w:t>”</w:t>
      </w:r>
    </w:p>
    <w:p w:rsidR="004F5BEB" w:rsidRPr="00651A3F" w:rsidRDefault="004F5BEB" w:rsidP="004F5BEB">
      <w:pPr>
        <w:pStyle w:val="Nagwek4"/>
        <w:rPr>
          <w:rFonts w:asciiTheme="minorHAnsi" w:hAnsiTheme="minorHAnsi"/>
        </w:rPr>
      </w:pPr>
      <w:r w:rsidRPr="00651A3F">
        <w:rPr>
          <w:rFonts w:asciiTheme="minorHAnsi" w:hAnsiTheme="minorHAnsi"/>
        </w:rPr>
        <w:t>1.3. Zakres robót objętych STWiORB</w:t>
      </w:r>
    </w:p>
    <w:p w:rsidR="004F5BEB" w:rsidRPr="00651A3F" w:rsidRDefault="004F5BEB" w:rsidP="004F5BEB">
      <w:pPr>
        <w:rPr>
          <w:rFonts w:asciiTheme="minorHAnsi" w:hAnsiTheme="minorHAnsi"/>
        </w:rPr>
      </w:pPr>
      <w:r w:rsidRPr="00651A3F">
        <w:rPr>
          <w:rFonts w:asciiTheme="minorHAnsi" w:hAnsiTheme="minorHAnsi"/>
        </w:rPr>
        <w:t>Ustalenia zawarte w niniejszej specyfikacji dotyczą zasad prowadzenia robót związanych z urządzeniami zabezpieczającymi ruch pieszych, do których należą barierki rurowe,</w:t>
      </w:r>
    </w:p>
    <w:p w:rsidR="004F5BEB" w:rsidRPr="00651A3F" w:rsidRDefault="004F5BEB" w:rsidP="004F5BEB">
      <w:pPr>
        <w:rPr>
          <w:rFonts w:asciiTheme="minorHAnsi" w:hAnsiTheme="minorHAnsi"/>
        </w:rPr>
      </w:pPr>
      <w:r w:rsidRPr="00651A3F">
        <w:rPr>
          <w:rFonts w:asciiTheme="minorHAnsi" w:hAnsiTheme="minorHAnsi"/>
        </w:rPr>
        <w:t>Celem stosowania urządzeń zabezpieczających ruch pieszych jest ochrona życia i zdrowia uczestników ruchu drogowego, zarówno pieszych jak i kierowców oraz pasażerów pojazdów poprzez uniemożliwienie nagłego wtargnięcia na jezdnię w miejscach do tego nieprzeznaczonych.</w:t>
      </w:r>
    </w:p>
    <w:p w:rsidR="004F5BEB" w:rsidRPr="00651A3F" w:rsidRDefault="004F5BEB" w:rsidP="004F5BEB">
      <w:pPr>
        <w:pStyle w:val="Nagwek4"/>
        <w:rPr>
          <w:rFonts w:asciiTheme="minorHAnsi" w:hAnsiTheme="minorHAnsi"/>
        </w:rPr>
      </w:pPr>
      <w:r w:rsidRPr="00651A3F">
        <w:rPr>
          <w:rFonts w:asciiTheme="minorHAnsi" w:hAnsiTheme="minorHAnsi"/>
        </w:rPr>
        <w:t>1.4. Określenia podstawowe</w:t>
      </w:r>
    </w:p>
    <w:p w:rsidR="004F5BEB" w:rsidRPr="00651A3F" w:rsidRDefault="004F5BEB" w:rsidP="004F5BEB">
      <w:pPr>
        <w:pStyle w:val="Nagwek7"/>
        <w:rPr>
          <w:rFonts w:asciiTheme="minorHAnsi" w:hAnsiTheme="minorHAnsi"/>
        </w:rPr>
      </w:pPr>
      <w:r w:rsidRPr="00651A3F">
        <w:rPr>
          <w:rFonts w:asciiTheme="minorHAnsi" w:hAnsiTheme="minorHAnsi"/>
        </w:rPr>
        <w:t>1.4.1. Ogrodzenia ochronne sztywne - przegrody fizyczne separujące ruch pieszy od ruchu kołowego wykonane z kształtowników stalowych.</w:t>
      </w:r>
    </w:p>
    <w:p w:rsidR="004F5BEB" w:rsidRPr="00651A3F" w:rsidRDefault="004F5BEB" w:rsidP="004F5BEB">
      <w:pPr>
        <w:pStyle w:val="Nagwek7"/>
        <w:rPr>
          <w:rFonts w:asciiTheme="minorHAnsi" w:hAnsiTheme="minorHAnsi"/>
        </w:rPr>
      </w:pPr>
      <w:r w:rsidRPr="00651A3F">
        <w:rPr>
          <w:rFonts w:asciiTheme="minorHAnsi" w:hAnsiTheme="minorHAnsi"/>
        </w:rPr>
        <w:t>1.4.2.  Kształtowniki - wyroby o stałym przekroju poprzecznym w kształcie złożonej figury geometrycznej, dostarczane w odcinkach prostych, stosowane w konstrukcjach stalowych lub w połączeniu z innymi wyrobami budowlanymi.</w:t>
      </w:r>
    </w:p>
    <w:p w:rsidR="004F5BEB" w:rsidRPr="00651A3F" w:rsidRDefault="004F5BEB" w:rsidP="004F5BEB">
      <w:pPr>
        <w:pStyle w:val="Nagwek7"/>
        <w:rPr>
          <w:rFonts w:asciiTheme="minorHAnsi" w:hAnsiTheme="minorHAnsi"/>
        </w:rPr>
      </w:pPr>
      <w:r w:rsidRPr="00651A3F">
        <w:rPr>
          <w:rFonts w:asciiTheme="minorHAnsi" w:hAnsiTheme="minorHAnsi"/>
        </w:rPr>
        <w:t xml:space="preserve">1.4.3.Pozostałe określenia podstawowe są zgodne z obowiązującymi, odpowiednimi polskimi normami i z definicjami podanymi w STWiORB D-M-00.00.00 „Wymagania ogólne” pkt 1.4. </w:t>
      </w:r>
    </w:p>
    <w:p w:rsidR="004F5BEB" w:rsidRPr="00651A3F" w:rsidRDefault="004F5BEB" w:rsidP="004F5BEB">
      <w:pPr>
        <w:pStyle w:val="Nagwek4"/>
        <w:rPr>
          <w:rFonts w:asciiTheme="minorHAnsi" w:hAnsiTheme="minorHAnsi"/>
        </w:rPr>
      </w:pPr>
      <w:r w:rsidRPr="00651A3F">
        <w:rPr>
          <w:rFonts w:asciiTheme="minorHAnsi" w:hAnsiTheme="minorHAnsi"/>
        </w:rPr>
        <w:t>1.5. Ogólne wymagania dotyczące robót</w:t>
      </w:r>
    </w:p>
    <w:p w:rsidR="004F5BEB" w:rsidRPr="00651A3F" w:rsidRDefault="004F5BEB" w:rsidP="004F5BEB">
      <w:pPr>
        <w:pStyle w:val="Nagwek4"/>
        <w:rPr>
          <w:rFonts w:asciiTheme="minorHAnsi" w:hAnsiTheme="minorHAnsi"/>
        </w:rPr>
      </w:pPr>
      <w:r w:rsidRPr="00651A3F">
        <w:rPr>
          <w:rFonts w:asciiTheme="minorHAnsi" w:hAnsiTheme="minorHAnsi"/>
        </w:rPr>
        <w:t xml:space="preserve">Ogólne wymagania dotyczące robót podano w STWiORB D-M-00.00.00 „Wymagania ogólne” pkt 1.5. </w:t>
      </w:r>
    </w:p>
    <w:p w:rsidR="004F5BEB" w:rsidRPr="00651A3F" w:rsidRDefault="004F5BEB" w:rsidP="004F5BEB">
      <w:pPr>
        <w:pStyle w:val="Nagwek3"/>
        <w:rPr>
          <w:rFonts w:asciiTheme="minorHAnsi" w:hAnsiTheme="minorHAnsi"/>
        </w:rPr>
      </w:pPr>
      <w:bookmarkStart w:id="1150" w:name="_Toc425562414"/>
      <w:r w:rsidRPr="00651A3F">
        <w:rPr>
          <w:rFonts w:asciiTheme="minorHAnsi" w:hAnsiTheme="minorHAnsi"/>
        </w:rPr>
        <w:t>2. WYROBY BUDOWLANE I MATERIAŁY</w:t>
      </w:r>
      <w:bookmarkEnd w:id="1150"/>
    </w:p>
    <w:p w:rsidR="004F5BEB" w:rsidRPr="00651A3F" w:rsidRDefault="004F5BEB" w:rsidP="004F5BEB">
      <w:pPr>
        <w:pStyle w:val="Nagwek4"/>
        <w:rPr>
          <w:rFonts w:asciiTheme="minorHAnsi" w:hAnsiTheme="minorHAnsi"/>
        </w:rPr>
      </w:pPr>
      <w:r w:rsidRPr="00651A3F">
        <w:rPr>
          <w:rFonts w:asciiTheme="minorHAnsi" w:hAnsiTheme="minorHAnsi"/>
        </w:rPr>
        <w:t>2.1. Ogólne wymagania dotyczące wyrobów</w:t>
      </w:r>
    </w:p>
    <w:p w:rsidR="004F5BEB" w:rsidRPr="00651A3F" w:rsidRDefault="004F5BEB" w:rsidP="004F5BEB">
      <w:pPr>
        <w:rPr>
          <w:rFonts w:asciiTheme="minorHAnsi" w:hAnsiTheme="minorHAnsi"/>
        </w:rPr>
      </w:pPr>
      <w:r w:rsidRPr="00651A3F">
        <w:rPr>
          <w:rFonts w:asciiTheme="minorHAnsi" w:hAnsiTheme="minorHAnsi"/>
        </w:rPr>
        <w:t>Ogólne wymagania dotyczące wyrobów, ich pozyskiwania i składowania, podano w STWiORB D-M-00.00.00 „Wymagania ogólne” pkt 2.</w:t>
      </w:r>
    </w:p>
    <w:p w:rsidR="004F5BEB" w:rsidRPr="00651A3F" w:rsidRDefault="004F5BEB" w:rsidP="004F5BEB">
      <w:pPr>
        <w:pStyle w:val="Nagwek4"/>
        <w:rPr>
          <w:rFonts w:asciiTheme="minorHAnsi" w:hAnsiTheme="minorHAnsi"/>
        </w:rPr>
      </w:pPr>
      <w:r w:rsidRPr="00651A3F">
        <w:rPr>
          <w:rFonts w:asciiTheme="minorHAnsi" w:hAnsiTheme="minorHAnsi"/>
        </w:rPr>
        <w:t>2.2. Rodzaje wyrobów</w:t>
      </w:r>
    </w:p>
    <w:p w:rsidR="004F5BEB" w:rsidRPr="00651A3F" w:rsidRDefault="004F5BEB" w:rsidP="004F5BEB">
      <w:pPr>
        <w:rPr>
          <w:rFonts w:asciiTheme="minorHAnsi" w:hAnsiTheme="minorHAnsi"/>
        </w:rPr>
      </w:pPr>
      <w:r w:rsidRPr="00651A3F">
        <w:rPr>
          <w:rFonts w:asciiTheme="minorHAnsi" w:hAnsiTheme="minorHAnsi"/>
        </w:rPr>
        <w:t>Wyrobami stosowanymi przy wykonywaniu urządzeń zabezpieczających ruch pieszy, objętych niniejszą STWiORB, są:</w:t>
      </w:r>
    </w:p>
    <w:p w:rsidR="004F5BEB" w:rsidRPr="00651A3F" w:rsidRDefault="004F5BEB" w:rsidP="004F5BEB">
      <w:pPr>
        <w:rPr>
          <w:rFonts w:asciiTheme="minorHAnsi" w:hAnsiTheme="minorHAnsi"/>
        </w:rPr>
      </w:pPr>
      <w:r w:rsidRPr="00651A3F">
        <w:rPr>
          <w:rFonts w:asciiTheme="minorHAnsi" w:hAnsiTheme="minorHAnsi"/>
        </w:rPr>
        <w:t>elementy metalowe: kątownik L40x40x4, pręt φ10, płaskownik 40x5, teownik 60x60, rury stalowe fi 40 i 50</w:t>
      </w:r>
    </w:p>
    <w:p w:rsidR="004F5BEB" w:rsidRPr="00651A3F" w:rsidRDefault="004F5BEB" w:rsidP="004F5BEB">
      <w:pPr>
        <w:rPr>
          <w:rFonts w:asciiTheme="minorHAnsi" w:hAnsiTheme="minorHAnsi"/>
        </w:rPr>
      </w:pPr>
      <w:r w:rsidRPr="00651A3F">
        <w:rPr>
          <w:rFonts w:asciiTheme="minorHAnsi" w:hAnsiTheme="minorHAnsi"/>
        </w:rPr>
        <w:t>beton i jego składniki,</w:t>
      </w:r>
    </w:p>
    <w:p w:rsidR="004F5BEB" w:rsidRPr="00651A3F" w:rsidRDefault="004F5BEB" w:rsidP="004F5BEB">
      <w:pPr>
        <w:rPr>
          <w:rFonts w:asciiTheme="minorHAnsi" w:hAnsiTheme="minorHAnsi"/>
        </w:rPr>
      </w:pPr>
      <w:r w:rsidRPr="00651A3F">
        <w:rPr>
          <w:rFonts w:asciiTheme="minorHAnsi" w:hAnsiTheme="minorHAnsi"/>
        </w:rPr>
        <w:t>gruz</w:t>
      </w:r>
    </w:p>
    <w:p w:rsidR="004F5BEB" w:rsidRPr="00651A3F" w:rsidRDefault="004F5BEB" w:rsidP="004F5BEB">
      <w:pPr>
        <w:rPr>
          <w:rFonts w:asciiTheme="minorHAnsi" w:hAnsiTheme="minorHAnsi"/>
        </w:rPr>
      </w:pPr>
      <w:r w:rsidRPr="00651A3F">
        <w:rPr>
          <w:rFonts w:asciiTheme="minorHAnsi" w:hAnsiTheme="minorHAnsi"/>
        </w:rPr>
        <w:t>wyroby do malowania i renowacji powłok malarskich.</w:t>
      </w:r>
    </w:p>
    <w:p w:rsidR="004F5BEB" w:rsidRPr="00651A3F" w:rsidRDefault="004F5BEB" w:rsidP="004F5BEB">
      <w:pPr>
        <w:pStyle w:val="Nagwek4"/>
        <w:rPr>
          <w:rFonts w:asciiTheme="minorHAnsi" w:hAnsiTheme="minorHAnsi"/>
        </w:rPr>
      </w:pPr>
      <w:r w:rsidRPr="00651A3F">
        <w:rPr>
          <w:rFonts w:asciiTheme="minorHAnsi" w:hAnsiTheme="minorHAnsi"/>
        </w:rPr>
        <w:lastRenderedPageBreak/>
        <w:t>2.3. Słupki metalowe i elementy poł</w:t>
      </w:r>
      <w:r w:rsidRPr="00651A3F">
        <w:rPr>
          <w:rFonts w:asciiTheme="minorHAnsi" w:eastAsia="TimesNewRoman,Bold" w:hAnsiTheme="minorHAnsi"/>
        </w:rPr>
        <w:t>ą</w:t>
      </w:r>
      <w:r w:rsidRPr="00651A3F">
        <w:rPr>
          <w:rFonts w:asciiTheme="minorHAnsi" w:hAnsiTheme="minorHAnsi"/>
        </w:rPr>
        <w:t>czeniowe</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b/>
          <w:bCs/>
        </w:rPr>
        <w:t xml:space="preserve">2.3.1. </w:t>
      </w:r>
      <w:r w:rsidRPr="00651A3F">
        <w:rPr>
          <w:rFonts w:asciiTheme="minorHAnsi" w:hAnsiTheme="minorHAnsi"/>
        </w:rPr>
        <w:t>Wymiary i najważniejsze charakterystyki słupków</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Słupki metalowe przy por</w:t>
      </w:r>
      <w:r w:rsidRPr="00651A3F">
        <w:rPr>
          <w:rFonts w:asciiTheme="minorHAnsi" w:eastAsia="TimesNewRoman" w:hAnsiTheme="minorHAnsi"/>
        </w:rPr>
        <w:t>ę</w:t>
      </w:r>
      <w:r w:rsidRPr="00651A3F">
        <w:rPr>
          <w:rFonts w:asciiTheme="minorHAnsi" w:hAnsiTheme="minorHAnsi"/>
        </w:rPr>
        <w:t>czach ochronnych segmentowych powinny by</w:t>
      </w:r>
      <w:r w:rsidRPr="00651A3F">
        <w:rPr>
          <w:rFonts w:asciiTheme="minorHAnsi" w:eastAsia="TimesNewRoman" w:hAnsiTheme="minorHAnsi"/>
        </w:rPr>
        <w:t xml:space="preserve">ć </w:t>
      </w:r>
      <w:r w:rsidRPr="00651A3F">
        <w:rPr>
          <w:rFonts w:asciiTheme="minorHAnsi" w:hAnsiTheme="minorHAnsi"/>
        </w:rPr>
        <w:t>wykonane z rur</w:t>
      </w:r>
      <w:r w:rsidR="00584330">
        <w:rPr>
          <w:rFonts w:asciiTheme="minorHAnsi" w:hAnsiTheme="minorHAnsi"/>
        </w:rPr>
        <w:t xml:space="preserve"> ze stali nierdzewnej</w:t>
      </w:r>
      <w:r w:rsidRPr="00651A3F">
        <w:rPr>
          <w:rFonts w:asciiTheme="minorHAnsi" w:hAnsiTheme="minorHAnsi"/>
        </w:rPr>
        <w:t xml:space="preserve"> o przekroju kołowym zgodnie z dokumentacj</w:t>
      </w:r>
      <w:r w:rsidRPr="00651A3F">
        <w:rPr>
          <w:rFonts w:asciiTheme="minorHAnsi" w:eastAsia="TimesNewRoman" w:hAnsiTheme="minorHAnsi"/>
        </w:rPr>
        <w:t xml:space="preserve">ą </w:t>
      </w:r>
      <w:r w:rsidRPr="00651A3F">
        <w:rPr>
          <w:rFonts w:asciiTheme="minorHAnsi" w:hAnsiTheme="minorHAnsi"/>
        </w:rPr>
        <w:t>projektow</w:t>
      </w:r>
      <w:r w:rsidRPr="00651A3F">
        <w:rPr>
          <w:rFonts w:asciiTheme="minorHAnsi" w:eastAsia="TimesNewRoman" w:hAnsiTheme="minorHAnsi"/>
        </w:rPr>
        <w:t xml:space="preserve">ą </w:t>
      </w:r>
      <w:r w:rsidRPr="00651A3F">
        <w:rPr>
          <w:rFonts w:asciiTheme="minorHAnsi" w:hAnsiTheme="minorHAnsi"/>
        </w:rPr>
        <w:t>lub wskazaniami Inżyniera.</w:t>
      </w:r>
    </w:p>
    <w:p w:rsidR="004F5BEB" w:rsidRPr="00651A3F" w:rsidRDefault="004F5BEB" w:rsidP="004F5BEB">
      <w:pPr>
        <w:overflowPunct/>
        <w:jc w:val="left"/>
        <w:textAlignment w:val="auto"/>
        <w:rPr>
          <w:rFonts w:asciiTheme="minorHAnsi" w:hAnsiTheme="minorHAnsi"/>
          <w:b/>
          <w:bCs/>
        </w:rPr>
      </w:pPr>
      <w:r w:rsidRPr="00651A3F">
        <w:rPr>
          <w:rFonts w:asciiTheme="minorHAnsi" w:hAnsiTheme="minorHAnsi"/>
          <w:b/>
          <w:bCs/>
        </w:rPr>
        <w:t>2.3.2. Wymagania dla rur</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Rury powinny odpowiada</w:t>
      </w:r>
      <w:r w:rsidRPr="00651A3F">
        <w:rPr>
          <w:rFonts w:asciiTheme="minorHAnsi" w:eastAsia="TimesNewRoman" w:hAnsiTheme="minorHAnsi"/>
        </w:rPr>
        <w:t xml:space="preserve">ć </w:t>
      </w:r>
      <w:r w:rsidRPr="00651A3F">
        <w:rPr>
          <w:rFonts w:asciiTheme="minorHAnsi" w:hAnsiTheme="minorHAnsi"/>
        </w:rPr>
        <w:t>wymaganiom PN-H-74219, PN-H-74220 lub innej zaakceptowanej przez Inżyniera.</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Powierzchnia zewn</w:t>
      </w:r>
      <w:r w:rsidRPr="00651A3F">
        <w:rPr>
          <w:rFonts w:asciiTheme="minorHAnsi" w:eastAsia="TimesNewRoman" w:hAnsiTheme="minorHAnsi"/>
        </w:rPr>
        <w:t>ę</w:t>
      </w:r>
      <w:r w:rsidRPr="00651A3F">
        <w:rPr>
          <w:rFonts w:asciiTheme="minorHAnsi" w:hAnsiTheme="minorHAnsi"/>
        </w:rPr>
        <w:t>trzna i wewn</w:t>
      </w:r>
      <w:r w:rsidRPr="00651A3F">
        <w:rPr>
          <w:rFonts w:asciiTheme="minorHAnsi" w:eastAsia="TimesNewRoman" w:hAnsiTheme="minorHAnsi"/>
        </w:rPr>
        <w:t>ę</w:t>
      </w:r>
      <w:r w:rsidRPr="00651A3F">
        <w:rPr>
          <w:rFonts w:asciiTheme="minorHAnsi" w:hAnsiTheme="minorHAnsi"/>
        </w:rPr>
        <w:t>trzna rur nie powinna wykazywa</w:t>
      </w:r>
      <w:r w:rsidRPr="00651A3F">
        <w:rPr>
          <w:rFonts w:asciiTheme="minorHAnsi" w:eastAsia="TimesNewRoman" w:hAnsiTheme="minorHAnsi"/>
        </w:rPr>
        <w:t xml:space="preserve">ć </w:t>
      </w:r>
      <w:r w:rsidRPr="00651A3F">
        <w:rPr>
          <w:rFonts w:asciiTheme="minorHAnsi" w:hAnsiTheme="minorHAnsi"/>
        </w:rPr>
        <w:t>wad w postaci łusek, p</w:t>
      </w:r>
      <w:r w:rsidRPr="00651A3F">
        <w:rPr>
          <w:rFonts w:asciiTheme="minorHAnsi" w:eastAsia="TimesNewRoman" w:hAnsiTheme="minorHAnsi"/>
        </w:rPr>
        <w:t>ę</w:t>
      </w:r>
      <w:r w:rsidRPr="00651A3F">
        <w:rPr>
          <w:rFonts w:asciiTheme="minorHAnsi" w:hAnsiTheme="minorHAnsi"/>
        </w:rPr>
        <w:t>kni</w:t>
      </w:r>
      <w:r w:rsidRPr="00651A3F">
        <w:rPr>
          <w:rFonts w:asciiTheme="minorHAnsi" w:eastAsia="TimesNewRoman" w:hAnsiTheme="minorHAnsi"/>
        </w:rPr>
        <w:t>ęć</w:t>
      </w:r>
      <w:r w:rsidRPr="00651A3F">
        <w:rPr>
          <w:rFonts w:asciiTheme="minorHAnsi" w:hAnsiTheme="minorHAnsi"/>
        </w:rPr>
        <w:t>, zawalcowa</w:t>
      </w:r>
      <w:r w:rsidRPr="00651A3F">
        <w:rPr>
          <w:rFonts w:asciiTheme="minorHAnsi" w:eastAsia="TimesNewRoman" w:hAnsiTheme="minorHAnsi"/>
        </w:rPr>
        <w:t xml:space="preserve">ń </w:t>
      </w:r>
      <w:r w:rsidRPr="00651A3F">
        <w:rPr>
          <w:rFonts w:asciiTheme="minorHAnsi" w:hAnsiTheme="minorHAnsi"/>
        </w:rPr>
        <w:t>i naderwa</w:t>
      </w:r>
      <w:r w:rsidRPr="00651A3F">
        <w:rPr>
          <w:rFonts w:asciiTheme="minorHAnsi" w:eastAsia="TimesNewRoman" w:hAnsiTheme="minorHAnsi"/>
        </w:rPr>
        <w:t>ń</w:t>
      </w:r>
      <w:r w:rsidRPr="00651A3F">
        <w:rPr>
          <w:rFonts w:asciiTheme="minorHAnsi" w:hAnsiTheme="minorHAnsi"/>
        </w:rPr>
        <w:t>. Dopuszczalne s</w:t>
      </w:r>
      <w:r w:rsidRPr="00651A3F">
        <w:rPr>
          <w:rFonts w:asciiTheme="minorHAnsi" w:eastAsia="TimesNewRoman" w:hAnsiTheme="minorHAnsi"/>
        </w:rPr>
        <w:t xml:space="preserve">ą </w:t>
      </w:r>
      <w:r w:rsidRPr="00651A3F">
        <w:rPr>
          <w:rFonts w:asciiTheme="minorHAnsi" w:hAnsiTheme="minorHAnsi"/>
        </w:rPr>
        <w:t>nieznaczne nierówno</w:t>
      </w:r>
      <w:r w:rsidRPr="00651A3F">
        <w:rPr>
          <w:rFonts w:asciiTheme="minorHAnsi" w:eastAsia="TimesNewRoman" w:hAnsiTheme="minorHAnsi"/>
        </w:rPr>
        <w:t>ś</w:t>
      </w:r>
      <w:r w:rsidRPr="00651A3F">
        <w:rPr>
          <w:rFonts w:asciiTheme="minorHAnsi" w:hAnsiTheme="minorHAnsi"/>
        </w:rPr>
        <w:t>ci, pojedyncze rysy wynikaj</w:t>
      </w:r>
      <w:r w:rsidRPr="00651A3F">
        <w:rPr>
          <w:rFonts w:asciiTheme="minorHAnsi" w:eastAsia="TimesNewRoman" w:hAnsiTheme="minorHAnsi"/>
        </w:rPr>
        <w:t>ą</w:t>
      </w:r>
      <w:r w:rsidRPr="00651A3F">
        <w:rPr>
          <w:rFonts w:asciiTheme="minorHAnsi" w:hAnsiTheme="minorHAnsi"/>
        </w:rPr>
        <w:t>ce z procesu wytwarzania, mieszcz</w:t>
      </w:r>
      <w:r w:rsidRPr="00651A3F">
        <w:rPr>
          <w:rFonts w:asciiTheme="minorHAnsi" w:eastAsia="TimesNewRoman" w:hAnsiTheme="minorHAnsi"/>
        </w:rPr>
        <w:t>ą</w:t>
      </w:r>
      <w:r w:rsidRPr="00651A3F">
        <w:rPr>
          <w:rFonts w:asciiTheme="minorHAnsi" w:hAnsiTheme="minorHAnsi"/>
        </w:rPr>
        <w:t>ce si</w:t>
      </w:r>
      <w:r w:rsidRPr="00651A3F">
        <w:rPr>
          <w:rFonts w:asciiTheme="minorHAnsi" w:eastAsia="TimesNewRoman" w:hAnsiTheme="minorHAnsi"/>
        </w:rPr>
        <w:t xml:space="preserve">ę </w:t>
      </w:r>
      <w:r w:rsidRPr="00651A3F">
        <w:rPr>
          <w:rFonts w:asciiTheme="minorHAnsi" w:hAnsiTheme="minorHAnsi"/>
        </w:rPr>
        <w:t>w granicach dopuszczalnych odchyłek wymiarowych.</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Ko</w:t>
      </w:r>
      <w:r w:rsidRPr="00651A3F">
        <w:rPr>
          <w:rFonts w:asciiTheme="minorHAnsi" w:eastAsia="TimesNewRoman" w:hAnsiTheme="minorHAnsi"/>
        </w:rPr>
        <w:t>ń</w:t>
      </w:r>
      <w:r w:rsidRPr="00651A3F">
        <w:rPr>
          <w:rFonts w:asciiTheme="minorHAnsi" w:hAnsiTheme="minorHAnsi"/>
        </w:rPr>
        <w:t>ce rur powinny by</w:t>
      </w:r>
      <w:r w:rsidRPr="00651A3F">
        <w:rPr>
          <w:rFonts w:asciiTheme="minorHAnsi" w:eastAsia="TimesNewRoman" w:hAnsiTheme="minorHAnsi"/>
        </w:rPr>
        <w:t xml:space="preserve">ć </w:t>
      </w:r>
      <w:r w:rsidRPr="00651A3F">
        <w:rPr>
          <w:rFonts w:asciiTheme="minorHAnsi" w:hAnsiTheme="minorHAnsi"/>
        </w:rPr>
        <w:t>obci</w:t>
      </w:r>
      <w:r w:rsidRPr="00651A3F">
        <w:rPr>
          <w:rFonts w:asciiTheme="minorHAnsi" w:eastAsia="TimesNewRoman" w:hAnsiTheme="minorHAnsi"/>
        </w:rPr>
        <w:t>ę</w:t>
      </w:r>
      <w:r w:rsidRPr="00651A3F">
        <w:rPr>
          <w:rFonts w:asciiTheme="minorHAnsi" w:hAnsiTheme="minorHAnsi"/>
        </w:rPr>
        <w:t>te równo i prostopadle do osi rury. Rury powinny by</w:t>
      </w:r>
      <w:r w:rsidRPr="00651A3F">
        <w:rPr>
          <w:rFonts w:asciiTheme="minorHAnsi" w:eastAsia="TimesNewRoman" w:hAnsiTheme="minorHAnsi"/>
        </w:rPr>
        <w:t xml:space="preserve">ć </w:t>
      </w:r>
      <w:r w:rsidRPr="00651A3F">
        <w:rPr>
          <w:rFonts w:asciiTheme="minorHAnsi" w:hAnsiTheme="minorHAnsi"/>
        </w:rPr>
        <w:t>wykonane ze stali w gatunkach dopuszczonych przez normy PN-H-84023-07, PN-H-84018, PN-H-84019, PN-H-84030-02</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lub inne normy.</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w:t>
      </w:r>
    </w:p>
    <w:p w:rsidR="004F5BEB" w:rsidRPr="00651A3F" w:rsidRDefault="004F5BEB" w:rsidP="004F5BEB">
      <w:pPr>
        <w:pStyle w:val="Nagwek4"/>
        <w:rPr>
          <w:rFonts w:asciiTheme="minorHAnsi" w:hAnsiTheme="minorHAnsi"/>
        </w:rPr>
      </w:pPr>
      <w:r w:rsidRPr="00651A3F">
        <w:rPr>
          <w:rFonts w:asciiTheme="minorHAnsi" w:hAnsiTheme="minorHAnsi"/>
        </w:rPr>
        <w:t>2.4. Beton i jego składniki</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Klasa betonu C</w:t>
      </w:r>
      <w:r w:rsidR="00464FC9">
        <w:rPr>
          <w:rFonts w:asciiTheme="minorHAnsi" w:hAnsiTheme="minorHAnsi"/>
        </w:rPr>
        <w:t>12</w:t>
      </w:r>
      <w:r w:rsidRPr="00651A3F">
        <w:rPr>
          <w:rFonts w:asciiTheme="minorHAnsi" w:hAnsiTheme="minorHAnsi"/>
        </w:rPr>
        <w:t>/</w:t>
      </w:r>
      <w:r w:rsidR="00464FC9">
        <w:rPr>
          <w:rFonts w:asciiTheme="minorHAnsi" w:hAnsiTheme="minorHAnsi"/>
        </w:rPr>
        <w:t>15</w:t>
      </w:r>
      <w:r w:rsidRPr="00651A3F">
        <w:rPr>
          <w:rFonts w:asciiTheme="minorHAnsi" w:hAnsiTheme="minorHAnsi"/>
        </w:rPr>
        <w:t>. Beton powinien odpowiada</w:t>
      </w:r>
      <w:r w:rsidRPr="00651A3F">
        <w:rPr>
          <w:rFonts w:asciiTheme="minorHAnsi" w:eastAsia="TimesNewRoman" w:hAnsiTheme="minorHAnsi"/>
        </w:rPr>
        <w:t xml:space="preserve">ć </w:t>
      </w:r>
      <w:r w:rsidR="00464FC9">
        <w:rPr>
          <w:rFonts w:asciiTheme="minorHAnsi" w:hAnsiTheme="minorHAnsi"/>
        </w:rPr>
        <w:t>wymaganiom PN-EN 206-1</w:t>
      </w:r>
      <w:r w:rsidRPr="00651A3F">
        <w:rPr>
          <w:rFonts w:asciiTheme="minorHAnsi" w:hAnsiTheme="minorHAnsi"/>
        </w:rPr>
        <w:t>. Składnikami betonu s</w:t>
      </w:r>
      <w:r w:rsidRPr="00651A3F">
        <w:rPr>
          <w:rFonts w:asciiTheme="minorHAnsi" w:eastAsia="TimesNewRoman" w:hAnsiTheme="minorHAnsi"/>
        </w:rPr>
        <w:t>ą</w:t>
      </w:r>
      <w:r w:rsidRPr="00651A3F">
        <w:rPr>
          <w:rFonts w:asciiTheme="minorHAnsi" w:hAnsiTheme="minorHAnsi"/>
        </w:rPr>
        <w:t>: cement, kruszywo, woda i domieszki.</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Cement stosowany do betonu powinien by</w:t>
      </w:r>
      <w:r w:rsidRPr="00651A3F">
        <w:rPr>
          <w:rFonts w:asciiTheme="minorHAnsi" w:eastAsia="TimesNewRoman" w:hAnsiTheme="minorHAnsi"/>
        </w:rPr>
        <w:t xml:space="preserve">ć </w:t>
      </w:r>
      <w:r w:rsidRPr="00651A3F">
        <w:rPr>
          <w:rFonts w:asciiTheme="minorHAnsi" w:hAnsiTheme="minorHAnsi"/>
        </w:rPr>
        <w:t>cementem portlandzkim klasy</w:t>
      </w:r>
      <w:r w:rsidR="00CC6445">
        <w:rPr>
          <w:rFonts w:asciiTheme="minorHAnsi" w:hAnsiTheme="minorHAnsi"/>
        </w:rPr>
        <w:t xml:space="preserve"> min</w:t>
      </w:r>
      <w:r w:rsidRPr="00651A3F">
        <w:rPr>
          <w:rFonts w:asciiTheme="minorHAnsi" w:hAnsiTheme="minorHAnsi"/>
        </w:rPr>
        <w:t xml:space="preserve"> 32,5 i spełnia</w:t>
      </w:r>
      <w:r w:rsidRPr="00651A3F">
        <w:rPr>
          <w:rFonts w:asciiTheme="minorHAnsi" w:eastAsia="TimesNewRoman" w:hAnsiTheme="minorHAnsi"/>
        </w:rPr>
        <w:t xml:space="preserve">ć </w:t>
      </w:r>
      <w:r w:rsidRPr="00651A3F">
        <w:rPr>
          <w:rFonts w:asciiTheme="minorHAnsi" w:hAnsiTheme="minorHAnsi"/>
        </w:rPr>
        <w:t>wymagania PN-EN 197-1. Transport i przechowywanie cementu powinny by</w:t>
      </w:r>
      <w:r w:rsidRPr="00651A3F">
        <w:rPr>
          <w:rFonts w:asciiTheme="minorHAnsi" w:eastAsia="TimesNewRoman" w:hAnsiTheme="minorHAnsi"/>
        </w:rPr>
        <w:t xml:space="preserve">ć </w:t>
      </w:r>
      <w:r w:rsidRPr="00651A3F">
        <w:rPr>
          <w:rFonts w:asciiTheme="minorHAnsi" w:hAnsiTheme="minorHAnsi"/>
        </w:rPr>
        <w:t>zgodne z ustaleniami podanymi w BN-88/6731-08.</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Kruszywo do betonu powinno spełnia</w:t>
      </w:r>
      <w:r w:rsidRPr="00651A3F">
        <w:rPr>
          <w:rFonts w:asciiTheme="minorHAnsi" w:eastAsia="TimesNewRoman" w:hAnsiTheme="minorHAnsi"/>
        </w:rPr>
        <w:t xml:space="preserve">ć </w:t>
      </w:r>
      <w:r w:rsidRPr="00651A3F">
        <w:rPr>
          <w:rFonts w:asciiTheme="minorHAnsi" w:hAnsiTheme="minorHAnsi"/>
        </w:rPr>
        <w:t xml:space="preserve">wymagania PN-EN 12620: </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 grube GC90/15, f1,5, F2, SI20 i LA25</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 drobne GF85 i f3.</w:t>
      </w:r>
    </w:p>
    <w:p w:rsidR="004F5BEB" w:rsidRPr="00651A3F" w:rsidRDefault="004F5BEB" w:rsidP="004F5BEB">
      <w:pPr>
        <w:overflowPunct/>
        <w:jc w:val="left"/>
        <w:textAlignment w:val="auto"/>
        <w:rPr>
          <w:rFonts w:asciiTheme="minorHAnsi" w:hAnsiTheme="minorHAnsi"/>
        </w:rPr>
      </w:pPr>
      <w:r w:rsidRPr="00651A3F">
        <w:rPr>
          <w:rFonts w:asciiTheme="minorHAnsi" w:hAnsiTheme="minorHAnsi"/>
        </w:rPr>
        <w:t>Woda powinna by</w:t>
      </w:r>
      <w:r w:rsidRPr="00651A3F">
        <w:rPr>
          <w:rFonts w:asciiTheme="minorHAnsi" w:eastAsia="TimesNewRoman" w:hAnsiTheme="minorHAnsi"/>
        </w:rPr>
        <w:t xml:space="preserve">ć </w:t>
      </w:r>
      <w:r w:rsidRPr="00651A3F">
        <w:rPr>
          <w:rFonts w:asciiTheme="minorHAnsi" w:hAnsiTheme="minorHAnsi"/>
        </w:rPr>
        <w:t>„odmiany 1” i spełnia</w:t>
      </w:r>
      <w:r w:rsidRPr="00651A3F">
        <w:rPr>
          <w:rFonts w:asciiTheme="minorHAnsi" w:eastAsia="TimesNewRoman" w:hAnsiTheme="minorHAnsi"/>
        </w:rPr>
        <w:t xml:space="preserve">ć </w:t>
      </w:r>
      <w:r w:rsidRPr="00651A3F">
        <w:rPr>
          <w:rFonts w:asciiTheme="minorHAnsi" w:hAnsiTheme="minorHAnsi"/>
        </w:rPr>
        <w:t>wymagania PN-EN 1008. Bez bada</w:t>
      </w:r>
      <w:r w:rsidRPr="00651A3F">
        <w:rPr>
          <w:rFonts w:asciiTheme="minorHAnsi" w:eastAsia="TimesNewRoman" w:hAnsiTheme="minorHAnsi"/>
        </w:rPr>
        <w:t xml:space="preserve">ń </w:t>
      </w:r>
      <w:r w:rsidRPr="00651A3F">
        <w:rPr>
          <w:rFonts w:asciiTheme="minorHAnsi" w:hAnsiTheme="minorHAnsi"/>
        </w:rPr>
        <w:t>laboratoryjnych mo</w:t>
      </w:r>
      <w:r w:rsidR="00CC6445">
        <w:rPr>
          <w:rFonts w:asciiTheme="minorHAnsi" w:eastAsia="TimesNewRoman" w:hAnsiTheme="minorHAnsi"/>
        </w:rPr>
        <w:t>ż</w:t>
      </w:r>
      <w:r w:rsidRPr="00651A3F">
        <w:rPr>
          <w:rFonts w:asciiTheme="minorHAnsi" w:hAnsiTheme="minorHAnsi"/>
        </w:rPr>
        <w:t>na stosowa</w:t>
      </w:r>
      <w:r w:rsidRPr="00651A3F">
        <w:rPr>
          <w:rFonts w:asciiTheme="minorHAnsi" w:eastAsia="TimesNewRoman" w:hAnsiTheme="minorHAnsi"/>
        </w:rPr>
        <w:t xml:space="preserve">ć </w:t>
      </w:r>
      <w:r w:rsidRPr="00651A3F">
        <w:rPr>
          <w:rFonts w:asciiTheme="minorHAnsi" w:hAnsiTheme="minorHAnsi"/>
        </w:rPr>
        <w:t>wod</w:t>
      </w:r>
      <w:r w:rsidRPr="00651A3F">
        <w:rPr>
          <w:rFonts w:asciiTheme="minorHAnsi" w:eastAsia="TimesNewRoman" w:hAnsiTheme="minorHAnsi"/>
        </w:rPr>
        <w:t xml:space="preserve">ę </w:t>
      </w:r>
      <w:r w:rsidRPr="00651A3F">
        <w:rPr>
          <w:rFonts w:asciiTheme="minorHAnsi" w:hAnsiTheme="minorHAnsi"/>
        </w:rPr>
        <w:t>pitn</w:t>
      </w:r>
      <w:r w:rsidRPr="00651A3F">
        <w:rPr>
          <w:rFonts w:asciiTheme="minorHAnsi" w:eastAsia="TimesNewRoman" w:hAnsiTheme="minorHAnsi"/>
        </w:rPr>
        <w:t xml:space="preserve">ą </w:t>
      </w:r>
      <w:r w:rsidRPr="00651A3F">
        <w:rPr>
          <w:rFonts w:asciiTheme="minorHAnsi" w:hAnsiTheme="minorHAnsi"/>
        </w:rPr>
        <w:t>wodoci</w:t>
      </w:r>
      <w:r w:rsidRPr="00651A3F">
        <w:rPr>
          <w:rFonts w:asciiTheme="minorHAnsi" w:eastAsia="TimesNewRoman" w:hAnsiTheme="minorHAnsi"/>
        </w:rPr>
        <w:t>ą</w:t>
      </w:r>
      <w:r w:rsidRPr="00651A3F">
        <w:rPr>
          <w:rFonts w:asciiTheme="minorHAnsi" w:hAnsiTheme="minorHAnsi"/>
        </w:rPr>
        <w:t>gow</w:t>
      </w:r>
      <w:r w:rsidRPr="00651A3F">
        <w:rPr>
          <w:rFonts w:asciiTheme="minorHAnsi" w:eastAsia="TimesNewRoman" w:hAnsiTheme="minorHAnsi"/>
        </w:rPr>
        <w:t>ą</w:t>
      </w:r>
      <w:r w:rsidRPr="00651A3F">
        <w:rPr>
          <w:rFonts w:asciiTheme="minorHAnsi" w:hAnsiTheme="minorHAnsi"/>
        </w:rPr>
        <w:t>.</w:t>
      </w:r>
    </w:p>
    <w:p w:rsidR="004F5BEB" w:rsidRPr="00651A3F" w:rsidRDefault="004F5BEB" w:rsidP="004F5BEB">
      <w:pPr>
        <w:overflowPunct/>
        <w:jc w:val="left"/>
        <w:textAlignment w:val="auto"/>
        <w:rPr>
          <w:rFonts w:asciiTheme="minorHAnsi" w:hAnsiTheme="minorHAnsi"/>
        </w:rPr>
      </w:pPr>
    </w:p>
    <w:p w:rsidR="004F5BEB" w:rsidRPr="00651A3F" w:rsidRDefault="004F5BEB" w:rsidP="004F5BEB">
      <w:pPr>
        <w:pStyle w:val="Nagwek3"/>
        <w:rPr>
          <w:rFonts w:asciiTheme="minorHAnsi" w:hAnsiTheme="minorHAnsi"/>
        </w:rPr>
      </w:pPr>
      <w:bookmarkStart w:id="1151" w:name="_Toc425562415"/>
      <w:r w:rsidRPr="00651A3F">
        <w:rPr>
          <w:rFonts w:asciiTheme="minorHAnsi" w:hAnsiTheme="minorHAnsi"/>
        </w:rPr>
        <w:t>3. SPRZĘT</w:t>
      </w:r>
      <w:bookmarkEnd w:id="1151"/>
    </w:p>
    <w:p w:rsidR="004F5BEB" w:rsidRPr="00651A3F" w:rsidRDefault="004F5BEB" w:rsidP="004F5BEB">
      <w:pPr>
        <w:pStyle w:val="Nagwek4"/>
        <w:rPr>
          <w:rFonts w:asciiTheme="minorHAnsi" w:hAnsiTheme="minorHAnsi"/>
        </w:rPr>
      </w:pPr>
      <w:r w:rsidRPr="00651A3F">
        <w:rPr>
          <w:rFonts w:asciiTheme="minorHAnsi" w:hAnsiTheme="minorHAnsi"/>
        </w:rPr>
        <w:t>3.1. Ogólne wymagania dotyczące sprzętu</w:t>
      </w:r>
    </w:p>
    <w:p w:rsidR="004F5BEB" w:rsidRPr="00651A3F" w:rsidRDefault="004F5BEB" w:rsidP="004F5BEB">
      <w:pPr>
        <w:rPr>
          <w:rFonts w:asciiTheme="minorHAnsi" w:hAnsiTheme="minorHAnsi"/>
        </w:rPr>
      </w:pPr>
      <w:r w:rsidRPr="00651A3F">
        <w:rPr>
          <w:rFonts w:asciiTheme="minorHAnsi" w:hAnsiTheme="minorHAnsi"/>
        </w:rPr>
        <w:t>Ogólne wymagania dotyczące sprzętu podano w STWiORB D-M-00.00.00 „Wymagania ogólne” pkt 3.</w:t>
      </w:r>
    </w:p>
    <w:p w:rsidR="004F5BEB" w:rsidRPr="00651A3F" w:rsidRDefault="004F5BEB" w:rsidP="004F5BEB">
      <w:pPr>
        <w:pStyle w:val="Nagwek4"/>
        <w:rPr>
          <w:rFonts w:asciiTheme="minorHAnsi" w:hAnsiTheme="minorHAnsi"/>
        </w:rPr>
      </w:pPr>
      <w:r w:rsidRPr="00651A3F">
        <w:rPr>
          <w:rFonts w:asciiTheme="minorHAnsi" w:hAnsiTheme="minorHAnsi"/>
        </w:rPr>
        <w:t>3.2. Sprzęt do wykonania urządzeń zabezpieczających ruch pieszych</w:t>
      </w:r>
    </w:p>
    <w:p w:rsidR="004F5BEB" w:rsidRPr="00651A3F" w:rsidRDefault="004F5BEB" w:rsidP="004F5BEB">
      <w:pPr>
        <w:rPr>
          <w:rFonts w:asciiTheme="minorHAnsi" w:hAnsiTheme="minorHAnsi"/>
        </w:rPr>
      </w:pPr>
      <w:r w:rsidRPr="00651A3F">
        <w:rPr>
          <w:rFonts w:asciiTheme="minorHAnsi" w:hAnsiTheme="minorHAnsi"/>
        </w:rPr>
        <w:t xml:space="preserve">  Wykonawca przystępujący do wykonania urządzeń zabezpieczających ruch pieszych powinien wykazać się możliwością korzystania z następującego sprzętu:</w:t>
      </w:r>
    </w:p>
    <w:p w:rsidR="004F5BEB" w:rsidRPr="00651A3F" w:rsidRDefault="004F5BEB" w:rsidP="004F5BEB">
      <w:pPr>
        <w:rPr>
          <w:rFonts w:asciiTheme="minorHAnsi" w:hAnsiTheme="minorHAnsi"/>
        </w:rPr>
      </w:pPr>
      <w:r w:rsidRPr="00651A3F">
        <w:rPr>
          <w:rFonts w:asciiTheme="minorHAnsi" w:hAnsiTheme="minorHAnsi"/>
        </w:rPr>
        <w:t>środków transportu wyrobów,</w:t>
      </w:r>
    </w:p>
    <w:p w:rsidR="004F5BEB" w:rsidRPr="00651A3F" w:rsidRDefault="004F5BEB" w:rsidP="004F5BEB">
      <w:pPr>
        <w:rPr>
          <w:rFonts w:asciiTheme="minorHAnsi" w:hAnsiTheme="minorHAnsi"/>
        </w:rPr>
      </w:pPr>
      <w:r w:rsidRPr="00651A3F">
        <w:rPr>
          <w:rFonts w:asciiTheme="minorHAnsi" w:hAnsiTheme="minorHAnsi"/>
        </w:rPr>
        <w:t>żurawi samochodowych o udźwigu do 4 t,</w:t>
      </w:r>
    </w:p>
    <w:p w:rsidR="004F5BEB" w:rsidRPr="00651A3F" w:rsidRDefault="004F5BEB" w:rsidP="004F5BEB">
      <w:pPr>
        <w:rPr>
          <w:rFonts w:asciiTheme="minorHAnsi" w:hAnsiTheme="minorHAnsi"/>
        </w:rPr>
      </w:pPr>
      <w:r w:rsidRPr="00651A3F">
        <w:rPr>
          <w:rFonts w:asciiTheme="minorHAnsi" w:hAnsiTheme="minorHAnsi"/>
        </w:rPr>
        <w:t xml:space="preserve">ewentualnych wiertnic do wykonania dołów pod słupki w gruncie zwięzłym </w:t>
      </w:r>
    </w:p>
    <w:p w:rsidR="004F5BEB" w:rsidRPr="00651A3F" w:rsidRDefault="004F5BEB" w:rsidP="004F5BEB">
      <w:pPr>
        <w:rPr>
          <w:rFonts w:asciiTheme="minorHAnsi" w:hAnsiTheme="minorHAnsi"/>
        </w:rPr>
      </w:pPr>
      <w:r w:rsidRPr="00651A3F">
        <w:rPr>
          <w:rFonts w:asciiTheme="minorHAnsi" w:hAnsiTheme="minorHAnsi"/>
        </w:rPr>
        <w:t>ewentualnych młotów (bab), wibromłotów do wbijania lub wwibrowania słupków w grunt,</w:t>
      </w:r>
    </w:p>
    <w:p w:rsidR="004F5BEB" w:rsidRPr="00651A3F" w:rsidRDefault="004F5BEB" w:rsidP="004F5BEB">
      <w:pPr>
        <w:rPr>
          <w:rFonts w:asciiTheme="minorHAnsi" w:hAnsiTheme="minorHAnsi"/>
        </w:rPr>
      </w:pPr>
      <w:r w:rsidRPr="00651A3F">
        <w:rPr>
          <w:rFonts w:asciiTheme="minorHAnsi" w:hAnsiTheme="minorHAnsi"/>
        </w:rPr>
        <w:t>przewoźnych zbiorników do wody,</w:t>
      </w:r>
    </w:p>
    <w:p w:rsidR="004F5BEB" w:rsidRPr="00651A3F" w:rsidRDefault="004F5BEB" w:rsidP="004F5BEB">
      <w:pPr>
        <w:rPr>
          <w:rFonts w:asciiTheme="minorHAnsi" w:hAnsiTheme="minorHAnsi"/>
        </w:rPr>
      </w:pPr>
      <w:r w:rsidRPr="00651A3F">
        <w:rPr>
          <w:rFonts w:asciiTheme="minorHAnsi" w:hAnsiTheme="minorHAnsi"/>
        </w:rPr>
        <w:t>betoniarek  przewoźnych do wykonywania fundamentów betonowych „na mokro”,</w:t>
      </w:r>
    </w:p>
    <w:p w:rsidR="004F5BEB" w:rsidRPr="00651A3F" w:rsidRDefault="004F5BEB" w:rsidP="004F5BEB">
      <w:pPr>
        <w:rPr>
          <w:rFonts w:asciiTheme="minorHAnsi" w:hAnsiTheme="minorHAnsi"/>
        </w:rPr>
      </w:pPr>
      <w:r w:rsidRPr="00651A3F">
        <w:rPr>
          <w:rFonts w:asciiTheme="minorHAnsi" w:hAnsiTheme="minorHAnsi"/>
        </w:rPr>
        <w:t>koparek kołowych (np. 0,15 m</w:t>
      </w:r>
      <w:r w:rsidRPr="00651A3F">
        <w:rPr>
          <w:rFonts w:asciiTheme="minorHAnsi" w:hAnsiTheme="minorHAnsi"/>
          <w:vertAlign w:val="superscript"/>
        </w:rPr>
        <w:t>3</w:t>
      </w:r>
      <w:r w:rsidRPr="00651A3F">
        <w:rPr>
          <w:rFonts w:asciiTheme="minorHAnsi" w:hAnsiTheme="minorHAnsi"/>
        </w:rPr>
        <w:t>) lub koparek gąsiennicowych (np. 0,25 m</w:t>
      </w:r>
      <w:r w:rsidRPr="00651A3F">
        <w:rPr>
          <w:rFonts w:asciiTheme="minorHAnsi" w:hAnsiTheme="minorHAnsi"/>
          <w:vertAlign w:val="superscript"/>
        </w:rPr>
        <w:t>3</w:t>
      </w:r>
      <w:r w:rsidRPr="00651A3F">
        <w:rPr>
          <w:rFonts w:asciiTheme="minorHAnsi" w:hAnsiTheme="minorHAnsi"/>
        </w:rPr>
        <w:t>),</w:t>
      </w:r>
    </w:p>
    <w:p w:rsidR="004F5BEB" w:rsidRPr="00651A3F" w:rsidRDefault="004F5BEB" w:rsidP="004F5BEB">
      <w:pPr>
        <w:rPr>
          <w:rFonts w:asciiTheme="minorHAnsi" w:hAnsiTheme="minorHAnsi"/>
        </w:rPr>
      </w:pPr>
      <w:r w:rsidRPr="00651A3F">
        <w:rPr>
          <w:rFonts w:asciiTheme="minorHAnsi" w:hAnsiTheme="minorHAnsi"/>
        </w:rPr>
        <w:t>sprzętu spawalniczego itp.</w:t>
      </w:r>
    </w:p>
    <w:p w:rsidR="004F5BEB" w:rsidRPr="00651A3F" w:rsidRDefault="004F5BEB" w:rsidP="004F5BEB">
      <w:pPr>
        <w:pStyle w:val="Nagwek3"/>
        <w:rPr>
          <w:rFonts w:asciiTheme="minorHAnsi" w:hAnsiTheme="minorHAnsi"/>
        </w:rPr>
      </w:pPr>
      <w:bookmarkStart w:id="1152" w:name="_Toc425562416"/>
      <w:r w:rsidRPr="00651A3F">
        <w:rPr>
          <w:rFonts w:asciiTheme="minorHAnsi" w:hAnsiTheme="minorHAnsi"/>
        </w:rPr>
        <w:t>4. TRANSPORT</w:t>
      </w:r>
      <w:bookmarkEnd w:id="1152"/>
    </w:p>
    <w:p w:rsidR="004F5BEB" w:rsidRPr="00651A3F" w:rsidRDefault="004F5BEB" w:rsidP="004F5BEB">
      <w:pPr>
        <w:pStyle w:val="Nagwek4"/>
        <w:rPr>
          <w:rFonts w:asciiTheme="minorHAnsi" w:hAnsiTheme="minorHAnsi"/>
        </w:rPr>
      </w:pPr>
      <w:r w:rsidRPr="00651A3F">
        <w:rPr>
          <w:rFonts w:asciiTheme="minorHAnsi" w:hAnsiTheme="minorHAnsi"/>
        </w:rPr>
        <w:t>4.1. Ogólne wymagania dotyczące transportu</w:t>
      </w:r>
    </w:p>
    <w:p w:rsidR="004F5BEB" w:rsidRPr="00651A3F" w:rsidRDefault="004F5BEB" w:rsidP="004F5BEB">
      <w:pPr>
        <w:rPr>
          <w:rFonts w:asciiTheme="minorHAnsi" w:hAnsiTheme="minorHAnsi"/>
        </w:rPr>
      </w:pPr>
      <w:r w:rsidRPr="00651A3F">
        <w:rPr>
          <w:rFonts w:asciiTheme="minorHAnsi" w:hAnsiTheme="minorHAnsi"/>
        </w:rPr>
        <w:t>Ogólne wymagania dotyczące transportu podano w STWiORB D-M-00.00.00 „Wymagania ogólne” pkt 4.</w:t>
      </w:r>
    </w:p>
    <w:p w:rsidR="004F5BEB" w:rsidRPr="00651A3F" w:rsidRDefault="004F5BEB" w:rsidP="004F5BEB">
      <w:pPr>
        <w:pStyle w:val="Nagwek4"/>
        <w:rPr>
          <w:rFonts w:asciiTheme="minorHAnsi" w:hAnsiTheme="minorHAnsi"/>
        </w:rPr>
      </w:pPr>
      <w:r w:rsidRPr="00651A3F">
        <w:rPr>
          <w:rFonts w:asciiTheme="minorHAnsi" w:hAnsiTheme="minorHAnsi"/>
        </w:rPr>
        <w:t xml:space="preserve">4.2. Transport wyrobów </w:t>
      </w:r>
    </w:p>
    <w:p w:rsidR="004F5BEB" w:rsidRPr="00651A3F" w:rsidRDefault="004F5BEB" w:rsidP="004F5BEB">
      <w:pPr>
        <w:rPr>
          <w:rFonts w:asciiTheme="minorHAnsi" w:hAnsiTheme="minorHAnsi"/>
        </w:rPr>
      </w:pPr>
      <w:r w:rsidRPr="00651A3F">
        <w:rPr>
          <w:rFonts w:asciiTheme="minorHAnsi" w:hAnsiTheme="minorHAnsi"/>
        </w:rPr>
        <w:t>Rury stalowe przewozić można dowolnymi środkami transportu. W przypadku załadowania na środek transportu więcej niż jednej partii rur należy je zabezpieczyć przed pomieszaniem.</w:t>
      </w:r>
    </w:p>
    <w:p w:rsidR="004F5BEB" w:rsidRPr="00651A3F" w:rsidRDefault="004F5BEB" w:rsidP="004F5BEB">
      <w:pPr>
        <w:rPr>
          <w:rFonts w:asciiTheme="minorHAnsi" w:hAnsiTheme="minorHAnsi"/>
        </w:rPr>
      </w:pPr>
      <w:r w:rsidRPr="00651A3F">
        <w:rPr>
          <w:rFonts w:asciiTheme="minorHAnsi" w:hAnsiTheme="minorHAnsi"/>
        </w:rPr>
        <w:lastRenderedPageBreak/>
        <w:t>Kształtowniki można przewozić dowolnym środkiem transportu luzem lub w wiązkach.  W przypadku ładowania na środek transportu więcej niż jednej partii wyrobów należy je zabezpieczyć przed pomieszaniem. Przy transporcie przedmiotów metalizowanych zalecana jest ostrożność ze względu na podatność powłok na uszkodzenia mechaniczne, występujące przy uderzeniach.</w:t>
      </w:r>
    </w:p>
    <w:p w:rsidR="004F5BEB" w:rsidRPr="00651A3F" w:rsidRDefault="004F5BEB" w:rsidP="004F5BEB">
      <w:pPr>
        <w:rPr>
          <w:rFonts w:asciiTheme="minorHAnsi" w:hAnsiTheme="minorHAnsi"/>
        </w:rPr>
      </w:pPr>
      <w:r w:rsidRPr="00651A3F">
        <w:rPr>
          <w:rFonts w:asciiTheme="minorHAnsi" w:hAnsiTheme="minorHAnsi"/>
        </w:rPr>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w:t>
      </w:r>
    </w:p>
    <w:p w:rsidR="004F5BEB" w:rsidRPr="00651A3F" w:rsidRDefault="004F5BEB" w:rsidP="004F5BEB">
      <w:pPr>
        <w:rPr>
          <w:rFonts w:asciiTheme="minorHAnsi" w:hAnsiTheme="minorHAnsi"/>
        </w:rPr>
      </w:pPr>
      <w:r w:rsidRPr="00651A3F">
        <w:rPr>
          <w:rFonts w:asciiTheme="minorHAnsi" w:hAnsiTheme="minorHAnsi"/>
        </w:rPr>
        <w:t>Druty i pręty spawalnicze należy przewozić w warunkach zabezpieczających przed korozją, zanieczyszczeniem i uszkodzeniem.</w:t>
      </w:r>
    </w:p>
    <w:p w:rsidR="004F5BEB" w:rsidRPr="00651A3F" w:rsidRDefault="004F5BEB" w:rsidP="004F5BEB">
      <w:pPr>
        <w:rPr>
          <w:rFonts w:asciiTheme="minorHAnsi" w:hAnsiTheme="minorHAnsi"/>
        </w:rPr>
      </w:pPr>
      <w:r w:rsidRPr="00651A3F">
        <w:rPr>
          <w:rFonts w:asciiTheme="minorHAnsi" w:hAnsiTheme="minorHAnsi"/>
        </w:rPr>
        <w:t>Cement należy przewozić zgodnie z postanowieniami BN-88/6731-08, zaś mieszankę betonową wg PN-B-06251:1963.</w:t>
      </w:r>
    </w:p>
    <w:p w:rsidR="004F5BEB" w:rsidRPr="00651A3F" w:rsidRDefault="004F5BEB" w:rsidP="004F5BEB">
      <w:pPr>
        <w:pStyle w:val="Nagwek3"/>
        <w:rPr>
          <w:rFonts w:asciiTheme="minorHAnsi" w:hAnsiTheme="minorHAnsi"/>
        </w:rPr>
      </w:pPr>
      <w:bookmarkStart w:id="1153" w:name="_Toc425562417"/>
      <w:r w:rsidRPr="00651A3F">
        <w:rPr>
          <w:rFonts w:asciiTheme="minorHAnsi" w:hAnsiTheme="minorHAnsi"/>
        </w:rPr>
        <w:t>5. WYKONANIE ROBÓT</w:t>
      </w:r>
      <w:bookmarkEnd w:id="1153"/>
    </w:p>
    <w:p w:rsidR="004F5BEB" w:rsidRPr="00651A3F" w:rsidRDefault="004F5BEB" w:rsidP="004F5BEB">
      <w:pPr>
        <w:pStyle w:val="Nagwek4"/>
        <w:rPr>
          <w:rFonts w:asciiTheme="minorHAnsi" w:hAnsiTheme="minorHAnsi"/>
        </w:rPr>
      </w:pPr>
      <w:r w:rsidRPr="00651A3F">
        <w:rPr>
          <w:rFonts w:asciiTheme="minorHAnsi" w:hAnsiTheme="minorHAnsi"/>
        </w:rPr>
        <w:t>5.1. Ogólne zasady wykonania robót</w:t>
      </w:r>
    </w:p>
    <w:p w:rsidR="004F5BEB" w:rsidRPr="00651A3F" w:rsidRDefault="004F5BEB" w:rsidP="004F5BEB">
      <w:pPr>
        <w:rPr>
          <w:rFonts w:asciiTheme="minorHAnsi" w:hAnsiTheme="minorHAnsi"/>
        </w:rPr>
      </w:pPr>
      <w:r w:rsidRPr="00651A3F">
        <w:rPr>
          <w:rFonts w:asciiTheme="minorHAnsi" w:hAnsiTheme="minorHAnsi"/>
        </w:rPr>
        <w:t>Ogólne zasady wykonania robót podano w STWiORB D-M-00.00.00 „Wymagania ogólne” pkt 5.</w:t>
      </w:r>
    </w:p>
    <w:p w:rsidR="004F5BEB" w:rsidRPr="00651A3F" w:rsidRDefault="004F5BEB" w:rsidP="004F5BEB">
      <w:pPr>
        <w:pStyle w:val="Nagwek4"/>
        <w:rPr>
          <w:rFonts w:asciiTheme="minorHAnsi" w:hAnsiTheme="minorHAnsi"/>
        </w:rPr>
      </w:pPr>
      <w:r w:rsidRPr="00651A3F">
        <w:rPr>
          <w:rFonts w:asciiTheme="minorHAnsi" w:hAnsiTheme="minorHAnsi"/>
        </w:rPr>
        <w:t>5.2. Zasady wykonania urządzeń zabezpieczających ruch pieszych</w:t>
      </w:r>
    </w:p>
    <w:p w:rsidR="004F5BEB" w:rsidRPr="00651A3F" w:rsidRDefault="004F5BEB" w:rsidP="004F5BEB">
      <w:pPr>
        <w:rPr>
          <w:rFonts w:asciiTheme="minorHAnsi" w:hAnsiTheme="minorHAnsi"/>
        </w:rPr>
      </w:pPr>
      <w:r w:rsidRPr="00651A3F">
        <w:rPr>
          <w:rFonts w:asciiTheme="minorHAnsi" w:hAnsiTheme="minorHAnsi"/>
        </w:rPr>
        <w:t>W zależności od wielkości robót Wykonawca przedstawi do akceptacji Inżyniera zakres robót wykonywanych bezpośrednio na placu budowy oraz robót przygotowawczych na zapleczu.</w:t>
      </w:r>
    </w:p>
    <w:p w:rsidR="004F5BEB" w:rsidRPr="00651A3F" w:rsidRDefault="004F5BEB" w:rsidP="004F5BEB">
      <w:pPr>
        <w:rPr>
          <w:rFonts w:asciiTheme="minorHAnsi" w:hAnsiTheme="minorHAnsi"/>
        </w:rPr>
      </w:pPr>
      <w:r w:rsidRPr="00651A3F">
        <w:rPr>
          <w:rFonts w:asciiTheme="minorHAnsi" w:hAnsiTheme="minorHAnsi"/>
        </w:rPr>
        <w:t>Przed wykonywaniem robót należy wytyczyć lokalizację barier, płotków  i innych urządzeń liniowych zabezpieczających ruch pieszych na podstawie dokumentacji projektowej lub zaleceń Inżyniera</w:t>
      </w:r>
    </w:p>
    <w:p w:rsidR="004F5BEB" w:rsidRPr="00651A3F" w:rsidRDefault="004F5BEB" w:rsidP="004F5BEB">
      <w:pPr>
        <w:rPr>
          <w:rFonts w:asciiTheme="minorHAnsi" w:hAnsiTheme="minorHAnsi"/>
        </w:rPr>
      </w:pPr>
      <w:r w:rsidRPr="00651A3F">
        <w:rPr>
          <w:rFonts w:asciiTheme="minorHAnsi" w:hAnsiTheme="minorHAnsi"/>
        </w:rPr>
        <w:t>Do podstawowych czynności objętych niniejszą STWiORB przy wykonywaniu ww. robót należą:</w:t>
      </w:r>
    </w:p>
    <w:p w:rsidR="004F5BEB" w:rsidRPr="00651A3F" w:rsidRDefault="004F5BEB" w:rsidP="004F5BEB">
      <w:pPr>
        <w:rPr>
          <w:rFonts w:asciiTheme="minorHAnsi" w:hAnsiTheme="minorHAnsi"/>
        </w:rPr>
      </w:pPr>
      <w:r w:rsidRPr="00651A3F">
        <w:rPr>
          <w:rFonts w:asciiTheme="minorHAnsi" w:hAnsiTheme="minorHAnsi"/>
        </w:rPr>
        <w:t>wykonanie dołów pod słupki,</w:t>
      </w:r>
    </w:p>
    <w:p w:rsidR="004F5BEB" w:rsidRPr="00651A3F" w:rsidRDefault="004F5BEB" w:rsidP="004F5BEB">
      <w:pPr>
        <w:rPr>
          <w:rFonts w:asciiTheme="minorHAnsi" w:hAnsiTheme="minorHAnsi"/>
        </w:rPr>
      </w:pPr>
      <w:r w:rsidRPr="00651A3F">
        <w:rPr>
          <w:rFonts w:asciiTheme="minorHAnsi" w:hAnsiTheme="minorHAnsi"/>
        </w:rPr>
        <w:t>wykonanie fundamentów betonowych pod słupki,</w:t>
      </w:r>
    </w:p>
    <w:p w:rsidR="004F5BEB" w:rsidRPr="00651A3F" w:rsidRDefault="004F5BEB" w:rsidP="004F5BEB">
      <w:pPr>
        <w:rPr>
          <w:rFonts w:asciiTheme="minorHAnsi" w:hAnsiTheme="minorHAnsi"/>
        </w:rPr>
      </w:pPr>
      <w:r w:rsidRPr="00651A3F">
        <w:rPr>
          <w:rFonts w:asciiTheme="minorHAnsi" w:hAnsiTheme="minorHAnsi"/>
        </w:rPr>
        <w:t>ustawienie słupków,</w:t>
      </w:r>
    </w:p>
    <w:p w:rsidR="004F5BEB" w:rsidRPr="00651A3F" w:rsidRDefault="004F5BEB" w:rsidP="004F5BEB">
      <w:pPr>
        <w:rPr>
          <w:rFonts w:asciiTheme="minorHAnsi" w:hAnsiTheme="minorHAnsi"/>
        </w:rPr>
      </w:pPr>
      <w:r w:rsidRPr="00651A3F">
        <w:rPr>
          <w:rFonts w:asciiTheme="minorHAnsi" w:hAnsiTheme="minorHAnsi"/>
        </w:rPr>
        <w:t>zamontowanie elementów metalowych,</w:t>
      </w:r>
    </w:p>
    <w:p w:rsidR="004F5BEB" w:rsidRPr="00651A3F" w:rsidRDefault="004F5BEB" w:rsidP="004F5BEB">
      <w:pPr>
        <w:pStyle w:val="Nagwek4"/>
        <w:rPr>
          <w:rFonts w:asciiTheme="minorHAnsi" w:hAnsiTheme="minorHAnsi"/>
        </w:rPr>
      </w:pPr>
      <w:r w:rsidRPr="00651A3F">
        <w:rPr>
          <w:rFonts w:asciiTheme="minorHAnsi" w:hAnsiTheme="minorHAnsi"/>
        </w:rPr>
        <w:t>5.3. Wykonanie dołów pod słupki</w:t>
      </w:r>
    </w:p>
    <w:p w:rsidR="004F5BEB" w:rsidRPr="00651A3F" w:rsidRDefault="004F5BEB" w:rsidP="004F5BEB">
      <w:pPr>
        <w:rPr>
          <w:rFonts w:asciiTheme="minorHAnsi" w:hAnsiTheme="minorHAnsi"/>
        </w:rPr>
      </w:pPr>
      <w:r w:rsidRPr="00651A3F">
        <w:rPr>
          <w:rFonts w:asciiTheme="minorHAnsi" w:hAnsiTheme="minorHAnsi"/>
        </w:rPr>
        <w:t>Jeśli dokumentacja projektowa nie podaje  inaczej, to doły pod słupki powinny mieć wymiary w planie co najmniej o 20 cm większe od wymiarów słupka, a głębokość od  0,8 do 1,2 m.</w:t>
      </w:r>
    </w:p>
    <w:p w:rsidR="004F5BEB" w:rsidRPr="00651A3F" w:rsidRDefault="004F5BEB" w:rsidP="004F5BEB">
      <w:pPr>
        <w:pStyle w:val="Nagwek4"/>
        <w:rPr>
          <w:rFonts w:asciiTheme="minorHAnsi" w:hAnsiTheme="minorHAnsi"/>
        </w:rPr>
      </w:pPr>
      <w:r w:rsidRPr="00651A3F">
        <w:rPr>
          <w:rFonts w:asciiTheme="minorHAnsi" w:hAnsiTheme="minorHAnsi"/>
        </w:rPr>
        <w:t>5.4. Ustawienie słupków wraz z wykonaniem fundamentów betonowych pod słupki</w:t>
      </w:r>
    </w:p>
    <w:p w:rsidR="004F5BEB" w:rsidRPr="00651A3F" w:rsidRDefault="004F5BEB" w:rsidP="004F5BEB">
      <w:pPr>
        <w:rPr>
          <w:rFonts w:asciiTheme="minorHAnsi" w:hAnsiTheme="minorHAnsi"/>
        </w:rPr>
      </w:pPr>
      <w:r w:rsidRPr="00651A3F">
        <w:rPr>
          <w:rFonts w:asciiTheme="minorHAnsi" w:hAnsiTheme="minorHAnsi"/>
        </w:rPr>
        <w:t xml:space="preserve"> Jeśli dokumentacja projektowa nie podaje inaczej, to słupki mogą być osadzone w betonie ułożonym w dołku albo oprawione w bloczki betonowe formowane na zapleczu i dostarczane do miejsca budowy urządzenia zabezpieczającego ruch pieszych. Po uzyskaniu akceptacji Inżyniera, słupki betonowe mogą być obłożone kamieniami lub gruzem i przysypane ziemią.</w:t>
      </w:r>
    </w:p>
    <w:p w:rsidR="004F5BEB" w:rsidRPr="00651A3F" w:rsidRDefault="004F5BEB" w:rsidP="004F5BEB">
      <w:pPr>
        <w:rPr>
          <w:rFonts w:asciiTheme="minorHAnsi" w:hAnsiTheme="minorHAnsi"/>
        </w:rPr>
      </w:pPr>
      <w:r w:rsidRPr="00651A3F">
        <w:rPr>
          <w:rFonts w:asciiTheme="minorHAnsi" w:hAnsiTheme="minorHAnsi"/>
        </w:rPr>
        <w:t>Słupek należy wstawić w gotowy wykop i napełnić otwór mieszanką betonową odpowiadającą wymaganiom punktu 2.9. Do czasu stwardnienia betonu słupek należy podeprzeć.</w:t>
      </w:r>
    </w:p>
    <w:p w:rsidR="004F5BEB" w:rsidRPr="00651A3F" w:rsidRDefault="004F5BEB" w:rsidP="004F5BEB">
      <w:pPr>
        <w:rPr>
          <w:rFonts w:asciiTheme="minorHAnsi" w:hAnsiTheme="minorHAnsi"/>
        </w:rPr>
      </w:pPr>
      <w:r w:rsidRPr="00651A3F">
        <w:rPr>
          <w:rFonts w:asciiTheme="minorHAnsi" w:hAnsiTheme="minorHAnsi"/>
        </w:rPr>
        <w:t>Fundament betonowy wykonany „na mokro”, w którym osadzono słupek, można wykorzystywać do dalszych prac co najmniej po 7 dniach od ustawienia słupka w betonie, a jeśli temperatura w czasie wykonywania fundamentu jest niższa od 10</w:t>
      </w:r>
      <w:r w:rsidRPr="00651A3F">
        <w:rPr>
          <w:rFonts w:asciiTheme="minorHAnsi" w:hAnsiTheme="minorHAnsi"/>
          <w:vertAlign w:val="superscript"/>
        </w:rPr>
        <w:t>o</w:t>
      </w:r>
      <w:r w:rsidRPr="00651A3F">
        <w:rPr>
          <w:rFonts w:asciiTheme="minorHAnsi" w:hAnsiTheme="minorHAnsi"/>
        </w:rPr>
        <w:t>C - po 14 dniach.</w:t>
      </w:r>
    </w:p>
    <w:p w:rsidR="004F5BEB" w:rsidRPr="00651A3F" w:rsidRDefault="004F5BEB" w:rsidP="004F5BEB">
      <w:pPr>
        <w:pStyle w:val="Nagwek4"/>
        <w:rPr>
          <w:rFonts w:asciiTheme="minorHAnsi" w:hAnsiTheme="minorHAnsi"/>
        </w:rPr>
      </w:pPr>
      <w:r w:rsidRPr="00651A3F">
        <w:rPr>
          <w:rFonts w:asciiTheme="minorHAnsi" w:hAnsiTheme="minorHAnsi"/>
        </w:rPr>
        <w:t>5.5. Ustawienie słupków</w:t>
      </w:r>
    </w:p>
    <w:p w:rsidR="004F5BEB" w:rsidRPr="00651A3F" w:rsidRDefault="004F5BEB" w:rsidP="004F5BEB">
      <w:pPr>
        <w:rPr>
          <w:rFonts w:asciiTheme="minorHAnsi" w:hAnsiTheme="minorHAnsi"/>
        </w:rPr>
      </w:pPr>
      <w:r w:rsidRPr="00651A3F">
        <w:rPr>
          <w:rFonts w:asciiTheme="minorHAnsi" w:hAnsiTheme="minorHAnsi"/>
        </w:rPr>
        <w:t>Słupki, bez względu na rodzaj i sposób osadzenia w gruncie, powinny stać pionowo w linii urządzenia zabezpieczającego ruch pieszych, a ich wierzchołki powinny znajdować się na jednakowej wysokości.</w:t>
      </w:r>
    </w:p>
    <w:p w:rsidR="004F5BEB" w:rsidRPr="00651A3F" w:rsidRDefault="004F5BEB" w:rsidP="004F5BEB">
      <w:pPr>
        <w:pStyle w:val="Nagwek4"/>
        <w:rPr>
          <w:rFonts w:asciiTheme="minorHAnsi" w:hAnsiTheme="minorHAnsi"/>
        </w:rPr>
      </w:pPr>
      <w:r w:rsidRPr="00651A3F">
        <w:rPr>
          <w:rFonts w:asciiTheme="minorHAnsi" w:hAnsiTheme="minorHAnsi"/>
        </w:rPr>
        <w:t>5.6. Wykonanie urządzeń zabezpieczających ruch pieszych w formie poręczy</w:t>
      </w:r>
    </w:p>
    <w:p w:rsidR="004F5BEB" w:rsidRPr="00651A3F" w:rsidRDefault="004F5BEB" w:rsidP="004F5BEB">
      <w:pPr>
        <w:rPr>
          <w:rFonts w:asciiTheme="minorHAnsi" w:hAnsiTheme="minorHAnsi"/>
        </w:rPr>
      </w:pPr>
      <w:r w:rsidRPr="00651A3F">
        <w:rPr>
          <w:rFonts w:asciiTheme="minorHAnsi" w:hAnsiTheme="minorHAnsi"/>
        </w:rPr>
        <w:t>Poręcze oddzielające ruch pieszy od kołowego winny być wykonane zgodnie z dokumentacją projektową .</w:t>
      </w:r>
    </w:p>
    <w:p w:rsidR="004F5BEB" w:rsidRPr="00651A3F" w:rsidRDefault="004F5BEB" w:rsidP="004F5BEB">
      <w:pPr>
        <w:pStyle w:val="Nagwek4"/>
        <w:rPr>
          <w:rFonts w:asciiTheme="minorHAnsi" w:hAnsiTheme="minorHAnsi"/>
        </w:rPr>
      </w:pPr>
      <w:r w:rsidRPr="00651A3F">
        <w:rPr>
          <w:rFonts w:asciiTheme="minorHAnsi" w:hAnsiTheme="minorHAnsi"/>
        </w:rPr>
        <w:lastRenderedPageBreak/>
        <w:t>5.7. Wykonanie spawanych złącz elementów urządzeń zabezpieczających ruch pieszych</w:t>
      </w:r>
    </w:p>
    <w:p w:rsidR="004F5BEB" w:rsidRPr="00651A3F" w:rsidRDefault="004F5BEB" w:rsidP="004F5BEB">
      <w:pPr>
        <w:rPr>
          <w:rFonts w:asciiTheme="minorHAnsi" w:hAnsiTheme="minorHAnsi"/>
        </w:rPr>
      </w:pPr>
      <w:r w:rsidRPr="00651A3F">
        <w:rPr>
          <w:rFonts w:asciiTheme="minorHAnsi" w:hAnsiTheme="minorHAnsi"/>
        </w:rPr>
        <w:t>Złącza spawane elementów urządzeń zabezpieczających ruch pieszych powinny odpowiadać wymaganiom PN-M-69011 .</w:t>
      </w:r>
    </w:p>
    <w:p w:rsidR="004F5BEB" w:rsidRPr="00651A3F" w:rsidRDefault="004F5BEB" w:rsidP="004F5BEB">
      <w:pPr>
        <w:rPr>
          <w:rFonts w:asciiTheme="minorHAnsi" w:hAnsiTheme="minorHAnsi"/>
        </w:rPr>
      </w:pPr>
      <w:r w:rsidRPr="00651A3F">
        <w:rPr>
          <w:rFonts w:asciiTheme="minorHAnsi" w:hAnsiTheme="minorHAnsi"/>
        </w:rPr>
        <w:t xml:space="preserve">Wytrzymałość zmęczeniowa spoin powinna wynosić od 19 do 32 MPa. Odchyłki wymiarów spoin nie powinny przekraczać </w:t>
      </w:r>
      <w:r w:rsidRPr="00651A3F">
        <w:rPr>
          <w:rFonts w:asciiTheme="minorHAnsi" w:hAnsiTheme="minorHAnsi"/>
        </w:rPr>
        <w:sym w:font="Symbol" w:char="F0B1"/>
      </w:r>
      <w:r w:rsidRPr="00651A3F">
        <w:rPr>
          <w:rFonts w:asciiTheme="minorHAnsi" w:hAnsiTheme="minorHAnsi"/>
        </w:rPr>
        <w:t xml:space="preserve"> 0,5 mm dla grubości spoiny do 6 mm i </w:t>
      </w:r>
      <w:r w:rsidRPr="00651A3F">
        <w:rPr>
          <w:rFonts w:asciiTheme="minorHAnsi" w:hAnsiTheme="minorHAnsi"/>
        </w:rPr>
        <w:sym w:font="Symbol" w:char="F0B1"/>
      </w:r>
      <w:r w:rsidRPr="00651A3F">
        <w:rPr>
          <w:rFonts w:asciiTheme="minorHAnsi" w:hAnsiTheme="minorHAnsi"/>
        </w:rPr>
        <w:t xml:space="preserve"> 1,0 mm dla spoiny powyżej 6 mm.</w:t>
      </w:r>
    </w:p>
    <w:p w:rsidR="004F5BEB" w:rsidRPr="00651A3F" w:rsidRDefault="004F5BEB" w:rsidP="004F5BEB">
      <w:pPr>
        <w:rPr>
          <w:rFonts w:asciiTheme="minorHAnsi" w:hAnsiTheme="minorHAnsi"/>
        </w:rPr>
      </w:pPr>
      <w:r w:rsidRPr="00651A3F">
        <w:rPr>
          <w:rFonts w:asciiTheme="minorHAnsi" w:hAnsiTheme="minorHAnsi"/>
        </w:rPr>
        <w:t>Odstęp, w złączach zakładkowych i nadkładkowych, pomiędzy przylegającymi do siebie płaszczyznami nie powinien być większy niż 1 mm.</w:t>
      </w:r>
    </w:p>
    <w:p w:rsidR="004F5BEB" w:rsidRPr="00651A3F" w:rsidRDefault="004F5BEB" w:rsidP="004F5BEB">
      <w:pPr>
        <w:rPr>
          <w:rFonts w:asciiTheme="minorHAnsi" w:hAnsiTheme="minorHAnsi"/>
        </w:rPr>
      </w:pPr>
      <w:r w:rsidRPr="00651A3F">
        <w:rPr>
          <w:rFonts w:asciiTheme="minorHAnsi" w:hAnsiTheme="minorHAnsi"/>
        </w:rPr>
        <w:t xml:space="preserve">Złącza spawane nie powinny mieć wad większych niż podane w tablicy 8. Inżynier może dopuścić wady większe niż podane w tablicy </w:t>
      </w:r>
      <w:r w:rsidR="00584330">
        <w:rPr>
          <w:rFonts w:asciiTheme="minorHAnsi" w:hAnsiTheme="minorHAnsi"/>
        </w:rPr>
        <w:t>1</w:t>
      </w:r>
      <w:r w:rsidRPr="00651A3F">
        <w:rPr>
          <w:rFonts w:asciiTheme="minorHAnsi" w:hAnsiTheme="minorHAnsi"/>
        </w:rPr>
        <w:t xml:space="preserve"> jeśli uzna, że nie mają one zasadniczego wpływu na cechy eksploatacyjne urządzeń zabezpieczających ruch pieszych.</w:t>
      </w:r>
    </w:p>
    <w:p w:rsidR="004F5BEB" w:rsidRPr="00651A3F" w:rsidRDefault="004F5BEB"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 xml:space="preserve">Tablica </w:t>
      </w:r>
      <w:r w:rsidR="00584330">
        <w:rPr>
          <w:rFonts w:asciiTheme="minorHAnsi" w:hAnsiTheme="minorHAnsi"/>
        </w:rPr>
        <w:t>1</w:t>
      </w:r>
      <w:r w:rsidRPr="00651A3F">
        <w:rPr>
          <w:rFonts w:asciiTheme="minorHAnsi" w:hAnsiTheme="minorHAnsi"/>
        </w:rPr>
        <w:t>. Dopuszczalne wymiary wad w złączach spawanych według PN-M-69775</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756"/>
        <w:gridCol w:w="3685"/>
      </w:tblGrid>
      <w:tr w:rsidR="004F5BEB" w:rsidRPr="00651A3F" w:rsidTr="004F5BEB">
        <w:tc>
          <w:tcPr>
            <w:tcW w:w="3756" w:type="dxa"/>
            <w:tcBorders>
              <w:bottom w:val="double" w:sz="6" w:space="0" w:color="auto"/>
            </w:tcBorders>
          </w:tcPr>
          <w:p w:rsidR="004F5BEB" w:rsidRPr="00651A3F" w:rsidRDefault="004F5BEB" w:rsidP="004F5BEB">
            <w:pPr>
              <w:rPr>
                <w:rFonts w:asciiTheme="minorHAnsi" w:hAnsiTheme="minorHAnsi"/>
              </w:rPr>
            </w:pPr>
            <w:r w:rsidRPr="00651A3F">
              <w:rPr>
                <w:rFonts w:asciiTheme="minorHAnsi" w:hAnsiTheme="minorHAnsi"/>
              </w:rPr>
              <w:tab/>
            </w:r>
            <w:r w:rsidRPr="00651A3F">
              <w:rPr>
                <w:rFonts w:asciiTheme="minorHAnsi" w:hAnsiTheme="minorHAnsi"/>
              </w:rPr>
              <w:tab/>
              <w:t>Rodzaj wady</w:t>
            </w:r>
          </w:p>
        </w:tc>
        <w:tc>
          <w:tcPr>
            <w:tcW w:w="3685" w:type="dxa"/>
            <w:tcBorders>
              <w:bottom w:val="double" w:sz="6" w:space="0" w:color="auto"/>
            </w:tcBorders>
          </w:tcPr>
          <w:p w:rsidR="004F5BEB" w:rsidRPr="00651A3F" w:rsidRDefault="004F5BEB" w:rsidP="004F5BEB">
            <w:pPr>
              <w:rPr>
                <w:rFonts w:asciiTheme="minorHAnsi" w:hAnsiTheme="minorHAnsi"/>
              </w:rPr>
            </w:pPr>
            <w:r w:rsidRPr="00651A3F">
              <w:rPr>
                <w:rFonts w:asciiTheme="minorHAnsi" w:hAnsiTheme="minorHAnsi"/>
              </w:rPr>
              <w:t>Dopuszczalny wymiar wady  w mm</w:t>
            </w:r>
          </w:p>
        </w:tc>
      </w:tr>
      <w:tr w:rsidR="004F5BEB" w:rsidRPr="00651A3F" w:rsidTr="004F5BEB">
        <w:tc>
          <w:tcPr>
            <w:tcW w:w="3756" w:type="dxa"/>
            <w:tcBorders>
              <w:top w:val="nil"/>
            </w:tcBorders>
          </w:tcPr>
          <w:p w:rsidR="004F5BEB" w:rsidRPr="00651A3F" w:rsidRDefault="004F5BEB" w:rsidP="004F5BEB">
            <w:pPr>
              <w:rPr>
                <w:rFonts w:asciiTheme="minorHAnsi" w:hAnsiTheme="minorHAnsi"/>
              </w:rPr>
            </w:pPr>
            <w:r w:rsidRPr="00651A3F">
              <w:rPr>
                <w:rFonts w:asciiTheme="minorHAnsi" w:hAnsiTheme="minorHAnsi"/>
              </w:rPr>
              <w:t>Brak przetopu</w:t>
            </w:r>
          </w:p>
          <w:p w:rsidR="004F5BEB" w:rsidRPr="00651A3F" w:rsidRDefault="004F5BEB" w:rsidP="004F5BEB">
            <w:pPr>
              <w:rPr>
                <w:rFonts w:asciiTheme="minorHAnsi" w:hAnsiTheme="minorHAnsi"/>
              </w:rPr>
            </w:pPr>
            <w:r w:rsidRPr="00651A3F">
              <w:rPr>
                <w:rFonts w:asciiTheme="minorHAnsi" w:hAnsiTheme="minorHAnsi"/>
              </w:rPr>
              <w:t>Podtopienie lica</w:t>
            </w:r>
          </w:p>
          <w:p w:rsidR="004F5BEB" w:rsidRPr="00651A3F" w:rsidRDefault="004F5BEB" w:rsidP="004F5BEB">
            <w:pPr>
              <w:rPr>
                <w:rFonts w:asciiTheme="minorHAnsi" w:hAnsiTheme="minorHAnsi"/>
              </w:rPr>
            </w:pPr>
            <w:r w:rsidRPr="00651A3F">
              <w:rPr>
                <w:rFonts w:asciiTheme="minorHAnsi" w:hAnsiTheme="minorHAnsi"/>
              </w:rPr>
              <w:t>Porowatość</w:t>
            </w:r>
          </w:p>
          <w:p w:rsidR="004F5BEB" w:rsidRPr="00651A3F" w:rsidRDefault="004F5BEB" w:rsidP="004F5BEB">
            <w:pPr>
              <w:rPr>
                <w:rFonts w:asciiTheme="minorHAnsi" w:hAnsiTheme="minorHAnsi"/>
              </w:rPr>
            </w:pPr>
            <w:r w:rsidRPr="00651A3F">
              <w:rPr>
                <w:rFonts w:asciiTheme="minorHAnsi" w:hAnsiTheme="minorHAnsi"/>
              </w:rPr>
              <w:t>Krater</w:t>
            </w:r>
          </w:p>
          <w:p w:rsidR="004F5BEB" w:rsidRPr="00651A3F" w:rsidRDefault="004F5BEB" w:rsidP="004F5BEB">
            <w:pPr>
              <w:rPr>
                <w:rFonts w:asciiTheme="minorHAnsi" w:hAnsiTheme="minorHAnsi"/>
              </w:rPr>
            </w:pPr>
            <w:r w:rsidRPr="00651A3F">
              <w:rPr>
                <w:rFonts w:asciiTheme="minorHAnsi" w:hAnsiTheme="minorHAnsi"/>
              </w:rPr>
              <w:t>Wklęśnięcie lica</w:t>
            </w:r>
          </w:p>
          <w:p w:rsidR="004F5BEB" w:rsidRPr="00651A3F" w:rsidRDefault="004F5BEB" w:rsidP="004F5BEB">
            <w:pPr>
              <w:rPr>
                <w:rFonts w:asciiTheme="minorHAnsi" w:hAnsiTheme="minorHAnsi"/>
              </w:rPr>
            </w:pPr>
            <w:r w:rsidRPr="00651A3F">
              <w:rPr>
                <w:rFonts w:asciiTheme="minorHAnsi" w:hAnsiTheme="minorHAnsi"/>
              </w:rPr>
              <w:t>Uszkodzenie mechaniczne</w:t>
            </w:r>
          </w:p>
          <w:p w:rsidR="004F5BEB" w:rsidRPr="00651A3F" w:rsidRDefault="004F5BEB" w:rsidP="004F5BEB">
            <w:pPr>
              <w:rPr>
                <w:rFonts w:asciiTheme="minorHAnsi" w:hAnsiTheme="minorHAnsi"/>
              </w:rPr>
            </w:pPr>
            <w:r w:rsidRPr="00651A3F">
              <w:rPr>
                <w:rFonts w:asciiTheme="minorHAnsi" w:hAnsiTheme="minorHAnsi"/>
              </w:rPr>
              <w:t>Różnica wysokości sąsiednich wgłębień</w:t>
            </w:r>
          </w:p>
          <w:p w:rsidR="004F5BEB" w:rsidRPr="00651A3F" w:rsidRDefault="004F5BEB" w:rsidP="004F5BEB">
            <w:pPr>
              <w:rPr>
                <w:rFonts w:asciiTheme="minorHAnsi" w:hAnsiTheme="minorHAnsi"/>
              </w:rPr>
            </w:pPr>
            <w:r w:rsidRPr="00651A3F">
              <w:rPr>
                <w:rFonts w:asciiTheme="minorHAnsi" w:hAnsiTheme="minorHAnsi"/>
              </w:rPr>
              <w:t>i wypukłości lica</w:t>
            </w:r>
          </w:p>
        </w:tc>
        <w:tc>
          <w:tcPr>
            <w:tcW w:w="3685" w:type="dxa"/>
            <w:tcBorders>
              <w:top w:val="nil"/>
            </w:tcBorders>
          </w:tcPr>
          <w:p w:rsidR="004F5BEB" w:rsidRPr="00651A3F" w:rsidRDefault="004F5BEB" w:rsidP="004F5BEB">
            <w:pPr>
              <w:rPr>
                <w:rFonts w:asciiTheme="minorHAnsi" w:hAnsiTheme="minorHAnsi"/>
              </w:rPr>
            </w:pPr>
            <w:r w:rsidRPr="00651A3F">
              <w:rPr>
                <w:rFonts w:asciiTheme="minorHAnsi" w:hAnsiTheme="minorHAnsi"/>
              </w:rPr>
              <w:t>2,0</w:t>
            </w:r>
          </w:p>
          <w:p w:rsidR="004F5BEB" w:rsidRPr="00651A3F" w:rsidRDefault="004F5BEB" w:rsidP="004F5BEB">
            <w:pPr>
              <w:rPr>
                <w:rFonts w:asciiTheme="minorHAnsi" w:hAnsiTheme="minorHAnsi"/>
              </w:rPr>
            </w:pPr>
            <w:r w:rsidRPr="00651A3F">
              <w:rPr>
                <w:rFonts w:asciiTheme="minorHAnsi" w:hAnsiTheme="minorHAnsi"/>
              </w:rPr>
              <w:t>1,5</w:t>
            </w:r>
          </w:p>
          <w:p w:rsidR="004F5BEB" w:rsidRPr="00651A3F" w:rsidRDefault="004F5BEB" w:rsidP="004F5BEB">
            <w:pPr>
              <w:rPr>
                <w:rFonts w:asciiTheme="minorHAnsi" w:hAnsiTheme="minorHAnsi"/>
              </w:rPr>
            </w:pPr>
            <w:r w:rsidRPr="00651A3F">
              <w:rPr>
                <w:rFonts w:asciiTheme="minorHAnsi" w:hAnsiTheme="minorHAnsi"/>
              </w:rPr>
              <w:t>3,0</w:t>
            </w:r>
          </w:p>
          <w:p w:rsidR="004F5BEB" w:rsidRPr="00651A3F" w:rsidRDefault="004F5BEB" w:rsidP="004F5BEB">
            <w:pPr>
              <w:rPr>
                <w:rFonts w:asciiTheme="minorHAnsi" w:hAnsiTheme="minorHAnsi"/>
              </w:rPr>
            </w:pPr>
            <w:r w:rsidRPr="00651A3F">
              <w:rPr>
                <w:rFonts w:asciiTheme="minorHAnsi" w:hAnsiTheme="minorHAnsi"/>
              </w:rPr>
              <w:t>1,5</w:t>
            </w:r>
          </w:p>
          <w:p w:rsidR="004F5BEB" w:rsidRPr="00651A3F" w:rsidRDefault="004F5BEB" w:rsidP="004F5BEB">
            <w:pPr>
              <w:rPr>
                <w:rFonts w:asciiTheme="minorHAnsi" w:hAnsiTheme="minorHAnsi"/>
              </w:rPr>
            </w:pPr>
            <w:r w:rsidRPr="00651A3F">
              <w:rPr>
                <w:rFonts w:asciiTheme="minorHAnsi" w:hAnsiTheme="minorHAnsi"/>
              </w:rPr>
              <w:t>1,5</w:t>
            </w:r>
          </w:p>
          <w:p w:rsidR="004F5BEB" w:rsidRPr="00651A3F" w:rsidRDefault="004F5BEB" w:rsidP="004F5BEB">
            <w:pPr>
              <w:rPr>
                <w:rFonts w:asciiTheme="minorHAnsi" w:hAnsiTheme="minorHAnsi"/>
              </w:rPr>
            </w:pPr>
            <w:r w:rsidRPr="00651A3F">
              <w:rPr>
                <w:rFonts w:asciiTheme="minorHAnsi" w:hAnsiTheme="minorHAnsi"/>
              </w:rPr>
              <w:t>1,0</w:t>
            </w:r>
          </w:p>
          <w:p w:rsidR="004F5BEB" w:rsidRPr="00651A3F" w:rsidRDefault="004F5BEB" w:rsidP="004F5BEB">
            <w:pPr>
              <w:rPr>
                <w:rFonts w:asciiTheme="minorHAnsi" w:hAnsiTheme="minorHAnsi"/>
              </w:rPr>
            </w:pPr>
            <w:r w:rsidRPr="00651A3F">
              <w:rPr>
                <w:rFonts w:asciiTheme="minorHAnsi" w:hAnsiTheme="minorHAnsi"/>
              </w:rPr>
              <w:t>3,0</w:t>
            </w:r>
          </w:p>
        </w:tc>
      </w:tr>
    </w:tbl>
    <w:p w:rsidR="004F5BEB" w:rsidRPr="00651A3F" w:rsidRDefault="004F5BEB" w:rsidP="004F5BEB">
      <w:pPr>
        <w:pStyle w:val="Nagwek3"/>
        <w:rPr>
          <w:rFonts w:asciiTheme="minorHAnsi" w:hAnsiTheme="minorHAnsi"/>
        </w:rPr>
      </w:pPr>
      <w:bookmarkStart w:id="1154" w:name="_Toc425562418"/>
      <w:r w:rsidRPr="00651A3F">
        <w:rPr>
          <w:rFonts w:asciiTheme="minorHAnsi" w:hAnsiTheme="minorHAnsi"/>
        </w:rPr>
        <w:t>6. KONTROLA JAKOŚCI ROBÓT</w:t>
      </w:r>
      <w:bookmarkEnd w:id="1154"/>
    </w:p>
    <w:p w:rsidR="004F5BEB" w:rsidRPr="00651A3F" w:rsidRDefault="004F5BEB" w:rsidP="004F5BEB">
      <w:pPr>
        <w:pStyle w:val="Nagwek4"/>
        <w:rPr>
          <w:rFonts w:asciiTheme="minorHAnsi" w:hAnsiTheme="minorHAnsi"/>
        </w:rPr>
      </w:pPr>
      <w:r w:rsidRPr="00651A3F">
        <w:rPr>
          <w:rFonts w:asciiTheme="minorHAnsi" w:hAnsiTheme="minorHAnsi"/>
        </w:rPr>
        <w:t>6.1. Ogólne zasady kontroli jakości robót</w:t>
      </w:r>
    </w:p>
    <w:p w:rsidR="004F5BEB" w:rsidRPr="00651A3F" w:rsidRDefault="004F5BEB" w:rsidP="004F5BEB">
      <w:pPr>
        <w:rPr>
          <w:rFonts w:asciiTheme="minorHAnsi" w:hAnsiTheme="minorHAnsi"/>
        </w:rPr>
      </w:pPr>
      <w:r w:rsidRPr="00651A3F">
        <w:rPr>
          <w:rFonts w:asciiTheme="minorHAnsi" w:hAnsiTheme="minorHAnsi"/>
        </w:rPr>
        <w:t>Ogólne zasady kontroli jakości robót podano w STWiORB D-M-00.00.00 „Wymagania ogólne” pkt 6.</w:t>
      </w:r>
    </w:p>
    <w:p w:rsidR="004F5BEB" w:rsidRPr="00651A3F" w:rsidRDefault="004F5BEB" w:rsidP="004F5BEB">
      <w:pPr>
        <w:pStyle w:val="Nagwek4"/>
        <w:rPr>
          <w:rFonts w:asciiTheme="minorHAnsi" w:hAnsiTheme="minorHAnsi"/>
        </w:rPr>
      </w:pPr>
      <w:r w:rsidRPr="00651A3F">
        <w:rPr>
          <w:rFonts w:asciiTheme="minorHAnsi" w:hAnsiTheme="minorHAnsi"/>
        </w:rPr>
        <w:t>6.2. Badania przed przystąpieniem do robót</w:t>
      </w:r>
    </w:p>
    <w:p w:rsidR="004F5BEB" w:rsidRPr="00651A3F" w:rsidRDefault="004F5BEB" w:rsidP="004F5BEB">
      <w:pPr>
        <w:rPr>
          <w:rFonts w:asciiTheme="minorHAnsi" w:hAnsiTheme="minorHAnsi"/>
        </w:rPr>
      </w:pPr>
      <w:r w:rsidRPr="00651A3F">
        <w:rPr>
          <w:rFonts w:asciiTheme="minorHAnsi" w:hAnsiTheme="minorHAnsi"/>
        </w:rPr>
        <w:t>Przed przystąpieniem do robót Wykonawca powinien uzyskać od producentów zaświadczenia o jakości (atesty) oraz wykonać badania wyrobów przeznaczonych do wykonania robót i przedstawić ich wyniki Inżynierowi w celu akceptacji wyrobów, zgodnie z wymaganiami określonymi w pkt 2.3.</w:t>
      </w:r>
    </w:p>
    <w:p w:rsidR="004F5BEB" w:rsidRPr="00651A3F" w:rsidRDefault="004F5BEB" w:rsidP="004F5BEB">
      <w:pPr>
        <w:rPr>
          <w:rFonts w:asciiTheme="minorHAnsi" w:hAnsiTheme="minorHAnsi"/>
        </w:rPr>
      </w:pPr>
      <w:r w:rsidRPr="00651A3F">
        <w:rPr>
          <w:rFonts w:asciiTheme="minorHAnsi" w:hAnsiTheme="minorHAnsi"/>
        </w:rPr>
        <w:t>Do wyrobów, których producenci są zobowiązani (przez właściwe normy PN i BN) dostarczyć zaświadczenia o jakości (atesty) należą:</w:t>
      </w:r>
    </w:p>
    <w:p w:rsidR="004F5BEB" w:rsidRPr="00651A3F" w:rsidRDefault="004F5BEB" w:rsidP="004F5BEB">
      <w:pPr>
        <w:rPr>
          <w:rFonts w:asciiTheme="minorHAnsi" w:hAnsiTheme="minorHAnsi"/>
        </w:rPr>
      </w:pPr>
      <w:r w:rsidRPr="00651A3F">
        <w:rPr>
          <w:rFonts w:asciiTheme="minorHAnsi" w:hAnsiTheme="minorHAnsi"/>
        </w:rPr>
        <w:t>rury i kształtowniki,</w:t>
      </w:r>
    </w:p>
    <w:p w:rsidR="004F5BEB" w:rsidRPr="00651A3F" w:rsidRDefault="004F5BEB" w:rsidP="004F5BEB">
      <w:pPr>
        <w:rPr>
          <w:rFonts w:asciiTheme="minorHAnsi" w:hAnsiTheme="minorHAnsi"/>
        </w:rPr>
      </w:pPr>
      <w:r w:rsidRPr="00651A3F">
        <w:rPr>
          <w:rFonts w:asciiTheme="minorHAnsi" w:hAnsiTheme="minorHAnsi"/>
        </w:rPr>
        <w:t>drut spawalniczy,</w:t>
      </w:r>
    </w:p>
    <w:p w:rsidR="004F5BEB" w:rsidRPr="00651A3F" w:rsidRDefault="004F5BEB" w:rsidP="004F5BEB">
      <w:pPr>
        <w:rPr>
          <w:rFonts w:asciiTheme="minorHAnsi" w:hAnsiTheme="minorHAnsi"/>
        </w:rPr>
      </w:pPr>
      <w:r w:rsidRPr="00651A3F">
        <w:rPr>
          <w:rFonts w:asciiTheme="minorHAnsi" w:hAnsiTheme="minorHAnsi"/>
        </w:rPr>
        <w:t>pręty zbrojeniowe,</w:t>
      </w:r>
    </w:p>
    <w:p w:rsidR="004F5BEB" w:rsidRPr="00651A3F" w:rsidRDefault="004F5BEB" w:rsidP="004F5BEB">
      <w:pPr>
        <w:rPr>
          <w:rFonts w:asciiTheme="minorHAnsi" w:hAnsiTheme="minorHAnsi"/>
        </w:rPr>
      </w:pPr>
      <w:r w:rsidRPr="00651A3F">
        <w:rPr>
          <w:rFonts w:asciiTheme="minorHAnsi" w:hAnsiTheme="minorHAnsi"/>
        </w:rPr>
        <w:t>elementy betonowe i żelbetowe.</w:t>
      </w:r>
    </w:p>
    <w:p w:rsidR="004F5BEB" w:rsidRPr="00651A3F" w:rsidRDefault="004F5BEB" w:rsidP="004F5BEB">
      <w:pPr>
        <w:rPr>
          <w:rFonts w:asciiTheme="minorHAnsi" w:hAnsiTheme="minorHAnsi"/>
        </w:rPr>
      </w:pPr>
      <w:r w:rsidRPr="00651A3F">
        <w:rPr>
          <w:rFonts w:asciiTheme="minorHAnsi" w:hAnsiTheme="minorHAnsi"/>
        </w:rPr>
        <w:t>Do wyrobów, których badania powinien przeprowadzić Wykonawca należą wyroby do wykonania fundamentów betonowych „na mokro”. Uwzględniając nieskomplikowany charakter robót fundamentowych, na wniosek Wykonawcy, Inżynier może zwolnić go z potrzeby wykonania badań wyrobów dla tych robót.</w:t>
      </w:r>
    </w:p>
    <w:p w:rsidR="004F5BEB" w:rsidRPr="00651A3F" w:rsidRDefault="004F5BEB" w:rsidP="004F5BEB">
      <w:pPr>
        <w:pStyle w:val="Nagwek4"/>
        <w:rPr>
          <w:rFonts w:asciiTheme="minorHAnsi" w:hAnsiTheme="minorHAnsi"/>
        </w:rPr>
      </w:pPr>
      <w:r w:rsidRPr="00651A3F">
        <w:rPr>
          <w:rFonts w:asciiTheme="minorHAnsi" w:hAnsiTheme="minorHAnsi"/>
        </w:rPr>
        <w:t>6.3. Badania i kontrola w czasie wykonywania robót</w:t>
      </w:r>
    </w:p>
    <w:p w:rsidR="004F5BEB" w:rsidRPr="00651A3F" w:rsidRDefault="004F5BEB" w:rsidP="004F5BEB">
      <w:pPr>
        <w:pStyle w:val="Nagwek4"/>
        <w:rPr>
          <w:rFonts w:asciiTheme="minorHAnsi" w:hAnsiTheme="minorHAnsi"/>
        </w:rPr>
      </w:pPr>
      <w:r w:rsidRPr="00651A3F">
        <w:rPr>
          <w:rFonts w:asciiTheme="minorHAnsi" w:hAnsiTheme="minorHAnsi"/>
        </w:rPr>
        <w:t>6.3.1. Badania wyrobów w czasie wykonywania robót</w:t>
      </w:r>
    </w:p>
    <w:p w:rsidR="004F5BEB" w:rsidRPr="00651A3F" w:rsidRDefault="004F5BEB" w:rsidP="004F5BEB">
      <w:pPr>
        <w:rPr>
          <w:rFonts w:asciiTheme="minorHAnsi" w:hAnsiTheme="minorHAnsi"/>
        </w:rPr>
      </w:pPr>
      <w:r w:rsidRPr="00651A3F">
        <w:rPr>
          <w:rFonts w:asciiTheme="minorHAnsi" w:hAnsiTheme="minorHAnsi"/>
        </w:rPr>
        <w:t>Wszystkie wyroby dostarczone na budowę z zaświadczeniem o jakości (atestem) producenta powinny być sprawdzone w zakresie powierzchni wyrobu i jego wymiarów.</w:t>
      </w:r>
    </w:p>
    <w:p w:rsidR="004F5BEB" w:rsidRPr="00651A3F" w:rsidRDefault="004F5BEB" w:rsidP="004F5BEB">
      <w:pPr>
        <w:rPr>
          <w:rFonts w:asciiTheme="minorHAnsi" w:hAnsiTheme="minorHAnsi"/>
        </w:rPr>
      </w:pPr>
      <w:r w:rsidRPr="00651A3F">
        <w:rPr>
          <w:rFonts w:asciiTheme="minorHAnsi" w:hAnsiTheme="minorHAnsi"/>
        </w:rPr>
        <w:t xml:space="preserve">Częstotliwość badań i ocena ich wyników powinna być zgodna z zaleceniami tablicy </w:t>
      </w:r>
      <w:r w:rsidR="00584330">
        <w:rPr>
          <w:rFonts w:asciiTheme="minorHAnsi" w:hAnsiTheme="minorHAnsi"/>
        </w:rPr>
        <w:t>2</w:t>
      </w:r>
      <w:r w:rsidRPr="00651A3F">
        <w:rPr>
          <w:rFonts w:asciiTheme="minorHAnsi" w:hAnsiTheme="minorHAnsi"/>
        </w:rPr>
        <w:t>.</w:t>
      </w:r>
    </w:p>
    <w:p w:rsidR="00464FC9" w:rsidRDefault="00464FC9" w:rsidP="004F5BEB">
      <w:pPr>
        <w:rPr>
          <w:rFonts w:asciiTheme="minorHAnsi" w:hAnsiTheme="minorHAnsi"/>
        </w:rPr>
      </w:pPr>
    </w:p>
    <w:p w:rsidR="00464FC9" w:rsidRDefault="00464FC9" w:rsidP="004F5BEB">
      <w:pPr>
        <w:rPr>
          <w:rFonts w:asciiTheme="minorHAnsi" w:hAnsiTheme="minorHAnsi"/>
        </w:rPr>
      </w:pPr>
    </w:p>
    <w:p w:rsidR="00464FC9" w:rsidRDefault="00464FC9" w:rsidP="004F5BEB">
      <w:pPr>
        <w:rPr>
          <w:rFonts w:asciiTheme="minorHAnsi" w:hAnsiTheme="minorHAnsi"/>
        </w:rPr>
      </w:pPr>
    </w:p>
    <w:p w:rsidR="00464FC9" w:rsidRDefault="00464FC9" w:rsidP="004F5BEB">
      <w:pPr>
        <w:rPr>
          <w:rFonts w:asciiTheme="minorHAnsi" w:hAnsiTheme="minorHAnsi"/>
        </w:rPr>
      </w:pPr>
    </w:p>
    <w:p w:rsidR="00464FC9" w:rsidRDefault="00464FC9" w:rsidP="004F5BEB">
      <w:pPr>
        <w:rPr>
          <w:rFonts w:asciiTheme="minorHAnsi" w:hAnsiTheme="minorHAnsi"/>
        </w:rPr>
      </w:pPr>
    </w:p>
    <w:p w:rsidR="00464FC9" w:rsidRDefault="00464FC9" w:rsidP="004F5BEB">
      <w:pPr>
        <w:rPr>
          <w:rFonts w:asciiTheme="minorHAnsi" w:hAnsiTheme="minorHAnsi"/>
        </w:rPr>
      </w:pPr>
    </w:p>
    <w:p w:rsidR="00464FC9" w:rsidRDefault="00464FC9" w:rsidP="004F5BEB">
      <w:pPr>
        <w:rPr>
          <w:rFonts w:asciiTheme="minorHAnsi" w:hAnsiTheme="minorHAnsi"/>
        </w:rPr>
      </w:pPr>
    </w:p>
    <w:p w:rsidR="00464FC9" w:rsidRDefault="00464FC9"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 xml:space="preserve">Tablica </w:t>
      </w:r>
      <w:r w:rsidR="00584330">
        <w:rPr>
          <w:rFonts w:asciiTheme="minorHAnsi" w:hAnsiTheme="minorHAnsi"/>
        </w:rPr>
        <w:t xml:space="preserve">2 </w:t>
      </w:r>
      <w:r w:rsidRPr="00651A3F">
        <w:rPr>
          <w:rFonts w:asciiTheme="minorHAnsi" w:hAnsiTheme="minorHAnsi"/>
        </w:rPr>
        <w:t>Częstotliwość badań przy sprawdzeniu powierzchni i wymiarów wyrobów dostarczonych przez producentów</w:t>
      </w:r>
    </w:p>
    <w:tbl>
      <w:tblPr>
        <w:tblW w:w="0" w:type="auto"/>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496"/>
        <w:gridCol w:w="1417"/>
        <w:gridCol w:w="1505"/>
        <w:gridCol w:w="2748"/>
        <w:gridCol w:w="1417"/>
      </w:tblGrid>
      <w:tr w:rsidR="004F5BEB" w:rsidRPr="00651A3F" w:rsidTr="004F5BEB">
        <w:tc>
          <w:tcPr>
            <w:tcW w:w="496" w:type="dxa"/>
            <w:tcBorders>
              <w:top w:val="single" w:sz="6" w:space="0" w:color="auto"/>
              <w:bottom w:val="double" w:sz="6" w:space="0" w:color="auto"/>
              <w:right w:val="nil"/>
            </w:tcBorders>
          </w:tcPr>
          <w:p w:rsidR="004F5BEB" w:rsidRPr="00651A3F" w:rsidRDefault="004F5BEB" w:rsidP="004F5BEB">
            <w:pPr>
              <w:rPr>
                <w:rFonts w:asciiTheme="minorHAnsi" w:hAnsiTheme="minorHAnsi"/>
              </w:rPr>
            </w:pPr>
            <w:r w:rsidRPr="00651A3F">
              <w:rPr>
                <w:rFonts w:asciiTheme="minorHAnsi" w:hAnsiTheme="minorHAnsi"/>
              </w:rPr>
              <w:t>Lp.</w:t>
            </w:r>
          </w:p>
        </w:tc>
        <w:tc>
          <w:tcPr>
            <w:tcW w:w="1417" w:type="dxa"/>
            <w:tcBorders>
              <w:top w:val="single" w:sz="6" w:space="0" w:color="auto"/>
              <w:left w:val="single" w:sz="6" w:space="0" w:color="auto"/>
              <w:bottom w:val="double" w:sz="6" w:space="0" w:color="auto"/>
              <w:right w:val="single" w:sz="6" w:space="0" w:color="auto"/>
            </w:tcBorders>
          </w:tcPr>
          <w:p w:rsidR="004F5BEB" w:rsidRPr="00651A3F" w:rsidRDefault="004F5BEB" w:rsidP="004F5BEB">
            <w:pPr>
              <w:rPr>
                <w:rFonts w:asciiTheme="minorHAnsi" w:hAnsiTheme="minorHAnsi"/>
              </w:rPr>
            </w:pPr>
            <w:r w:rsidRPr="00651A3F">
              <w:rPr>
                <w:rFonts w:asciiTheme="minorHAnsi" w:hAnsiTheme="minorHAnsi"/>
              </w:rPr>
              <w:t>Rodzaj badania</w:t>
            </w:r>
          </w:p>
        </w:tc>
        <w:tc>
          <w:tcPr>
            <w:tcW w:w="1505" w:type="dxa"/>
            <w:tcBorders>
              <w:top w:val="single" w:sz="6" w:space="0" w:color="auto"/>
              <w:left w:val="nil"/>
              <w:bottom w:val="double" w:sz="6" w:space="0" w:color="auto"/>
              <w:right w:val="nil"/>
            </w:tcBorders>
          </w:tcPr>
          <w:p w:rsidR="004F5BEB" w:rsidRPr="00651A3F" w:rsidRDefault="004F5BEB" w:rsidP="004F5BEB">
            <w:pPr>
              <w:rPr>
                <w:rFonts w:asciiTheme="minorHAnsi" w:hAnsiTheme="minorHAnsi"/>
              </w:rPr>
            </w:pPr>
            <w:r w:rsidRPr="00651A3F">
              <w:rPr>
                <w:rFonts w:asciiTheme="minorHAnsi" w:hAnsiTheme="minorHAnsi"/>
              </w:rPr>
              <w:t>Liczba badań</w:t>
            </w:r>
          </w:p>
        </w:tc>
        <w:tc>
          <w:tcPr>
            <w:tcW w:w="2748" w:type="dxa"/>
            <w:tcBorders>
              <w:top w:val="single" w:sz="6" w:space="0" w:color="auto"/>
              <w:left w:val="single" w:sz="6" w:space="0" w:color="auto"/>
              <w:bottom w:val="double" w:sz="6" w:space="0" w:color="auto"/>
              <w:right w:val="single" w:sz="6" w:space="0" w:color="auto"/>
            </w:tcBorders>
          </w:tcPr>
          <w:p w:rsidR="004F5BEB" w:rsidRPr="00651A3F" w:rsidRDefault="004F5BEB" w:rsidP="004F5BEB">
            <w:pPr>
              <w:rPr>
                <w:rFonts w:asciiTheme="minorHAnsi" w:hAnsiTheme="minorHAnsi"/>
              </w:rPr>
            </w:pPr>
            <w:r w:rsidRPr="00651A3F">
              <w:rPr>
                <w:rFonts w:asciiTheme="minorHAnsi" w:hAnsiTheme="minorHAnsi"/>
              </w:rPr>
              <w:t>Opis badań</w:t>
            </w:r>
          </w:p>
        </w:tc>
        <w:tc>
          <w:tcPr>
            <w:tcW w:w="1417" w:type="dxa"/>
            <w:tcBorders>
              <w:top w:val="single" w:sz="6" w:space="0" w:color="auto"/>
              <w:left w:val="nil"/>
              <w:bottom w:val="double" w:sz="6" w:space="0" w:color="auto"/>
            </w:tcBorders>
          </w:tcPr>
          <w:p w:rsidR="004F5BEB" w:rsidRPr="00651A3F" w:rsidRDefault="004F5BEB" w:rsidP="004F5BEB">
            <w:pPr>
              <w:rPr>
                <w:rFonts w:asciiTheme="minorHAnsi" w:hAnsiTheme="minorHAnsi"/>
              </w:rPr>
            </w:pPr>
            <w:r w:rsidRPr="00651A3F">
              <w:rPr>
                <w:rFonts w:asciiTheme="minorHAnsi" w:hAnsiTheme="minorHAnsi"/>
              </w:rPr>
              <w:t>Ocena wyników badań</w:t>
            </w:r>
          </w:p>
        </w:tc>
      </w:tr>
      <w:tr w:rsidR="004F5BEB" w:rsidRPr="00651A3F" w:rsidTr="004F5BEB">
        <w:tc>
          <w:tcPr>
            <w:tcW w:w="496" w:type="dxa"/>
            <w:tcBorders>
              <w:top w:val="nil"/>
              <w:bottom w:val="single" w:sz="6" w:space="0" w:color="auto"/>
              <w:right w:val="single" w:sz="6" w:space="0" w:color="auto"/>
            </w:tcBorders>
          </w:tcPr>
          <w:p w:rsidR="004F5BEB" w:rsidRPr="00651A3F" w:rsidRDefault="004F5BEB" w:rsidP="004F5BEB">
            <w:pPr>
              <w:rPr>
                <w:rFonts w:asciiTheme="minorHAnsi" w:hAnsiTheme="minorHAnsi"/>
              </w:rPr>
            </w:pPr>
            <w:r w:rsidRPr="00651A3F">
              <w:rPr>
                <w:rFonts w:asciiTheme="minorHAnsi" w:hAnsiTheme="minorHAnsi"/>
              </w:rPr>
              <w:t>1</w:t>
            </w:r>
          </w:p>
        </w:tc>
        <w:tc>
          <w:tcPr>
            <w:tcW w:w="1417" w:type="dxa"/>
            <w:tcBorders>
              <w:top w:val="nil"/>
              <w:left w:val="nil"/>
              <w:bottom w:val="nil"/>
              <w:right w:val="single" w:sz="6" w:space="0" w:color="auto"/>
            </w:tcBorders>
          </w:tcPr>
          <w:p w:rsidR="004F5BEB" w:rsidRPr="00651A3F" w:rsidRDefault="004F5BEB" w:rsidP="004F5BEB">
            <w:pPr>
              <w:rPr>
                <w:rFonts w:asciiTheme="minorHAnsi" w:hAnsiTheme="minorHAnsi"/>
              </w:rPr>
            </w:pPr>
            <w:r w:rsidRPr="00651A3F">
              <w:rPr>
                <w:rFonts w:asciiTheme="minorHAnsi" w:hAnsiTheme="minorHAnsi"/>
              </w:rPr>
              <w:t>Sprawdzenie powierzchni</w:t>
            </w:r>
          </w:p>
        </w:tc>
        <w:tc>
          <w:tcPr>
            <w:tcW w:w="1505" w:type="dxa"/>
            <w:tcBorders>
              <w:top w:val="nil"/>
              <w:left w:val="nil"/>
              <w:bottom w:val="nil"/>
              <w:right w:val="single" w:sz="6" w:space="0" w:color="auto"/>
            </w:tcBorders>
          </w:tcPr>
          <w:p w:rsidR="004F5BEB" w:rsidRPr="00651A3F" w:rsidRDefault="004F5BEB" w:rsidP="004F5BEB">
            <w:pPr>
              <w:rPr>
                <w:rFonts w:asciiTheme="minorHAnsi" w:hAnsiTheme="minorHAnsi"/>
              </w:rPr>
            </w:pPr>
            <w:r w:rsidRPr="00651A3F">
              <w:rPr>
                <w:rFonts w:asciiTheme="minorHAnsi" w:hAnsiTheme="minorHAnsi"/>
              </w:rPr>
              <w:t>od 5 do 10 badań z wybra-  nych losowo elementów w każdej dostar-  czonej partii</w:t>
            </w:r>
          </w:p>
        </w:tc>
        <w:tc>
          <w:tcPr>
            <w:tcW w:w="2748" w:type="dxa"/>
            <w:tcBorders>
              <w:top w:val="nil"/>
              <w:left w:val="nil"/>
              <w:bottom w:val="nil"/>
              <w:right w:val="single" w:sz="6" w:space="0" w:color="auto"/>
            </w:tcBorders>
          </w:tcPr>
          <w:p w:rsidR="004F5BEB" w:rsidRPr="00651A3F" w:rsidRDefault="004F5BEB" w:rsidP="004F5BEB">
            <w:pPr>
              <w:rPr>
                <w:rFonts w:asciiTheme="minorHAnsi" w:hAnsiTheme="minorHAnsi"/>
              </w:rPr>
            </w:pPr>
            <w:r w:rsidRPr="00651A3F">
              <w:rPr>
                <w:rFonts w:asciiTheme="minorHAnsi" w:hAnsiTheme="minorHAnsi"/>
              </w:rPr>
              <w:t>Powierzchnię zbadać nieuzbrojonym okiem. Do ew. sprawdzenia głębokości wad użyć dostępnych narzędzi (np. liniałów z czujnikiem, suwmiarek, mikrometrów itp.</w:t>
            </w:r>
          </w:p>
        </w:tc>
        <w:tc>
          <w:tcPr>
            <w:tcW w:w="1417" w:type="dxa"/>
            <w:tcBorders>
              <w:top w:val="nil"/>
              <w:left w:val="nil"/>
            </w:tcBorders>
          </w:tcPr>
          <w:p w:rsidR="004F5BEB" w:rsidRPr="00651A3F" w:rsidRDefault="004F5BEB"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 xml:space="preserve">Wyniki badań powinny być zgodne z wymaganiami </w:t>
            </w:r>
          </w:p>
        </w:tc>
      </w:tr>
      <w:tr w:rsidR="004F5BEB" w:rsidRPr="00651A3F" w:rsidTr="004F5BEB">
        <w:tc>
          <w:tcPr>
            <w:tcW w:w="496" w:type="dxa"/>
            <w:tcBorders>
              <w:top w:val="nil"/>
              <w:right w:val="nil"/>
            </w:tcBorders>
          </w:tcPr>
          <w:p w:rsidR="004F5BEB" w:rsidRPr="00651A3F" w:rsidRDefault="004F5BEB"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2</w:t>
            </w:r>
          </w:p>
        </w:tc>
        <w:tc>
          <w:tcPr>
            <w:tcW w:w="1417" w:type="dxa"/>
            <w:tcBorders>
              <w:top w:val="single" w:sz="6" w:space="0" w:color="auto"/>
              <w:left w:val="single" w:sz="6" w:space="0" w:color="auto"/>
              <w:bottom w:val="single" w:sz="6" w:space="0" w:color="auto"/>
              <w:right w:val="single" w:sz="6" w:space="0" w:color="auto"/>
            </w:tcBorders>
          </w:tcPr>
          <w:p w:rsidR="004F5BEB" w:rsidRPr="00651A3F" w:rsidRDefault="004F5BEB"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Sprawdzenie wymiarów</w:t>
            </w:r>
          </w:p>
        </w:tc>
        <w:tc>
          <w:tcPr>
            <w:tcW w:w="1505" w:type="dxa"/>
            <w:tcBorders>
              <w:top w:val="nil"/>
              <w:left w:val="nil"/>
              <w:right w:val="nil"/>
            </w:tcBorders>
          </w:tcPr>
          <w:p w:rsidR="004F5BEB" w:rsidRPr="00651A3F" w:rsidRDefault="004F5BEB" w:rsidP="004F5BEB">
            <w:pPr>
              <w:rPr>
                <w:rFonts w:asciiTheme="minorHAnsi" w:hAnsiTheme="minorHAnsi"/>
              </w:rPr>
            </w:pPr>
            <w:r w:rsidRPr="00651A3F">
              <w:rPr>
                <w:rFonts w:asciiTheme="minorHAnsi" w:hAnsiTheme="minorHAnsi"/>
              </w:rPr>
              <w:t>wyrobów liczą-cej do 1000 elementów</w:t>
            </w:r>
          </w:p>
        </w:tc>
        <w:tc>
          <w:tcPr>
            <w:tcW w:w="2748" w:type="dxa"/>
            <w:tcBorders>
              <w:top w:val="single" w:sz="6" w:space="0" w:color="auto"/>
              <w:left w:val="single" w:sz="6" w:space="0" w:color="auto"/>
              <w:bottom w:val="single" w:sz="6" w:space="0" w:color="auto"/>
              <w:right w:val="single" w:sz="6" w:space="0" w:color="auto"/>
            </w:tcBorders>
          </w:tcPr>
          <w:p w:rsidR="004F5BEB" w:rsidRPr="00651A3F" w:rsidRDefault="004F5BEB"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Przeprowadzić uniwersalnymi przyrządami pomiarowymi lub sprawdzianami</w:t>
            </w:r>
          </w:p>
        </w:tc>
        <w:tc>
          <w:tcPr>
            <w:tcW w:w="1417" w:type="dxa"/>
            <w:tcBorders>
              <w:left w:val="nil"/>
            </w:tcBorders>
          </w:tcPr>
          <w:p w:rsidR="004F5BEB" w:rsidRPr="00651A3F" w:rsidRDefault="004F5BEB" w:rsidP="004F5BEB">
            <w:pPr>
              <w:rPr>
                <w:rFonts w:asciiTheme="minorHAnsi" w:hAnsiTheme="minorHAnsi"/>
              </w:rPr>
            </w:pPr>
            <w:r w:rsidRPr="00651A3F">
              <w:rPr>
                <w:rFonts w:asciiTheme="minorHAnsi" w:hAnsiTheme="minorHAnsi"/>
              </w:rPr>
              <w:t>punktu 2.3.</w:t>
            </w:r>
          </w:p>
        </w:tc>
      </w:tr>
    </w:tbl>
    <w:p w:rsidR="004F5BEB" w:rsidRPr="00651A3F" w:rsidRDefault="004F5BEB" w:rsidP="004F5BEB">
      <w:pPr>
        <w:rPr>
          <w:rFonts w:asciiTheme="minorHAnsi" w:hAnsiTheme="minorHAnsi"/>
        </w:rPr>
      </w:pPr>
    </w:p>
    <w:p w:rsidR="004F5BEB" w:rsidRPr="00651A3F" w:rsidRDefault="004F5BEB" w:rsidP="004F5BEB">
      <w:pPr>
        <w:rPr>
          <w:rFonts w:asciiTheme="minorHAnsi" w:hAnsiTheme="minorHAnsi"/>
        </w:rPr>
      </w:pPr>
      <w:r w:rsidRPr="00651A3F">
        <w:rPr>
          <w:rFonts w:asciiTheme="minorHAnsi" w:hAnsiTheme="minorHAnsi"/>
        </w:rPr>
        <w:t>W przypadkach budzących wątpliwości można zlecić uprawnionej jednostce zbadanie właściwości dostarczonych wyrobów i wyrobów w zakresie wymagań podanych w punktach  od 2.3 do 2.11.</w:t>
      </w:r>
    </w:p>
    <w:p w:rsidR="004F5BEB" w:rsidRPr="00651A3F" w:rsidRDefault="004F5BEB" w:rsidP="004F5BEB">
      <w:pPr>
        <w:pStyle w:val="Nagwek4"/>
        <w:rPr>
          <w:rFonts w:asciiTheme="minorHAnsi" w:hAnsiTheme="minorHAnsi"/>
        </w:rPr>
      </w:pPr>
      <w:r w:rsidRPr="00651A3F">
        <w:rPr>
          <w:rFonts w:asciiTheme="minorHAnsi" w:hAnsiTheme="minorHAnsi"/>
        </w:rPr>
        <w:t>6.3.2. Kontrola w czasie wykonywania robót</w:t>
      </w:r>
    </w:p>
    <w:p w:rsidR="004F5BEB" w:rsidRPr="00651A3F" w:rsidRDefault="004F5BEB" w:rsidP="004F5BEB">
      <w:pPr>
        <w:rPr>
          <w:rFonts w:asciiTheme="minorHAnsi" w:hAnsiTheme="minorHAnsi"/>
        </w:rPr>
      </w:pPr>
      <w:r w:rsidRPr="00651A3F">
        <w:rPr>
          <w:rFonts w:asciiTheme="minorHAnsi" w:hAnsiTheme="minorHAnsi"/>
        </w:rPr>
        <w:t>W czasie wykonywania urządzeń zabezpieczających ruch pieszych należy zbadać:</w:t>
      </w:r>
    </w:p>
    <w:p w:rsidR="004F5BEB" w:rsidRPr="00651A3F" w:rsidRDefault="004F5BEB" w:rsidP="004F5BEB">
      <w:pPr>
        <w:rPr>
          <w:rFonts w:asciiTheme="minorHAnsi" w:hAnsiTheme="minorHAnsi"/>
        </w:rPr>
      </w:pPr>
      <w:r w:rsidRPr="00651A3F">
        <w:rPr>
          <w:rFonts w:asciiTheme="minorHAnsi" w:hAnsiTheme="minorHAnsi"/>
        </w:rPr>
        <w:t>zgodność wykonania urządzeń z dokumentacją projektową (lokalizacja, wymiary),</w:t>
      </w:r>
    </w:p>
    <w:p w:rsidR="004F5BEB" w:rsidRPr="00651A3F" w:rsidRDefault="004F5BEB" w:rsidP="004F5BEB">
      <w:pPr>
        <w:rPr>
          <w:rFonts w:asciiTheme="minorHAnsi" w:hAnsiTheme="minorHAnsi"/>
        </w:rPr>
      </w:pPr>
      <w:r w:rsidRPr="00651A3F">
        <w:rPr>
          <w:rFonts w:asciiTheme="minorHAnsi" w:hAnsiTheme="minorHAnsi"/>
        </w:rPr>
        <w:t>zachowanie dopuszczalnych odchyłek wymiarów, zgodnie z punktami od 2.3 do 2.11,</w:t>
      </w:r>
    </w:p>
    <w:p w:rsidR="004F5BEB" w:rsidRPr="00651A3F" w:rsidRDefault="004F5BEB" w:rsidP="004F5BEB">
      <w:pPr>
        <w:rPr>
          <w:rFonts w:asciiTheme="minorHAnsi" w:hAnsiTheme="minorHAnsi"/>
        </w:rPr>
      </w:pPr>
      <w:r w:rsidRPr="00651A3F">
        <w:rPr>
          <w:rFonts w:asciiTheme="minorHAnsi" w:hAnsiTheme="minorHAnsi"/>
        </w:rPr>
        <w:t>prawidłowość wykonania dołów pod słupki, zgodnie z punktem 5.3,</w:t>
      </w:r>
    </w:p>
    <w:p w:rsidR="004F5BEB" w:rsidRPr="00651A3F" w:rsidRDefault="004F5BEB" w:rsidP="004F5BEB">
      <w:pPr>
        <w:rPr>
          <w:rFonts w:asciiTheme="minorHAnsi" w:hAnsiTheme="minorHAnsi"/>
        </w:rPr>
      </w:pPr>
      <w:r w:rsidRPr="00651A3F">
        <w:rPr>
          <w:rFonts w:asciiTheme="minorHAnsi" w:hAnsiTheme="minorHAnsi"/>
        </w:rPr>
        <w:t>poprawność wykonania fundamentów pod słupki zgodnie z punktem 5.4,</w:t>
      </w:r>
    </w:p>
    <w:p w:rsidR="004F5BEB" w:rsidRPr="00651A3F" w:rsidRDefault="004F5BEB" w:rsidP="004F5BEB">
      <w:pPr>
        <w:rPr>
          <w:rFonts w:asciiTheme="minorHAnsi" w:hAnsiTheme="minorHAnsi"/>
        </w:rPr>
      </w:pPr>
      <w:r w:rsidRPr="00651A3F">
        <w:rPr>
          <w:rFonts w:asciiTheme="minorHAnsi" w:hAnsiTheme="minorHAnsi"/>
        </w:rPr>
        <w:t>poprawność ustawienia słupków, zgodnie z punktem 5.5 i 5.6,</w:t>
      </w:r>
    </w:p>
    <w:p w:rsidR="004F5BEB" w:rsidRPr="00651A3F" w:rsidRDefault="004F5BEB" w:rsidP="004F5BEB">
      <w:pPr>
        <w:rPr>
          <w:rFonts w:asciiTheme="minorHAnsi" w:hAnsiTheme="minorHAnsi"/>
        </w:rPr>
      </w:pPr>
      <w:r w:rsidRPr="00651A3F">
        <w:rPr>
          <w:rFonts w:asciiTheme="minorHAnsi" w:hAnsiTheme="minorHAnsi"/>
        </w:rPr>
        <w:t>W przypadku wykonania spawanych złącz elementów urządzeń:</w:t>
      </w:r>
    </w:p>
    <w:p w:rsidR="004F5BEB" w:rsidRPr="00651A3F" w:rsidRDefault="004F5BEB" w:rsidP="004F5BEB">
      <w:pPr>
        <w:rPr>
          <w:rFonts w:asciiTheme="minorHAnsi" w:hAnsiTheme="minorHAnsi"/>
        </w:rPr>
      </w:pPr>
      <w:r w:rsidRPr="00651A3F">
        <w:rPr>
          <w:rFonts w:asciiTheme="minorHAnsi" w:hAnsiTheme="minorHAnsi"/>
        </w:rPr>
        <w:t>przed oględzinami, spoinę i przylegające do niej elementy łączone  (od 10 do 20 mm z każdej strony) należy dokładnie oczyścić z żużla, zgorzeliny, odprysków, rdzy, farb i innych zanieczyszczeń utrudniających prowadzenie obserwacji i pomiarów,</w:t>
      </w:r>
    </w:p>
    <w:p w:rsidR="004F5BEB" w:rsidRPr="00651A3F" w:rsidRDefault="004F5BEB" w:rsidP="004F5BEB">
      <w:pPr>
        <w:rPr>
          <w:rFonts w:asciiTheme="minorHAnsi" w:hAnsiTheme="minorHAnsi"/>
        </w:rPr>
      </w:pPr>
      <w:r w:rsidRPr="00651A3F">
        <w:rPr>
          <w:rFonts w:asciiTheme="minorHAnsi" w:hAnsiTheme="minorHAnsi"/>
        </w:rPr>
        <w:t>oględziny złączy należy przeprowadzić wizualnie z ewentualnym użyciem lupy o powiększeniu od 2 do 4 razy; do pomiarów spoin powinny być stosowane wzorniki, przymiary oraz uniwersalne spoinomierze,</w:t>
      </w:r>
    </w:p>
    <w:p w:rsidR="004F5BEB" w:rsidRPr="00651A3F" w:rsidRDefault="004F5BEB" w:rsidP="004F5BEB">
      <w:pPr>
        <w:rPr>
          <w:rFonts w:asciiTheme="minorHAnsi" w:hAnsiTheme="minorHAnsi"/>
        </w:rPr>
      </w:pPr>
      <w:r w:rsidRPr="00651A3F">
        <w:rPr>
          <w:rFonts w:asciiTheme="minorHAnsi" w:hAnsiTheme="minorHAnsi"/>
        </w:rPr>
        <w:t>w przypadkach wątpliwych można zlecić uprawnionej jednostce zbadanie wytrzymałości zmęczeniowej spoin, zgodnie z PN-M-06515,</w:t>
      </w:r>
    </w:p>
    <w:p w:rsidR="004F5BEB" w:rsidRPr="00651A3F" w:rsidRDefault="004F5BEB" w:rsidP="004F5BEB">
      <w:pPr>
        <w:rPr>
          <w:rFonts w:asciiTheme="minorHAnsi" w:hAnsiTheme="minorHAnsi"/>
        </w:rPr>
      </w:pPr>
      <w:r w:rsidRPr="00651A3F">
        <w:rPr>
          <w:rFonts w:asciiTheme="minorHAnsi" w:hAnsiTheme="minorHAnsi"/>
        </w:rPr>
        <w:t>złącza o wadach większych niż dopuszczalne powinny być naprawione powtórnym spawaniem.</w:t>
      </w:r>
    </w:p>
    <w:p w:rsidR="004F5BEB" w:rsidRPr="00651A3F" w:rsidRDefault="004F5BEB" w:rsidP="004F5BEB">
      <w:pPr>
        <w:pStyle w:val="Nagwek3"/>
        <w:rPr>
          <w:rFonts w:asciiTheme="minorHAnsi" w:hAnsiTheme="minorHAnsi"/>
        </w:rPr>
      </w:pPr>
      <w:r w:rsidRPr="00651A3F">
        <w:rPr>
          <w:rFonts w:asciiTheme="minorHAnsi" w:hAnsiTheme="minorHAnsi"/>
        </w:rPr>
        <w:t>7. OBMIAR ROBÓT</w:t>
      </w:r>
    </w:p>
    <w:p w:rsidR="00ED260C" w:rsidRPr="00203191" w:rsidRDefault="004F5BEB" w:rsidP="00ED260C">
      <w:pPr>
        <w:pStyle w:val="Nagwek4"/>
        <w:tabs>
          <w:tab w:val="left" w:pos="9914"/>
        </w:tabs>
        <w:rPr>
          <w:rFonts w:asciiTheme="minorHAnsi" w:hAnsiTheme="minorHAnsi"/>
        </w:rPr>
      </w:pPr>
      <w:r w:rsidRPr="00651A3F">
        <w:rPr>
          <w:rFonts w:asciiTheme="minorHAnsi" w:hAnsiTheme="minorHAnsi"/>
        </w:rPr>
        <w:t xml:space="preserve"> </w:t>
      </w:r>
      <w:bookmarkStart w:id="1155" w:name="_Toc235080168"/>
      <w:r w:rsidR="00ED260C" w:rsidRPr="00203191">
        <w:rPr>
          <w:rFonts w:asciiTheme="minorHAnsi" w:hAnsiTheme="minorHAnsi"/>
        </w:rPr>
        <w:t>7.1. Ogólne zasady obmiaru robót</w:t>
      </w:r>
      <w:bookmarkEnd w:id="1155"/>
    </w:p>
    <w:p w:rsidR="00ED260C" w:rsidRPr="00203191" w:rsidRDefault="00ED260C" w:rsidP="00ED260C">
      <w:pPr>
        <w:rPr>
          <w:rFonts w:asciiTheme="minorHAnsi" w:hAnsiTheme="minorHAnsi"/>
        </w:rPr>
      </w:pPr>
      <w:r w:rsidRPr="00203191">
        <w:rPr>
          <w:rFonts w:asciiTheme="minorHAnsi" w:hAnsiTheme="minorHAnsi"/>
        </w:rPr>
        <w:t>Ogólne zasady obmiaru robót podano w SSTWiORB D-M-00.00.00 „Wymagania ogólne” pkt 7.</w:t>
      </w:r>
    </w:p>
    <w:p w:rsidR="00ED260C" w:rsidRPr="00203191" w:rsidRDefault="00ED260C" w:rsidP="00ED260C">
      <w:pPr>
        <w:pStyle w:val="Nagwek4"/>
        <w:tabs>
          <w:tab w:val="left" w:pos="9914"/>
        </w:tabs>
        <w:rPr>
          <w:rFonts w:asciiTheme="minorHAnsi" w:hAnsiTheme="minorHAnsi"/>
        </w:rPr>
      </w:pPr>
      <w:bookmarkStart w:id="1156" w:name="_Toc235080169"/>
      <w:r w:rsidRPr="00203191">
        <w:rPr>
          <w:rFonts w:asciiTheme="minorHAnsi" w:hAnsiTheme="minorHAnsi"/>
        </w:rPr>
        <w:t>7.2. Jednostka obmiarowa</w:t>
      </w:r>
      <w:bookmarkEnd w:id="1156"/>
    </w:p>
    <w:p w:rsidR="004F5BEB" w:rsidRPr="00651A3F" w:rsidRDefault="00ED260C" w:rsidP="00ED260C">
      <w:pPr>
        <w:rPr>
          <w:rFonts w:asciiTheme="minorHAnsi" w:hAnsiTheme="minorHAnsi"/>
        </w:rPr>
      </w:pPr>
      <w:r w:rsidRPr="00203191">
        <w:rPr>
          <w:rFonts w:asciiTheme="minorHAnsi" w:hAnsiTheme="minorHAnsi"/>
        </w:rPr>
        <w:t>Jednostką obmiarową urządzenia zabezpieczającego ruch pieszych jest m (metr). Obmiar polega na określeniu rzeczywistej długości urządzenia zabezpieczającego ruch pieszych.</w:t>
      </w:r>
    </w:p>
    <w:p w:rsidR="004F5BEB" w:rsidRPr="00651A3F" w:rsidRDefault="004F5BEB" w:rsidP="004F5BEB">
      <w:pPr>
        <w:pStyle w:val="Nagwek3"/>
        <w:rPr>
          <w:rFonts w:asciiTheme="minorHAnsi" w:hAnsiTheme="minorHAnsi"/>
        </w:rPr>
      </w:pPr>
      <w:r w:rsidRPr="00651A3F">
        <w:rPr>
          <w:rFonts w:asciiTheme="minorHAnsi" w:hAnsiTheme="minorHAnsi"/>
        </w:rPr>
        <w:t>8. ODBIÓR ROBÓT</w:t>
      </w:r>
    </w:p>
    <w:p w:rsidR="004F5BEB" w:rsidRPr="00651A3F" w:rsidRDefault="004F5BEB" w:rsidP="004F5BEB">
      <w:pPr>
        <w:rPr>
          <w:rFonts w:asciiTheme="minorHAnsi" w:hAnsiTheme="minorHAnsi"/>
        </w:rPr>
      </w:pPr>
      <w:r w:rsidRPr="00651A3F">
        <w:rPr>
          <w:rFonts w:asciiTheme="minorHAnsi" w:hAnsiTheme="minorHAnsi"/>
        </w:rPr>
        <w:t>Ogólne zasady odbioru robót podano w STWiORB D-M-00.00.00 „Wymagania ogólne” pkt 8.</w:t>
      </w:r>
    </w:p>
    <w:p w:rsidR="004F5BEB" w:rsidRPr="00651A3F" w:rsidRDefault="004F5BEB" w:rsidP="004F5BEB">
      <w:pPr>
        <w:rPr>
          <w:rFonts w:asciiTheme="minorHAnsi" w:hAnsiTheme="minorHAnsi"/>
        </w:rPr>
      </w:pPr>
      <w:r w:rsidRPr="00651A3F">
        <w:rPr>
          <w:rFonts w:asciiTheme="minorHAnsi" w:hAnsiTheme="minorHAnsi"/>
        </w:rPr>
        <w:t>Roboty uznaje się za wykonane zgodnie z dokumentacją projektową, STWiORB i wymaganiami Inżyniera, jeżeli wszystkie pomiary i badania z zachowaniem tolerancji wg pkt 6, dały wyniki pozytywne.</w:t>
      </w:r>
    </w:p>
    <w:p w:rsidR="004F5BEB" w:rsidRPr="00651A3F" w:rsidRDefault="004F5BEB" w:rsidP="004F5BEB">
      <w:pPr>
        <w:pStyle w:val="Nagwek3"/>
        <w:rPr>
          <w:rFonts w:asciiTheme="minorHAnsi" w:hAnsiTheme="minorHAnsi"/>
        </w:rPr>
      </w:pPr>
      <w:bookmarkStart w:id="1157" w:name="_Toc425562421"/>
      <w:r w:rsidRPr="00651A3F">
        <w:rPr>
          <w:rFonts w:asciiTheme="minorHAnsi" w:hAnsiTheme="minorHAnsi"/>
        </w:rPr>
        <w:lastRenderedPageBreak/>
        <w:t>9. PODSTAWA PŁATNOŚCI</w:t>
      </w:r>
      <w:bookmarkEnd w:id="1157"/>
    </w:p>
    <w:p w:rsidR="00A07C50" w:rsidRPr="00203191" w:rsidRDefault="004F5BEB" w:rsidP="00A07C50">
      <w:pPr>
        <w:pStyle w:val="Nagwek4"/>
        <w:tabs>
          <w:tab w:val="left" w:pos="9914"/>
        </w:tabs>
        <w:rPr>
          <w:rFonts w:asciiTheme="minorHAnsi" w:hAnsiTheme="minorHAnsi"/>
        </w:rPr>
      </w:pPr>
      <w:r w:rsidRPr="00651A3F">
        <w:rPr>
          <w:rFonts w:asciiTheme="minorHAnsi" w:hAnsiTheme="minorHAnsi"/>
        </w:rPr>
        <w:t xml:space="preserve"> </w:t>
      </w:r>
      <w:bookmarkStart w:id="1158" w:name="_Toc235080172"/>
      <w:r w:rsidR="00A07C50" w:rsidRPr="00203191">
        <w:rPr>
          <w:rFonts w:asciiTheme="minorHAnsi" w:hAnsiTheme="minorHAnsi"/>
        </w:rPr>
        <w:t>9.1. Ogólne ustalenia dotyczące podstawy płatności</w:t>
      </w:r>
      <w:bookmarkEnd w:id="1158"/>
    </w:p>
    <w:p w:rsidR="00A07C50" w:rsidRPr="00203191" w:rsidRDefault="00A07C50" w:rsidP="00A07C50">
      <w:pPr>
        <w:rPr>
          <w:rFonts w:asciiTheme="minorHAnsi" w:hAnsiTheme="minorHAnsi"/>
        </w:rPr>
      </w:pPr>
      <w:r w:rsidRPr="00203191">
        <w:rPr>
          <w:rFonts w:asciiTheme="minorHAnsi" w:hAnsiTheme="minorHAnsi"/>
        </w:rPr>
        <w:t>Ogólne ustalenia dotyczące podstawy płatności podano w SSTWiORB D-M-00.00.00 „Wymagania ogólne” pkt 9.</w:t>
      </w:r>
    </w:p>
    <w:p w:rsidR="00A07C50" w:rsidRPr="00203191" w:rsidRDefault="00A07C50" w:rsidP="00A07C50">
      <w:pPr>
        <w:pStyle w:val="Nagwek4"/>
        <w:tabs>
          <w:tab w:val="left" w:pos="9914"/>
        </w:tabs>
        <w:rPr>
          <w:rFonts w:asciiTheme="minorHAnsi" w:hAnsiTheme="minorHAnsi"/>
        </w:rPr>
      </w:pPr>
      <w:bookmarkStart w:id="1159" w:name="_Toc235080173"/>
      <w:r w:rsidRPr="00203191">
        <w:rPr>
          <w:rFonts w:asciiTheme="minorHAnsi" w:hAnsiTheme="minorHAnsi"/>
        </w:rPr>
        <w:t>9.2. Cena jednostek obmiarowych</w:t>
      </w:r>
      <w:bookmarkEnd w:id="1159"/>
    </w:p>
    <w:p w:rsidR="00A07C50" w:rsidRPr="00203191" w:rsidRDefault="00A07C50" w:rsidP="00A07C50">
      <w:pPr>
        <w:rPr>
          <w:rFonts w:asciiTheme="minorHAnsi" w:hAnsiTheme="minorHAnsi"/>
        </w:rPr>
      </w:pPr>
      <w:r w:rsidRPr="00203191">
        <w:rPr>
          <w:rFonts w:asciiTheme="minorHAnsi" w:hAnsiTheme="minorHAnsi"/>
        </w:rPr>
        <w:t xml:space="preserve">Cena </w:t>
      </w:r>
      <w:smartTag w:uri="urn:schemas-microsoft-com:office:smarttags" w:element="metricconverter">
        <w:smartTagPr>
          <w:attr w:name="ProductID" w:val="1 m"/>
        </w:smartTagPr>
        <w:r w:rsidRPr="00203191">
          <w:rPr>
            <w:rFonts w:asciiTheme="minorHAnsi" w:hAnsiTheme="minorHAnsi"/>
          </w:rPr>
          <w:t>1 m</w:t>
        </w:r>
      </w:smartTag>
      <w:r w:rsidRPr="00203191">
        <w:rPr>
          <w:rFonts w:asciiTheme="minorHAnsi" w:hAnsiTheme="minorHAnsi"/>
        </w:rPr>
        <w:t xml:space="preserve"> wykonania ogrodzeń ochronnych obejmuje:</w:t>
      </w:r>
    </w:p>
    <w:p w:rsidR="00A07C50" w:rsidRDefault="00A07C50" w:rsidP="00790883">
      <w:pPr>
        <w:pStyle w:val="Akapitzlist"/>
        <w:numPr>
          <w:ilvl w:val="0"/>
          <w:numId w:val="78"/>
        </w:numPr>
        <w:rPr>
          <w:rFonts w:asciiTheme="minorHAnsi" w:hAnsiTheme="minorHAnsi"/>
        </w:rPr>
      </w:pPr>
      <w:r w:rsidRPr="00A07C50">
        <w:rPr>
          <w:rFonts w:asciiTheme="minorHAnsi" w:hAnsiTheme="minorHAnsi"/>
        </w:rPr>
        <w:t>prace pomiarowe i roboty przygotowawcze,</w:t>
      </w:r>
    </w:p>
    <w:p w:rsidR="00A07C50" w:rsidRDefault="00A07C50" w:rsidP="00790883">
      <w:pPr>
        <w:pStyle w:val="Akapitzlist"/>
        <w:numPr>
          <w:ilvl w:val="0"/>
          <w:numId w:val="78"/>
        </w:numPr>
        <w:rPr>
          <w:rFonts w:asciiTheme="minorHAnsi" w:hAnsiTheme="minorHAnsi"/>
        </w:rPr>
      </w:pPr>
      <w:r w:rsidRPr="00A07C50">
        <w:rPr>
          <w:rFonts w:asciiTheme="minorHAnsi" w:hAnsiTheme="minorHAnsi"/>
        </w:rPr>
        <w:t xml:space="preserve">dostarczenie na miejsce wbudowania elementów konstrukcji </w:t>
      </w:r>
      <w:r>
        <w:rPr>
          <w:rFonts w:asciiTheme="minorHAnsi" w:hAnsiTheme="minorHAnsi"/>
        </w:rPr>
        <w:t>stalowej</w:t>
      </w:r>
      <w:r w:rsidRPr="00A07C50">
        <w:rPr>
          <w:rFonts w:asciiTheme="minorHAnsi" w:hAnsiTheme="minorHAnsi"/>
        </w:rPr>
        <w:t>,</w:t>
      </w:r>
    </w:p>
    <w:p w:rsidR="00A07C50" w:rsidRDefault="00A07C50" w:rsidP="00790883">
      <w:pPr>
        <w:pStyle w:val="Akapitzlist"/>
        <w:numPr>
          <w:ilvl w:val="0"/>
          <w:numId w:val="78"/>
        </w:numPr>
        <w:rPr>
          <w:rFonts w:asciiTheme="minorHAnsi" w:hAnsiTheme="minorHAnsi"/>
        </w:rPr>
      </w:pPr>
      <w:r w:rsidRPr="00A07C50">
        <w:rPr>
          <w:rFonts w:asciiTheme="minorHAnsi" w:hAnsiTheme="minorHAnsi"/>
        </w:rPr>
        <w:t>dostarczenie na plac budowy składników oraz przygotowanie masy betonowej w przypadkach jej użycia,</w:t>
      </w:r>
    </w:p>
    <w:p w:rsidR="00A07C50" w:rsidRDefault="00A07C50" w:rsidP="00790883">
      <w:pPr>
        <w:pStyle w:val="Akapitzlist"/>
        <w:numPr>
          <w:ilvl w:val="0"/>
          <w:numId w:val="78"/>
        </w:numPr>
        <w:rPr>
          <w:rFonts w:asciiTheme="minorHAnsi" w:hAnsiTheme="minorHAnsi"/>
        </w:rPr>
      </w:pPr>
      <w:r w:rsidRPr="00A07C50">
        <w:rPr>
          <w:rFonts w:asciiTheme="minorHAnsi" w:hAnsiTheme="minorHAnsi"/>
        </w:rPr>
        <w:t>zainstalowanie urządzeń bezpieczeństwa w sposób zapewniający stabilność,</w:t>
      </w:r>
    </w:p>
    <w:p w:rsidR="00A07C50" w:rsidRDefault="00A07C50" w:rsidP="00790883">
      <w:pPr>
        <w:pStyle w:val="Akapitzlist"/>
        <w:numPr>
          <w:ilvl w:val="0"/>
          <w:numId w:val="78"/>
        </w:numPr>
        <w:rPr>
          <w:rFonts w:asciiTheme="minorHAnsi" w:hAnsiTheme="minorHAnsi"/>
        </w:rPr>
      </w:pPr>
      <w:r w:rsidRPr="00A07C50">
        <w:rPr>
          <w:rFonts w:asciiTheme="minorHAnsi" w:hAnsiTheme="minorHAnsi"/>
        </w:rPr>
        <w:t>doprowadzenie terenu wokół wykonanych urządzeń do stanu przewidzianego w dokumentacji projektowej lub według zaleceń Inżyniera,</w:t>
      </w:r>
    </w:p>
    <w:p w:rsidR="004F5BEB" w:rsidRPr="00A07C50" w:rsidRDefault="00A07C50" w:rsidP="00790883">
      <w:pPr>
        <w:pStyle w:val="Akapitzlist"/>
        <w:numPr>
          <w:ilvl w:val="0"/>
          <w:numId w:val="78"/>
        </w:numPr>
        <w:rPr>
          <w:rFonts w:asciiTheme="minorHAnsi" w:hAnsiTheme="minorHAnsi"/>
        </w:rPr>
      </w:pPr>
      <w:r w:rsidRPr="00A07C50">
        <w:rPr>
          <w:rFonts w:asciiTheme="minorHAnsi" w:hAnsiTheme="minorHAnsi"/>
        </w:rPr>
        <w:t>przeprowadzenie badań i pomiarów kontrolnych</w:t>
      </w:r>
    </w:p>
    <w:p w:rsidR="004F5BEB" w:rsidRPr="00651A3F" w:rsidRDefault="004F5BEB" w:rsidP="004F5BEB">
      <w:pPr>
        <w:pStyle w:val="Nagwek3"/>
        <w:rPr>
          <w:rFonts w:asciiTheme="minorHAnsi" w:hAnsiTheme="minorHAnsi"/>
        </w:rPr>
      </w:pPr>
      <w:bookmarkStart w:id="1160" w:name="_Toc425562422"/>
      <w:r w:rsidRPr="00651A3F">
        <w:rPr>
          <w:rFonts w:asciiTheme="minorHAnsi" w:hAnsiTheme="minorHAnsi"/>
        </w:rPr>
        <w:t>10. PRZEPISY ZWIĄZANE</w:t>
      </w:r>
      <w:bookmarkEnd w:id="1160"/>
    </w:p>
    <w:p w:rsidR="004F5BEB" w:rsidRPr="00651A3F" w:rsidRDefault="004F5BEB" w:rsidP="004F5BEB">
      <w:pPr>
        <w:overflowPunct/>
        <w:jc w:val="left"/>
        <w:textAlignment w:val="auto"/>
        <w:rPr>
          <w:rFonts w:asciiTheme="minorHAnsi" w:hAnsiTheme="minorHAnsi"/>
          <w:b/>
          <w:bCs/>
        </w:rPr>
      </w:pPr>
      <w:r w:rsidRPr="00651A3F">
        <w:rPr>
          <w:rFonts w:asciiTheme="minorHAnsi" w:hAnsiTheme="minorHAnsi"/>
          <w:b/>
          <w:bCs/>
        </w:rPr>
        <w:t>10.1. Normy</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PN-B-03264 Konstrukcje żelbetowe. Obliczenia statyczne i projektowanie</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PN-H-04651 Ochrona przed korozj</w:t>
      </w:r>
      <w:r w:rsidRPr="00651A3F">
        <w:rPr>
          <w:rFonts w:asciiTheme="minorHAnsi" w:eastAsia="TimesNewRoman" w:hAnsiTheme="minorHAnsi"/>
        </w:rPr>
        <w:t>ą</w:t>
      </w:r>
      <w:r w:rsidRPr="00651A3F">
        <w:rPr>
          <w:rFonts w:asciiTheme="minorHAnsi" w:hAnsiTheme="minorHAnsi"/>
        </w:rPr>
        <w:t>. Klasyfikacja i okre</w:t>
      </w:r>
      <w:r w:rsidRPr="00651A3F">
        <w:rPr>
          <w:rFonts w:asciiTheme="minorHAnsi" w:eastAsia="TimesNewRoman" w:hAnsiTheme="minorHAnsi"/>
        </w:rPr>
        <w:t>ś</w:t>
      </w:r>
      <w:r w:rsidRPr="00651A3F">
        <w:rPr>
          <w:rFonts w:asciiTheme="minorHAnsi" w:hAnsiTheme="minorHAnsi"/>
        </w:rPr>
        <w:t>lenie agresywno</w:t>
      </w:r>
      <w:r w:rsidRPr="00651A3F">
        <w:rPr>
          <w:rFonts w:asciiTheme="minorHAnsi" w:eastAsia="TimesNewRoman" w:hAnsiTheme="minorHAnsi"/>
        </w:rPr>
        <w:t>ś</w:t>
      </w:r>
      <w:r w:rsidRPr="00651A3F">
        <w:rPr>
          <w:rFonts w:asciiTheme="minorHAnsi" w:hAnsiTheme="minorHAnsi"/>
        </w:rPr>
        <w:t xml:space="preserve">ci korozyjnej </w:t>
      </w:r>
      <w:r w:rsidRPr="00651A3F">
        <w:rPr>
          <w:rFonts w:asciiTheme="minorHAnsi" w:eastAsia="TimesNewRoman" w:hAnsiTheme="minorHAnsi"/>
        </w:rPr>
        <w:t>ś</w:t>
      </w:r>
      <w:r w:rsidRPr="00651A3F">
        <w:rPr>
          <w:rFonts w:asciiTheme="minorHAnsi" w:hAnsiTheme="minorHAnsi"/>
        </w:rPr>
        <w:t>rodowisk</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PN-EN 206-1 Beton</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PN-B-06251 Roboty betonowe i żelbetowe. Wymagania techniczne</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PN-EN 12620 Kruszywa do betonu</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PN-B-10285 Roboty malarskie budowlane farbami, lakierami i emaliami na spoinach bezwodnych</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PN-EN 197-1 Cement. Skład wymagania i kryteria zgodno</w:t>
      </w:r>
      <w:r w:rsidRPr="00651A3F">
        <w:rPr>
          <w:rFonts w:asciiTheme="minorHAnsi" w:eastAsia="TimesNewRoman" w:hAnsiTheme="minorHAnsi"/>
        </w:rPr>
        <w:t>ś</w:t>
      </w:r>
      <w:r w:rsidRPr="00651A3F">
        <w:rPr>
          <w:rFonts w:asciiTheme="minorHAnsi" w:hAnsiTheme="minorHAnsi"/>
        </w:rPr>
        <w:t>ci dotycz</w:t>
      </w:r>
      <w:r w:rsidRPr="00651A3F">
        <w:rPr>
          <w:rFonts w:asciiTheme="minorHAnsi" w:eastAsia="TimesNewRoman" w:hAnsiTheme="minorHAnsi"/>
        </w:rPr>
        <w:t>ą</w:t>
      </w:r>
      <w:r w:rsidRPr="00651A3F">
        <w:rPr>
          <w:rFonts w:asciiTheme="minorHAnsi" w:hAnsiTheme="minorHAnsi"/>
        </w:rPr>
        <w:t>ce cementów powszechnego użytku.</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PN-EN 934-2 Domieszki do betonu, zaprawy i zaczynu .Cz</w:t>
      </w:r>
      <w:r w:rsidRPr="00651A3F">
        <w:rPr>
          <w:rFonts w:asciiTheme="minorHAnsi" w:eastAsia="TimesNewRoman" w:hAnsiTheme="minorHAnsi"/>
        </w:rPr>
        <w:t xml:space="preserve">ęść </w:t>
      </w:r>
      <w:r w:rsidRPr="00651A3F">
        <w:rPr>
          <w:rFonts w:asciiTheme="minorHAnsi" w:hAnsiTheme="minorHAnsi"/>
        </w:rPr>
        <w:t>2</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PN-EN-1008 Woda zarobowa do betonu</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PN-H-74219 Rury stalowe bez szwu walcowane na gor</w:t>
      </w:r>
      <w:r w:rsidRPr="00651A3F">
        <w:rPr>
          <w:rFonts w:asciiTheme="minorHAnsi" w:eastAsia="TimesNewRoman" w:hAnsiTheme="minorHAnsi"/>
        </w:rPr>
        <w:t>ą</w:t>
      </w:r>
      <w:r w:rsidRPr="00651A3F">
        <w:rPr>
          <w:rFonts w:asciiTheme="minorHAnsi" w:hAnsiTheme="minorHAnsi"/>
        </w:rPr>
        <w:t>co ogólnego zastosowania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PN-H-74220 Rury stalowe bez szwu ci</w:t>
      </w:r>
      <w:r w:rsidRPr="00651A3F">
        <w:rPr>
          <w:rFonts w:asciiTheme="minorHAnsi" w:eastAsia="TimesNewRoman" w:hAnsiTheme="minorHAnsi"/>
        </w:rPr>
        <w:t>ą</w:t>
      </w:r>
      <w:r w:rsidRPr="00651A3F">
        <w:rPr>
          <w:rFonts w:asciiTheme="minorHAnsi" w:hAnsiTheme="minorHAnsi"/>
        </w:rPr>
        <w:t>gnione i walcowane na zimno ogólnego przeznaczenia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PN-H-82200 Cynk</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PN-H-84018 Stal niskostopowa o podwyższonej wytrzymało</w:t>
      </w:r>
      <w:r w:rsidRPr="00651A3F">
        <w:rPr>
          <w:rFonts w:asciiTheme="minorHAnsi" w:eastAsia="TimesNewRoman" w:hAnsiTheme="minorHAnsi"/>
        </w:rPr>
        <w:t>ś</w:t>
      </w:r>
      <w:r w:rsidRPr="00651A3F">
        <w:rPr>
          <w:rFonts w:asciiTheme="minorHAnsi" w:hAnsiTheme="minorHAnsi"/>
        </w:rPr>
        <w:t xml:space="preserve">ci. Gatunki </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PN-H-84019 Stal w</w:t>
      </w:r>
      <w:r w:rsidRPr="00651A3F">
        <w:rPr>
          <w:rFonts w:asciiTheme="minorHAnsi" w:eastAsia="TimesNewRoman" w:hAnsiTheme="minorHAnsi"/>
        </w:rPr>
        <w:t>ę</w:t>
      </w:r>
      <w:r w:rsidRPr="00651A3F">
        <w:rPr>
          <w:rFonts w:asciiTheme="minorHAnsi" w:hAnsiTheme="minorHAnsi"/>
        </w:rPr>
        <w:t>glowa konstrukcyjna wy</w:t>
      </w:r>
      <w:r w:rsidRPr="00651A3F">
        <w:rPr>
          <w:rFonts w:asciiTheme="minorHAnsi" w:eastAsia="TimesNewRoman" w:hAnsiTheme="minorHAnsi"/>
        </w:rPr>
        <w:t>ż</w:t>
      </w:r>
      <w:r w:rsidRPr="00651A3F">
        <w:rPr>
          <w:rFonts w:asciiTheme="minorHAnsi" w:hAnsiTheme="minorHAnsi"/>
        </w:rPr>
        <w:t>szej jako</w:t>
      </w:r>
      <w:r w:rsidRPr="00651A3F">
        <w:rPr>
          <w:rFonts w:asciiTheme="minorHAnsi" w:eastAsia="TimesNewRoman" w:hAnsiTheme="minorHAnsi"/>
        </w:rPr>
        <w:t>ś</w:t>
      </w:r>
      <w:r w:rsidRPr="00651A3F">
        <w:rPr>
          <w:rFonts w:asciiTheme="minorHAnsi" w:hAnsiTheme="minorHAnsi"/>
        </w:rPr>
        <w:t>ci ogólnego przeznaczenia. Gatunki</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PN-H-84020 Stal niestopowa konstrukcyjna ogólnego przeznaczenia. Gatunki</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PN-H-84023-07 Stal okre</w:t>
      </w:r>
      <w:r w:rsidRPr="00651A3F">
        <w:rPr>
          <w:rFonts w:asciiTheme="minorHAnsi" w:eastAsia="TimesNewRoman" w:hAnsiTheme="minorHAnsi"/>
        </w:rPr>
        <w:t>ś</w:t>
      </w:r>
      <w:r w:rsidRPr="00651A3F">
        <w:rPr>
          <w:rFonts w:asciiTheme="minorHAnsi" w:hAnsiTheme="minorHAnsi"/>
        </w:rPr>
        <w:t>lonego zastosowania. Stal na rury</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PN-H-84030-02 Stal stopowa konstrukcyjna. Stal do naw</w:t>
      </w:r>
      <w:r w:rsidRPr="00651A3F">
        <w:rPr>
          <w:rFonts w:asciiTheme="minorHAnsi" w:eastAsia="TimesNewRoman" w:hAnsiTheme="minorHAnsi"/>
        </w:rPr>
        <w:t>ę</w:t>
      </w:r>
      <w:r w:rsidRPr="00651A3F">
        <w:rPr>
          <w:rFonts w:asciiTheme="minorHAnsi" w:hAnsiTheme="minorHAnsi"/>
        </w:rPr>
        <w:t>glania. Gatunki</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PN-H-93010 Stal. Kształtowniki walcowane na gor</w:t>
      </w:r>
      <w:r w:rsidRPr="00651A3F">
        <w:rPr>
          <w:rFonts w:asciiTheme="minorHAnsi" w:eastAsia="TimesNewRoman" w:hAnsiTheme="minorHAnsi"/>
        </w:rPr>
        <w:t>ą</w:t>
      </w:r>
      <w:r w:rsidRPr="00651A3F">
        <w:rPr>
          <w:rFonts w:asciiTheme="minorHAnsi" w:hAnsiTheme="minorHAnsi"/>
        </w:rPr>
        <w:t>co</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PN-H-93200-02 Walcówka i pr</w:t>
      </w:r>
      <w:r w:rsidRPr="00651A3F">
        <w:rPr>
          <w:rFonts w:asciiTheme="minorHAnsi" w:eastAsia="TimesNewRoman" w:hAnsiTheme="minorHAnsi"/>
        </w:rPr>
        <w:t>ę</w:t>
      </w:r>
      <w:r w:rsidRPr="00651A3F">
        <w:rPr>
          <w:rFonts w:asciiTheme="minorHAnsi" w:hAnsiTheme="minorHAnsi"/>
        </w:rPr>
        <w:t>ty stalowe okr</w:t>
      </w:r>
      <w:r w:rsidRPr="00651A3F">
        <w:rPr>
          <w:rFonts w:asciiTheme="minorHAnsi" w:eastAsia="TimesNewRoman" w:hAnsiTheme="minorHAnsi"/>
        </w:rPr>
        <w:t>ą</w:t>
      </w:r>
      <w:r w:rsidRPr="00651A3F">
        <w:rPr>
          <w:rFonts w:asciiTheme="minorHAnsi" w:hAnsiTheme="minorHAnsi"/>
        </w:rPr>
        <w:t>głe walcowane na gor</w:t>
      </w:r>
      <w:r w:rsidRPr="00651A3F">
        <w:rPr>
          <w:rFonts w:asciiTheme="minorHAnsi" w:eastAsia="TimesNewRoman" w:hAnsiTheme="minorHAnsi"/>
        </w:rPr>
        <w:t>ą</w:t>
      </w:r>
      <w:r w:rsidRPr="00651A3F">
        <w:rPr>
          <w:rFonts w:asciiTheme="minorHAnsi" w:hAnsiTheme="minorHAnsi"/>
        </w:rPr>
        <w:t>co. Walcówka i pr</w:t>
      </w:r>
      <w:r w:rsidRPr="00651A3F">
        <w:rPr>
          <w:rFonts w:asciiTheme="minorHAnsi" w:eastAsia="TimesNewRoman" w:hAnsiTheme="minorHAnsi"/>
        </w:rPr>
        <w:t>ę</w:t>
      </w:r>
      <w:r w:rsidRPr="00651A3F">
        <w:rPr>
          <w:rFonts w:asciiTheme="minorHAnsi" w:hAnsiTheme="minorHAnsi"/>
        </w:rPr>
        <w:t>ty ogólnego zastosowania. Wymiary</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PN-H-93401 Stal walcowana. K</w:t>
      </w:r>
      <w:r w:rsidRPr="00651A3F">
        <w:rPr>
          <w:rFonts w:asciiTheme="minorHAnsi" w:eastAsia="TimesNewRoman" w:hAnsiTheme="minorHAnsi"/>
        </w:rPr>
        <w:t>ą</w:t>
      </w:r>
      <w:r w:rsidRPr="00651A3F">
        <w:rPr>
          <w:rFonts w:asciiTheme="minorHAnsi" w:hAnsiTheme="minorHAnsi"/>
        </w:rPr>
        <w:t>towniki równoramienne</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PN-H-93402 K</w:t>
      </w:r>
      <w:r w:rsidRPr="00651A3F">
        <w:rPr>
          <w:rFonts w:asciiTheme="minorHAnsi" w:eastAsia="TimesNewRoman" w:hAnsiTheme="minorHAnsi"/>
        </w:rPr>
        <w:t>ą</w:t>
      </w:r>
      <w:r w:rsidRPr="00651A3F">
        <w:rPr>
          <w:rFonts w:asciiTheme="minorHAnsi" w:hAnsiTheme="minorHAnsi"/>
        </w:rPr>
        <w:t>towniki nierównoramienne stalowe walcowane na gor</w:t>
      </w:r>
      <w:r w:rsidRPr="00651A3F">
        <w:rPr>
          <w:rFonts w:asciiTheme="minorHAnsi" w:eastAsia="TimesNewRoman" w:hAnsiTheme="minorHAnsi"/>
        </w:rPr>
        <w:t>ą</w:t>
      </w:r>
      <w:r w:rsidRPr="00651A3F">
        <w:rPr>
          <w:rFonts w:asciiTheme="minorHAnsi" w:hAnsiTheme="minorHAnsi"/>
        </w:rPr>
        <w:t>co</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PN-H-93403 Stal. Ceowniki walcowane. Wymiary</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PN-H-93406 Stal. Teowniki walcowane na gor</w:t>
      </w:r>
      <w:r w:rsidRPr="00651A3F">
        <w:rPr>
          <w:rFonts w:asciiTheme="minorHAnsi" w:eastAsia="TimesNewRoman" w:hAnsiTheme="minorHAnsi"/>
        </w:rPr>
        <w:t>ą</w:t>
      </w:r>
      <w:r w:rsidRPr="00651A3F">
        <w:rPr>
          <w:rFonts w:asciiTheme="minorHAnsi" w:hAnsiTheme="minorHAnsi"/>
        </w:rPr>
        <w:t>co</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PN-H-93407 Stal. Dwuteowniki walcowane na gor</w:t>
      </w:r>
      <w:r w:rsidRPr="00651A3F">
        <w:rPr>
          <w:rFonts w:asciiTheme="minorHAnsi" w:eastAsia="TimesNewRoman" w:hAnsiTheme="minorHAnsi"/>
        </w:rPr>
        <w:t>ą</w:t>
      </w:r>
      <w:r w:rsidRPr="00651A3F">
        <w:rPr>
          <w:rFonts w:asciiTheme="minorHAnsi" w:hAnsiTheme="minorHAnsi"/>
        </w:rPr>
        <w:t>co</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PN-H-97051 Ochrona przed korozj</w:t>
      </w:r>
      <w:r w:rsidRPr="00651A3F">
        <w:rPr>
          <w:rFonts w:asciiTheme="minorHAnsi" w:eastAsia="TimesNewRoman" w:hAnsiTheme="minorHAnsi"/>
        </w:rPr>
        <w:t>ą</w:t>
      </w:r>
      <w:r w:rsidRPr="00651A3F">
        <w:rPr>
          <w:rFonts w:asciiTheme="minorHAnsi" w:hAnsiTheme="minorHAnsi"/>
        </w:rPr>
        <w:t>. Przygotowanie powierzchni stali, staliwa i żeliwa do malowania. Ogólne wytyczne</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PN-H-97052 Ochrona przed korozj</w:t>
      </w:r>
      <w:r w:rsidRPr="00651A3F">
        <w:rPr>
          <w:rFonts w:asciiTheme="minorHAnsi" w:eastAsia="TimesNewRoman" w:hAnsiTheme="minorHAnsi"/>
        </w:rPr>
        <w:t>ą</w:t>
      </w:r>
      <w:r w:rsidRPr="00651A3F">
        <w:rPr>
          <w:rFonts w:asciiTheme="minorHAnsi" w:hAnsiTheme="minorHAnsi"/>
        </w:rPr>
        <w:t>. Ocena przygotowania powierzchni stali, staliwa i żeliwa do malowania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PN-H-97053 Ochrona przed korozj</w:t>
      </w:r>
      <w:r w:rsidRPr="00651A3F">
        <w:rPr>
          <w:rFonts w:asciiTheme="minorHAnsi" w:eastAsia="TimesNewRoman" w:hAnsiTheme="minorHAnsi"/>
        </w:rPr>
        <w:t>ą</w:t>
      </w:r>
      <w:r w:rsidRPr="00651A3F">
        <w:rPr>
          <w:rFonts w:asciiTheme="minorHAnsi" w:hAnsiTheme="minorHAnsi"/>
        </w:rPr>
        <w:t xml:space="preserve">. Malowanie konstrukcji stalowych. Ogólne wytyczne </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PN-M-69011 Spawalnictwo. Zł</w:t>
      </w:r>
      <w:r w:rsidRPr="00651A3F">
        <w:rPr>
          <w:rFonts w:asciiTheme="minorHAnsi" w:eastAsia="TimesNewRoman" w:hAnsiTheme="minorHAnsi"/>
        </w:rPr>
        <w:t>ą</w:t>
      </w:r>
      <w:r w:rsidRPr="00651A3F">
        <w:rPr>
          <w:rFonts w:asciiTheme="minorHAnsi" w:hAnsiTheme="minorHAnsi"/>
        </w:rPr>
        <w:t>cza spawane w konstrukcjach spawanych. Podział i wymagania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PN-M-69420 Spawalnictwo. Druty lite do spawania i napawania stali</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PN-M-69775 Spawalnictwo. Wadliwo</w:t>
      </w:r>
      <w:r w:rsidRPr="00651A3F">
        <w:rPr>
          <w:rFonts w:asciiTheme="minorHAnsi" w:eastAsia="TimesNewRoman" w:hAnsiTheme="minorHAnsi"/>
        </w:rPr>
        <w:t xml:space="preserve">ść </w:t>
      </w:r>
      <w:r w:rsidRPr="00651A3F">
        <w:rPr>
          <w:rFonts w:asciiTheme="minorHAnsi" w:hAnsiTheme="minorHAnsi"/>
        </w:rPr>
        <w:t>zł</w:t>
      </w:r>
      <w:r w:rsidRPr="00651A3F">
        <w:rPr>
          <w:rFonts w:asciiTheme="minorHAnsi" w:eastAsia="TimesNewRoman" w:hAnsiTheme="minorHAnsi"/>
        </w:rPr>
        <w:t>ą</w:t>
      </w:r>
      <w:r w:rsidRPr="00651A3F">
        <w:rPr>
          <w:rFonts w:asciiTheme="minorHAnsi" w:hAnsiTheme="minorHAnsi"/>
        </w:rPr>
        <w:t>czy spawanych. Oznaczanie klasy wadliwo</w:t>
      </w:r>
      <w:r w:rsidRPr="00651A3F">
        <w:rPr>
          <w:rFonts w:asciiTheme="minorHAnsi" w:eastAsia="TimesNewRoman" w:hAnsiTheme="minorHAnsi"/>
        </w:rPr>
        <w:t>ś</w:t>
      </w:r>
      <w:r w:rsidRPr="00651A3F">
        <w:rPr>
          <w:rFonts w:asciiTheme="minorHAnsi" w:hAnsiTheme="minorHAnsi"/>
        </w:rPr>
        <w:t>ci na podstawie ogl</w:t>
      </w:r>
      <w:r w:rsidRPr="00651A3F">
        <w:rPr>
          <w:rFonts w:asciiTheme="minorHAnsi" w:eastAsia="TimesNewRoman" w:hAnsiTheme="minorHAnsi"/>
        </w:rPr>
        <w:t>ę</w:t>
      </w:r>
      <w:r w:rsidRPr="00651A3F">
        <w:rPr>
          <w:rFonts w:asciiTheme="minorHAnsi" w:hAnsiTheme="minorHAnsi"/>
        </w:rPr>
        <w:t>dzin zewn</w:t>
      </w:r>
      <w:r w:rsidRPr="00651A3F">
        <w:rPr>
          <w:rFonts w:asciiTheme="minorHAnsi" w:eastAsia="TimesNewRoman" w:hAnsiTheme="minorHAnsi"/>
        </w:rPr>
        <w:t>ę</w:t>
      </w:r>
      <w:r w:rsidRPr="00651A3F">
        <w:rPr>
          <w:rFonts w:asciiTheme="minorHAnsi" w:hAnsiTheme="minorHAnsi"/>
        </w:rPr>
        <w:t>trznych</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PN-M-80026 Druty okr</w:t>
      </w:r>
      <w:r w:rsidRPr="00651A3F">
        <w:rPr>
          <w:rFonts w:asciiTheme="minorHAnsi" w:eastAsia="TimesNewRoman" w:hAnsiTheme="minorHAnsi"/>
        </w:rPr>
        <w:t>ą</w:t>
      </w:r>
      <w:r w:rsidRPr="00651A3F">
        <w:rPr>
          <w:rFonts w:asciiTheme="minorHAnsi" w:hAnsiTheme="minorHAnsi"/>
        </w:rPr>
        <w:t>głe ze stali niskow</w:t>
      </w:r>
      <w:r w:rsidRPr="00651A3F">
        <w:rPr>
          <w:rFonts w:asciiTheme="minorHAnsi" w:eastAsia="TimesNewRoman" w:hAnsiTheme="minorHAnsi"/>
        </w:rPr>
        <w:t>ę</w:t>
      </w:r>
      <w:r w:rsidRPr="00651A3F">
        <w:rPr>
          <w:rFonts w:asciiTheme="minorHAnsi" w:hAnsiTheme="minorHAnsi"/>
        </w:rPr>
        <w:t>glowej ogólnego przeznaczenia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 xml:space="preserve">PN-M-82054 </w:t>
      </w:r>
      <w:r w:rsidRPr="00651A3F">
        <w:rPr>
          <w:rFonts w:asciiTheme="minorHAnsi" w:eastAsia="TimesNewRoman" w:hAnsiTheme="minorHAnsi"/>
        </w:rPr>
        <w:t>Ś</w:t>
      </w:r>
      <w:r w:rsidRPr="00651A3F">
        <w:rPr>
          <w:rFonts w:asciiTheme="minorHAnsi" w:hAnsiTheme="minorHAnsi"/>
        </w:rPr>
        <w:t>ruby, wkr</w:t>
      </w:r>
      <w:r w:rsidRPr="00651A3F">
        <w:rPr>
          <w:rFonts w:asciiTheme="minorHAnsi" w:eastAsia="TimesNewRoman" w:hAnsiTheme="minorHAnsi"/>
        </w:rPr>
        <w:t>ę</w:t>
      </w:r>
      <w:r w:rsidRPr="00651A3F">
        <w:rPr>
          <w:rFonts w:asciiTheme="minorHAnsi" w:hAnsiTheme="minorHAnsi"/>
        </w:rPr>
        <w:t>ty i nakr</w:t>
      </w:r>
      <w:r w:rsidRPr="00651A3F">
        <w:rPr>
          <w:rFonts w:asciiTheme="minorHAnsi" w:eastAsia="TimesNewRoman" w:hAnsiTheme="minorHAnsi"/>
        </w:rPr>
        <w:t>ę</w:t>
      </w:r>
      <w:r w:rsidRPr="00651A3F">
        <w:rPr>
          <w:rFonts w:asciiTheme="minorHAnsi" w:hAnsiTheme="minorHAnsi"/>
        </w:rPr>
        <w:t>tki stalowe. Ogólne wymagania i badania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lastRenderedPageBreak/>
        <w:t xml:space="preserve">PN-M-82054-03 </w:t>
      </w:r>
      <w:r w:rsidRPr="00651A3F">
        <w:rPr>
          <w:rFonts w:asciiTheme="minorHAnsi" w:eastAsia="TimesNewRoman" w:hAnsiTheme="minorHAnsi"/>
        </w:rPr>
        <w:t>Ś</w:t>
      </w:r>
      <w:r w:rsidRPr="00651A3F">
        <w:rPr>
          <w:rFonts w:asciiTheme="minorHAnsi" w:hAnsiTheme="minorHAnsi"/>
        </w:rPr>
        <w:t>ruby, wkr</w:t>
      </w:r>
      <w:r w:rsidRPr="00651A3F">
        <w:rPr>
          <w:rFonts w:asciiTheme="minorHAnsi" w:eastAsia="TimesNewRoman" w:hAnsiTheme="minorHAnsi"/>
        </w:rPr>
        <w:t>ę</w:t>
      </w:r>
      <w:r w:rsidRPr="00651A3F">
        <w:rPr>
          <w:rFonts w:asciiTheme="minorHAnsi" w:hAnsiTheme="minorHAnsi"/>
        </w:rPr>
        <w:t>ty i nakr</w:t>
      </w:r>
      <w:r w:rsidRPr="00651A3F">
        <w:rPr>
          <w:rFonts w:asciiTheme="minorHAnsi" w:eastAsia="TimesNewRoman" w:hAnsiTheme="minorHAnsi"/>
        </w:rPr>
        <w:t>ę</w:t>
      </w:r>
      <w:r w:rsidRPr="00651A3F">
        <w:rPr>
          <w:rFonts w:asciiTheme="minorHAnsi" w:hAnsiTheme="minorHAnsi"/>
        </w:rPr>
        <w:t>tki stalowe. Wła</w:t>
      </w:r>
      <w:r w:rsidRPr="00651A3F">
        <w:rPr>
          <w:rFonts w:asciiTheme="minorHAnsi" w:eastAsia="TimesNewRoman" w:hAnsiTheme="minorHAnsi"/>
        </w:rPr>
        <w:t>ś</w:t>
      </w:r>
      <w:r w:rsidRPr="00651A3F">
        <w:rPr>
          <w:rFonts w:asciiTheme="minorHAnsi" w:hAnsiTheme="minorHAnsi"/>
        </w:rPr>
        <w:t>ciwo</w:t>
      </w:r>
      <w:r w:rsidRPr="00651A3F">
        <w:rPr>
          <w:rFonts w:asciiTheme="minorHAnsi" w:eastAsia="TimesNewRoman" w:hAnsiTheme="minorHAnsi"/>
        </w:rPr>
        <w:t>ś</w:t>
      </w:r>
      <w:r w:rsidRPr="00651A3F">
        <w:rPr>
          <w:rFonts w:asciiTheme="minorHAnsi" w:hAnsiTheme="minorHAnsi"/>
        </w:rPr>
        <w:t xml:space="preserve">ci mechaniczne </w:t>
      </w:r>
      <w:r w:rsidRPr="00651A3F">
        <w:rPr>
          <w:rFonts w:asciiTheme="minorHAnsi" w:eastAsia="TimesNewRoman" w:hAnsiTheme="minorHAnsi"/>
        </w:rPr>
        <w:t>ś</w:t>
      </w:r>
      <w:r w:rsidRPr="00651A3F">
        <w:rPr>
          <w:rFonts w:asciiTheme="minorHAnsi" w:hAnsiTheme="minorHAnsi"/>
        </w:rPr>
        <w:t>rub  wkr</w:t>
      </w:r>
      <w:r w:rsidRPr="00651A3F">
        <w:rPr>
          <w:rFonts w:asciiTheme="minorHAnsi" w:eastAsia="TimesNewRoman" w:hAnsiTheme="minorHAnsi"/>
        </w:rPr>
        <w:t>ę</w:t>
      </w:r>
      <w:r w:rsidRPr="00651A3F">
        <w:rPr>
          <w:rFonts w:asciiTheme="minorHAnsi" w:hAnsiTheme="minorHAnsi"/>
        </w:rPr>
        <w:t>tów</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PN-ISO-8501-1 Przygotowanie podło</w:t>
      </w:r>
      <w:r w:rsidRPr="00651A3F">
        <w:rPr>
          <w:rFonts w:asciiTheme="minorHAnsi" w:eastAsia="TimesNewRoman" w:hAnsiTheme="minorHAnsi"/>
        </w:rPr>
        <w:t>ż</w:t>
      </w:r>
      <w:r w:rsidRPr="00651A3F">
        <w:rPr>
          <w:rFonts w:asciiTheme="minorHAnsi" w:hAnsiTheme="minorHAnsi"/>
        </w:rPr>
        <w:t>y stalowych przed nakładaniem farb i podobnych produktów. Stopnie skorodowania i stopnie przygotowania niezabezpieczonych podłoży stalowych oraz podłoży stalowych po całkowitym usuni</w:t>
      </w:r>
      <w:r w:rsidRPr="00651A3F">
        <w:rPr>
          <w:rFonts w:asciiTheme="minorHAnsi" w:eastAsia="TimesNewRoman" w:hAnsiTheme="minorHAnsi"/>
        </w:rPr>
        <w:t>ę</w:t>
      </w:r>
      <w:r w:rsidRPr="00651A3F">
        <w:rPr>
          <w:rFonts w:asciiTheme="minorHAnsi" w:hAnsiTheme="minorHAnsi"/>
        </w:rPr>
        <w:t>ciu wcze</w:t>
      </w:r>
      <w:r w:rsidRPr="00651A3F">
        <w:rPr>
          <w:rFonts w:asciiTheme="minorHAnsi" w:eastAsia="TimesNewRoman" w:hAnsiTheme="minorHAnsi"/>
        </w:rPr>
        <w:t>ś</w:t>
      </w:r>
      <w:r w:rsidRPr="00651A3F">
        <w:rPr>
          <w:rFonts w:asciiTheme="minorHAnsi" w:hAnsiTheme="minorHAnsi"/>
        </w:rPr>
        <w:t>niej nałożonych powłok</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BN-73/0658-01 Rury stalowe profilowe ci</w:t>
      </w:r>
      <w:r w:rsidRPr="00651A3F">
        <w:rPr>
          <w:rFonts w:asciiTheme="minorHAnsi" w:eastAsia="TimesNewRoman" w:hAnsiTheme="minorHAnsi"/>
        </w:rPr>
        <w:t>ą</w:t>
      </w:r>
      <w:r w:rsidRPr="00651A3F">
        <w:rPr>
          <w:rFonts w:asciiTheme="minorHAnsi" w:hAnsiTheme="minorHAnsi"/>
        </w:rPr>
        <w:t>gnione na zimno. Wymiary</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BN-89/1076-02 Ochrona przed korozj</w:t>
      </w:r>
      <w:r w:rsidRPr="00651A3F">
        <w:rPr>
          <w:rFonts w:asciiTheme="minorHAnsi" w:eastAsia="TimesNewRoman" w:hAnsiTheme="minorHAnsi"/>
        </w:rPr>
        <w:t>ą</w:t>
      </w:r>
      <w:r w:rsidRPr="00651A3F">
        <w:rPr>
          <w:rFonts w:asciiTheme="minorHAnsi" w:hAnsiTheme="minorHAnsi"/>
        </w:rPr>
        <w:t>. Powłoki metalizacyjne cynkowe i aluminiowe na konstrukcjach stalowych, staliwnych i żeliwnych. Wymagania i badania</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BN-88/6731-08 Cement. Transport i przechowywanie.</w:t>
      </w:r>
    </w:p>
    <w:p w:rsidR="004F5BEB" w:rsidRPr="00651A3F" w:rsidRDefault="004F5BEB" w:rsidP="00790883">
      <w:pPr>
        <w:numPr>
          <w:ilvl w:val="0"/>
          <w:numId w:val="52"/>
        </w:numPr>
        <w:overflowPunct/>
        <w:jc w:val="left"/>
        <w:textAlignment w:val="auto"/>
        <w:rPr>
          <w:rFonts w:asciiTheme="minorHAnsi" w:hAnsiTheme="minorHAnsi"/>
          <w:b/>
          <w:bCs/>
        </w:rPr>
      </w:pPr>
      <w:r w:rsidRPr="00651A3F">
        <w:rPr>
          <w:rFonts w:asciiTheme="minorHAnsi" w:hAnsiTheme="minorHAnsi"/>
        </w:rPr>
        <w:t>PN-91/M-98430 Spawalnictwo. Elektrody stalowe otulone do spawania i napawania</w:t>
      </w:r>
    </w:p>
    <w:p w:rsidR="004F5BEB" w:rsidRPr="00651A3F" w:rsidRDefault="004F5BEB" w:rsidP="004F5BEB">
      <w:pPr>
        <w:overflowPunct/>
        <w:jc w:val="left"/>
        <w:textAlignment w:val="auto"/>
        <w:rPr>
          <w:rFonts w:asciiTheme="minorHAnsi" w:hAnsiTheme="minorHAnsi"/>
        </w:rPr>
      </w:pPr>
    </w:p>
    <w:p w:rsidR="004F5BEB" w:rsidRPr="00651A3F" w:rsidRDefault="004F5BEB" w:rsidP="004F5BEB">
      <w:pPr>
        <w:pStyle w:val="Nagwek4"/>
        <w:rPr>
          <w:rFonts w:asciiTheme="minorHAnsi" w:hAnsiTheme="minorHAnsi"/>
        </w:rPr>
      </w:pPr>
      <w:r w:rsidRPr="00651A3F">
        <w:rPr>
          <w:rFonts w:asciiTheme="minorHAnsi" w:hAnsiTheme="minorHAnsi"/>
        </w:rPr>
        <w:t>10.2. Inne dokumenty</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Por</w:t>
      </w:r>
      <w:r w:rsidRPr="00651A3F">
        <w:rPr>
          <w:rFonts w:asciiTheme="minorHAnsi" w:eastAsia="TimesNewRoman" w:hAnsiTheme="minorHAnsi"/>
        </w:rPr>
        <w:t>ę</w:t>
      </w:r>
      <w:r w:rsidRPr="00651A3F">
        <w:rPr>
          <w:rFonts w:asciiTheme="minorHAnsi" w:hAnsiTheme="minorHAnsi"/>
        </w:rPr>
        <w:t>cze mostowe - Ministerstwo Komunikacji, Centralne Biuro Studiów i Projektów Dróg i Mostów Transprojekt - Warszawa, 1976.</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Katalog budownictwa, Karta KB 8-3.3 (5), listopad 1965.</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Leszek Mikołajków, „Urz</w:t>
      </w:r>
      <w:r w:rsidRPr="00651A3F">
        <w:rPr>
          <w:rFonts w:asciiTheme="minorHAnsi" w:eastAsia="TimesNewRoman" w:hAnsiTheme="minorHAnsi"/>
        </w:rPr>
        <w:t>ą</w:t>
      </w:r>
      <w:r w:rsidRPr="00651A3F">
        <w:rPr>
          <w:rFonts w:asciiTheme="minorHAnsi" w:hAnsiTheme="minorHAnsi"/>
        </w:rPr>
        <w:t>dzenia bezpiecze</w:t>
      </w:r>
      <w:r w:rsidRPr="00651A3F">
        <w:rPr>
          <w:rFonts w:asciiTheme="minorHAnsi" w:eastAsia="TimesNewRoman" w:hAnsiTheme="minorHAnsi"/>
        </w:rPr>
        <w:t>ń</w:t>
      </w:r>
      <w:r w:rsidRPr="00651A3F">
        <w:rPr>
          <w:rFonts w:asciiTheme="minorHAnsi" w:hAnsiTheme="minorHAnsi"/>
        </w:rPr>
        <w:t>stwa ruchu na obiektach mostowych”. Wydawnictwa Komunikacji i Ł</w:t>
      </w:r>
      <w:r w:rsidRPr="00651A3F">
        <w:rPr>
          <w:rFonts w:asciiTheme="minorHAnsi" w:eastAsia="TimesNewRoman" w:hAnsiTheme="minorHAnsi"/>
        </w:rPr>
        <w:t>ą</w:t>
      </w:r>
      <w:r w:rsidRPr="00651A3F">
        <w:rPr>
          <w:rFonts w:asciiTheme="minorHAnsi" w:hAnsiTheme="minorHAnsi"/>
        </w:rPr>
        <w:t>czno</w:t>
      </w:r>
      <w:r w:rsidRPr="00651A3F">
        <w:rPr>
          <w:rFonts w:asciiTheme="minorHAnsi" w:eastAsia="TimesNewRoman" w:hAnsiTheme="minorHAnsi"/>
        </w:rPr>
        <w:t>ś</w:t>
      </w:r>
      <w:r w:rsidRPr="00651A3F">
        <w:rPr>
          <w:rFonts w:asciiTheme="minorHAnsi" w:hAnsiTheme="minorHAnsi"/>
        </w:rPr>
        <w:t>ci, Warszawa 1988.</w:t>
      </w:r>
    </w:p>
    <w:p w:rsidR="004F5BEB" w:rsidRPr="00651A3F" w:rsidRDefault="004F5BEB" w:rsidP="00790883">
      <w:pPr>
        <w:numPr>
          <w:ilvl w:val="0"/>
          <w:numId w:val="52"/>
        </w:numPr>
        <w:overflowPunct/>
        <w:jc w:val="left"/>
        <w:textAlignment w:val="auto"/>
        <w:rPr>
          <w:rFonts w:asciiTheme="minorHAnsi" w:hAnsiTheme="minorHAnsi"/>
        </w:rPr>
      </w:pPr>
      <w:r w:rsidRPr="00651A3F">
        <w:rPr>
          <w:rFonts w:asciiTheme="minorHAnsi" w:hAnsiTheme="minorHAnsi"/>
        </w:rPr>
        <w:t>Rozporz</w:t>
      </w:r>
      <w:r w:rsidRPr="00651A3F">
        <w:rPr>
          <w:rFonts w:asciiTheme="minorHAnsi" w:eastAsia="TimesNewRoman" w:hAnsiTheme="minorHAnsi"/>
        </w:rPr>
        <w:t>ą</w:t>
      </w:r>
      <w:r w:rsidRPr="00651A3F">
        <w:rPr>
          <w:rFonts w:asciiTheme="minorHAnsi" w:hAnsiTheme="minorHAnsi"/>
        </w:rPr>
        <w:t>dzenie Ministra Infrastruktury z dnia 3 lipca 2003r w sprawie szczegółowych warunków technicznych dla znaków i sygnałów drogowych oraz urz</w:t>
      </w:r>
      <w:r w:rsidRPr="00651A3F">
        <w:rPr>
          <w:rFonts w:asciiTheme="minorHAnsi" w:eastAsia="TimesNewRoman" w:hAnsiTheme="minorHAnsi"/>
        </w:rPr>
        <w:t>ą</w:t>
      </w:r>
      <w:r w:rsidRPr="00651A3F">
        <w:rPr>
          <w:rFonts w:asciiTheme="minorHAnsi" w:hAnsiTheme="minorHAnsi"/>
        </w:rPr>
        <w:t>dze</w:t>
      </w:r>
      <w:r w:rsidRPr="00651A3F">
        <w:rPr>
          <w:rFonts w:asciiTheme="minorHAnsi" w:eastAsia="TimesNewRoman" w:hAnsiTheme="minorHAnsi"/>
        </w:rPr>
        <w:t xml:space="preserve">ń </w:t>
      </w:r>
      <w:r w:rsidRPr="00651A3F">
        <w:rPr>
          <w:rFonts w:asciiTheme="minorHAnsi" w:hAnsiTheme="minorHAnsi"/>
        </w:rPr>
        <w:t>bezpiecze</w:t>
      </w:r>
      <w:r w:rsidRPr="00651A3F">
        <w:rPr>
          <w:rFonts w:asciiTheme="minorHAnsi" w:eastAsia="TimesNewRoman" w:hAnsiTheme="minorHAnsi"/>
        </w:rPr>
        <w:t>ń</w:t>
      </w:r>
      <w:r w:rsidRPr="00651A3F">
        <w:rPr>
          <w:rFonts w:asciiTheme="minorHAnsi" w:hAnsiTheme="minorHAnsi"/>
        </w:rPr>
        <w:t>stwa ruchu i warunków ich umieszczania na drogach (Dz.U.nr 220 poz. 2181)</w:t>
      </w:r>
    </w:p>
    <w:p w:rsidR="004F5BEB" w:rsidRPr="008C309F" w:rsidRDefault="004F5BEB" w:rsidP="004F5BEB"/>
    <w:p w:rsidR="004F5BEB" w:rsidRPr="008C309F" w:rsidRDefault="004F5BEB" w:rsidP="004F5BEB">
      <w:pPr>
        <w:pStyle w:val="Nagwek2"/>
      </w:pPr>
      <w:r w:rsidRPr="008C309F">
        <w:lastRenderedPageBreak/>
        <w:t>SPECYFIKACJA TECHNICZNA WYKONANIA I ODBIORU ROBÓT BUDOWLANYCH</w:t>
      </w:r>
      <w:bookmarkEnd w:id="1145"/>
    </w:p>
    <w:p w:rsidR="004F5BEB" w:rsidRPr="008C309F" w:rsidRDefault="004F5BEB" w:rsidP="004F5BEB">
      <w:pPr>
        <w:pStyle w:val="Nagwek1"/>
      </w:pPr>
      <w:bookmarkStart w:id="1161" w:name="_Toc285044240"/>
      <w:bookmarkStart w:id="1162" w:name="_Toc377823419"/>
      <w:bookmarkStart w:id="1163" w:name="_Toc427178284"/>
      <w:bookmarkStart w:id="1164" w:name="_Toc459929677"/>
      <w:r w:rsidRPr="008C309F">
        <w:t>D - 08.01.01 KRAWĘŻNIKI BETONOWE</w:t>
      </w:r>
      <w:bookmarkEnd w:id="1161"/>
      <w:bookmarkEnd w:id="1162"/>
      <w:bookmarkEnd w:id="1163"/>
      <w:bookmarkEnd w:id="1164"/>
    </w:p>
    <w:p w:rsidR="004F5BEB" w:rsidRPr="00584330" w:rsidRDefault="004F5BEB" w:rsidP="004F5BEB">
      <w:pPr>
        <w:pStyle w:val="Nagwek3"/>
        <w:rPr>
          <w:rFonts w:asciiTheme="minorHAnsi" w:hAnsiTheme="minorHAnsi"/>
        </w:rPr>
      </w:pPr>
      <w:bookmarkStart w:id="1165" w:name="_Toc428759421"/>
      <w:r w:rsidRPr="00584330">
        <w:rPr>
          <w:rFonts w:asciiTheme="minorHAnsi" w:hAnsiTheme="minorHAnsi"/>
        </w:rPr>
        <w:t>1. WSTĘP</w:t>
      </w:r>
      <w:bookmarkEnd w:id="1165"/>
    </w:p>
    <w:p w:rsidR="004F5BEB" w:rsidRPr="00584330" w:rsidRDefault="004F5BEB" w:rsidP="004F5BEB">
      <w:pPr>
        <w:pStyle w:val="Nagwek4"/>
        <w:rPr>
          <w:rFonts w:asciiTheme="minorHAnsi" w:hAnsiTheme="minorHAnsi"/>
        </w:rPr>
      </w:pPr>
      <w:r w:rsidRPr="00584330">
        <w:rPr>
          <w:rFonts w:asciiTheme="minorHAnsi" w:hAnsiTheme="minorHAnsi"/>
        </w:rPr>
        <w:t>1.1. Przedmiot STWiORB</w:t>
      </w:r>
    </w:p>
    <w:p w:rsidR="004F5BEB" w:rsidRPr="00584330" w:rsidRDefault="004F5BEB" w:rsidP="004F5BEB">
      <w:pPr>
        <w:rPr>
          <w:rFonts w:asciiTheme="minorHAnsi" w:hAnsiTheme="minorHAnsi"/>
        </w:rPr>
      </w:pPr>
      <w:r w:rsidRPr="00584330">
        <w:rPr>
          <w:rFonts w:asciiTheme="minorHAnsi" w:hAnsiTheme="minorHAnsi"/>
        </w:rPr>
        <w:t>Przedmiotem niniejszej specyfikacji technicznej wykonania i odbioru robót budowlanych (STWiORB) są wymagania dotyczące wykonania i odbioru robót związanych z ustawieniem krawężników betonowych.</w:t>
      </w:r>
    </w:p>
    <w:p w:rsidR="004F5BEB" w:rsidRPr="00584330" w:rsidRDefault="004F5BEB" w:rsidP="004F5BEB">
      <w:pPr>
        <w:pStyle w:val="Nagwek4"/>
        <w:rPr>
          <w:rFonts w:asciiTheme="minorHAnsi" w:hAnsiTheme="minorHAnsi"/>
        </w:rPr>
      </w:pPr>
      <w:r w:rsidRPr="00584330">
        <w:rPr>
          <w:rFonts w:asciiTheme="minorHAnsi" w:hAnsiTheme="minorHAnsi"/>
        </w:rPr>
        <w:t>1.2. Zakres stosowania STWiORB</w:t>
      </w:r>
    </w:p>
    <w:p w:rsidR="00584330" w:rsidRPr="00584330" w:rsidRDefault="00584330" w:rsidP="00584330">
      <w:pPr>
        <w:rPr>
          <w:rFonts w:asciiTheme="minorHAnsi" w:hAnsiTheme="minorHAnsi" w:cs="Calibri"/>
        </w:rPr>
      </w:pPr>
      <w:r w:rsidRPr="00584330">
        <w:rPr>
          <w:rFonts w:asciiTheme="minorHAnsi" w:hAnsiTheme="minorHAnsi" w:cs="Calibri"/>
        </w:rPr>
        <w:t>Specyfikacja techniczna stanowi dokument przetargowy i kontra</w:t>
      </w:r>
      <w:r w:rsidR="00A07C50">
        <w:rPr>
          <w:rFonts w:asciiTheme="minorHAnsi" w:hAnsiTheme="minorHAnsi" w:cs="Calibri"/>
        </w:rPr>
        <w:t xml:space="preserve">ktowy przy realizacji  zadania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4F5BEB" w:rsidRPr="00584330" w:rsidRDefault="004F5BEB" w:rsidP="004F5BEB">
      <w:pPr>
        <w:rPr>
          <w:rFonts w:asciiTheme="minorHAnsi" w:hAnsiTheme="minorHAnsi"/>
        </w:rPr>
      </w:pPr>
    </w:p>
    <w:p w:rsidR="004F5BEB" w:rsidRPr="00584330" w:rsidRDefault="004F5BEB" w:rsidP="004F5BEB">
      <w:pPr>
        <w:pStyle w:val="Nagwek4"/>
        <w:rPr>
          <w:rFonts w:asciiTheme="minorHAnsi" w:hAnsiTheme="minorHAnsi"/>
        </w:rPr>
      </w:pPr>
      <w:r w:rsidRPr="00584330">
        <w:rPr>
          <w:rFonts w:asciiTheme="minorHAnsi" w:hAnsiTheme="minorHAnsi"/>
        </w:rPr>
        <w:t>1.3. Zakres robót objętych STWiORB</w:t>
      </w:r>
    </w:p>
    <w:p w:rsidR="004F5BEB" w:rsidRPr="00584330" w:rsidRDefault="004F5BEB" w:rsidP="004F5BEB">
      <w:pPr>
        <w:rPr>
          <w:rFonts w:asciiTheme="minorHAnsi" w:hAnsiTheme="minorHAnsi"/>
        </w:rPr>
      </w:pPr>
      <w:r w:rsidRPr="00584330">
        <w:rPr>
          <w:rFonts w:asciiTheme="minorHAnsi" w:hAnsiTheme="minorHAnsi"/>
        </w:rPr>
        <w:t>Ustalenia zawarte w niniejszej specyfikacji dotyczą zasad prowadzenia robót związanych z ustawieniem krawężników betonowych 20/30 na ławie betonowej z oporem,</w:t>
      </w:r>
    </w:p>
    <w:p w:rsidR="004F5BEB" w:rsidRPr="00584330" w:rsidRDefault="004F5BEB" w:rsidP="004F5BEB">
      <w:pPr>
        <w:pStyle w:val="Nagwek4"/>
        <w:rPr>
          <w:rFonts w:asciiTheme="minorHAnsi" w:hAnsiTheme="minorHAnsi"/>
        </w:rPr>
      </w:pPr>
      <w:r w:rsidRPr="00584330">
        <w:rPr>
          <w:rFonts w:asciiTheme="minorHAnsi" w:hAnsiTheme="minorHAnsi"/>
        </w:rPr>
        <w:t>1.4. Określenia podstawowe</w:t>
      </w:r>
    </w:p>
    <w:p w:rsidR="004F5BEB" w:rsidRPr="00584330" w:rsidRDefault="004F5BEB" w:rsidP="004F5BEB">
      <w:pPr>
        <w:numPr>
          <w:ilvl w:val="12"/>
          <w:numId w:val="0"/>
        </w:numPr>
        <w:rPr>
          <w:rFonts w:asciiTheme="minorHAnsi" w:hAnsiTheme="minorHAnsi"/>
        </w:rPr>
      </w:pPr>
      <w:r w:rsidRPr="00584330">
        <w:rPr>
          <w:rFonts w:asciiTheme="minorHAnsi" w:hAnsiTheme="minorHAnsi"/>
          <w:b/>
        </w:rPr>
        <w:t xml:space="preserve">1.4.1. </w:t>
      </w:r>
      <w:r w:rsidRPr="00584330">
        <w:rPr>
          <w:rFonts w:asciiTheme="minorHAnsi" w:hAnsiTheme="minorHAnsi"/>
        </w:rPr>
        <w:t>Krawężniki betonowe - prefabrykowane belki betonowe ograniczające chodniki dla pieszych, pasy dzielące, wyspy kierujące oraz nawierzchnie drogowe.</w:t>
      </w:r>
    </w:p>
    <w:p w:rsidR="004F5BEB" w:rsidRPr="00584330" w:rsidRDefault="004F5BEB" w:rsidP="004F5BEB">
      <w:pPr>
        <w:numPr>
          <w:ilvl w:val="12"/>
          <w:numId w:val="0"/>
        </w:numPr>
        <w:rPr>
          <w:rFonts w:asciiTheme="minorHAnsi" w:hAnsiTheme="minorHAnsi"/>
        </w:rPr>
      </w:pPr>
      <w:r w:rsidRPr="00584330">
        <w:rPr>
          <w:rFonts w:asciiTheme="minorHAnsi" w:hAnsiTheme="minorHAnsi"/>
          <w:b/>
        </w:rPr>
        <w:t xml:space="preserve">1.4.2. </w:t>
      </w:r>
      <w:r w:rsidRPr="00584330">
        <w:rPr>
          <w:rFonts w:asciiTheme="minorHAnsi" w:hAnsiTheme="minorHAnsi"/>
        </w:rPr>
        <w:t>Pozostałe określenia podstawowe są zgodne z obowiązującymi, odpowiednimi polskimi normami i z definicjami podanymi w STWiORB D-M-00.00.00 „Wymagania ogólne” pkt 1.4.</w:t>
      </w:r>
    </w:p>
    <w:p w:rsidR="004F5BEB" w:rsidRPr="00584330" w:rsidRDefault="004F5BEB" w:rsidP="004F5BEB">
      <w:pPr>
        <w:pStyle w:val="Nagwek4"/>
        <w:rPr>
          <w:rFonts w:asciiTheme="minorHAnsi" w:hAnsiTheme="minorHAnsi"/>
        </w:rPr>
      </w:pPr>
      <w:r w:rsidRPr="00584330">
        <w:rPr>
          <w:rFonts w:asciiTheme="minorHAnsi" w:hAnsiTheme="minorHAnsi"/>
        </w:rPr>
        <w:t>1.5. Ogólne wymagania dotyczące robót</w:t>
      </w:r>
    </w:p>
    <w:p w:rsidR="004F5BEB" w:rsidRPr="00584330" w:rsidRDefault="004F5BEB" w:rsidP="004F5BEB">
      <w:pPr>
        <w:numPr>
          <w:ilvl w:val="12"/>
          <w:numId w:val="0"/>
        </w:numPr>
        <w:rPr>
          <w:rFonts w:asciiTheme="minorHAnsi" w:hAnsiTheme="minorHAnsi"/>
        </w:rPr>
      </w:pPr>
      <w:r w:rsidRPr="00584330">
        <w:rPr>
          <w:rFonts w:asciiTheme="minorHAnsi" w:hAnsiTheme="minorHAnsi"/>
        </w:rPr>
        <w:t>Ogólne wymagania dotyczące robót podano w STWiORB D-M-00.00.00 „Wymagania ogólne” pkt 1.5.</w:t>
      </w:r>
    </w:p>
    <w:p w:rsidR="004F5BEB" w:rsidRPr="00584330" w:rsidRDefault="004F5BEB" w:rsidP="004F5BEB">
      <w:pPr>
        <w:pStyle w:val="Nagwek3"/>
        <w:rPr>
          <w:rFonts w:asciiTheme="minorHAnsi" w:hAnsiTheme="minorHAnsi"/>
        </w:rPr>
      </w:pPr>
      <w:bookmarkStart w:id="1166" w:name="_Toc428243643"/>
      <w:bookmarkStart w:id="1167" w:name="_Toc428323648"/>
      <w:bookmarkStart w:id="1168" w:name="_Toc428759422"/>
      <w:r w:rsidRPr="00584330">
        <w:rPr>
          <w:rFonts w:asciiTheme="minorHAnsi" w:hAnsiTheme="minorHAnsi"/>
        </w:rPr>
        <w:t>2. WYROBY BUDOWLANE I MATERIAŁY</w:t>
      </w:r>
      <w:bookmarkEnd w:id="1166"/>
      <w:bookmarkEnd w:id="1167"/>
      <w:bookmarkEnd w:id="1168"/>
    </w:p>
    <w:p w:rsidR="004F5BEB" w:rsidRPr="00584330" w:rsidRDefault="004F5BEB" w:rsidP="004F5BEB">
      <w:pPr>
        <w:pStyle w:val="Nagwek4"/>
        <w:rPr>
          <w:rFonts w:asciiTheme="minorHAnsi" w:hAnsiTheme="minorHAnsi"/>
        </w:rPr>
      </w:pPr>
      <w:r w:rsidRPr="00584330">
        <w:rPr>
          <w:rFonts w:asciiTheme="minorHAnsi" w:hAnsiTheme="minorHAnsi"/>
        </w:rPr>
        <w:t>2.1. Ogólne wymagania dotyczące wyrobów</w:t>
      </w:r>
    </w:p>
    <w:p w:rsidR="004F5BEB" w:rsidRPr="00584330" w:rsidRDefault="004F5BEB" w:rsidP="004F5BEB">
      <w:pPr>
        <w:numPr>
          <w:ilvl w:val="12"/>
          <w:numId w:val="0"/>
        </w:numPr>
        <w:rPr>
          <w:rFonts w:asciiTheme="minorHAnsi" w:hAnsiTheme="minorHAnsi"/>
        </w:rPr>
      </w:pPr>
      <w:r w:rsidRPr="00584330">
        <w:rPr>
          <w:rFonts w:asciiTheme="minorHAnsi" w:hAnsiTheme="minorHAnsi"/>
        </w:rPr>
        <w:t>Ogólne wymagania dotyczące wyrobów, ich pozyskiwania i składowania, podano w  STWiORB D-M-00.00.00 „Wymagania ogólne” pkt 2.</w:t>
      </w:r>
    </w:p>
    <w:p w:rsidR="004F5BEB" w:rsidRPr="00584330" w:rsidRDefault="004F5BEB" w:rsidP="004F5BEB">
      <w:pPr>
        <w:pStyle w:val="Nagwek4"/>
        <w:rPr>
          <w:rFonts w:asciiTheme="minorHAnsi" w:hAnsiTheme="minorHAnsi"/>
        </w:rPr>
      </w:pPr>
      <w:r w:rsidRPr="00584330">
        <w:rPr>
          <w:rFonts w:asciiTheme="minorHAnsi" w:hAnsiTheme="minorHAnsi"/>
        </w:rPr>
        <w:t>2.2. Stosowane wyroby</w:t>
      </w:r>
    </w:p>
    <w:p w:rsidR="004F5BEB" w:rsidRPr="00584330" w:rsidRDefault="004F5BEB" w:rsidP="004F5BEB">
      <w:pPr>
        <w:numPr>
          <w:ilvl w:val="12"/>
          <w:numId w:val="0"/>
        </w:numPr>
        <w:rPr>
          <w:rFonts w:asciiTheme="minorHAnsi" w:hAnsiTheme="minorHAnsi"/>
        </w:rPr>
      </w:pPr>
      <w:r w:rsidRPr="00584330">
        <w:rPr>
          <w:rFonts w:asciiTheme="minorHAnsi" w:hAnsiTheme="minorHAnsi"/>
        </w:rPr>
        <w:t>Wyrobami stosowanymi są:</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krawężniki betonowe,</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piasek na podsypkę i do zapraw,</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cement do podsypki i zapraw,</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woda,</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beton do wykonania ławy pod krawężniki.</w:t>
      </w:r>
    </w:p>
    <w:p w:rsidR="004F5BEB" w:rsidRPr="00584330" w:rsidRDefault="004F5BEB" w:rsidP="004F5BEB">
      <w:pPr>
        <w:pStyle w:val="Nagwek4"/>
        <w:rPr>
          <w:rFonts w:asciiTheme="minorHAnsi" w:hAnsiTheme="minorHAnsi"/>
        </w:rPr>
      </w:pPr>
      <w:r w:rsidRPr="00584330">
        <w:rPr>
          <w:rFonts w:asciiTheme="minorHAnsi" w:hAnsiTheme="minorHAnsi"/>
        </w:rPr>
        <w:t xml:space="preserve">2.3. Krawężniki betonowe </w:t>
      </w:r>
    </w:p>
    <w:p w:rsidR="004F5BEB" w:rsidRPr="00584330" w:rsidRDefault="004F5BEB" w:rsidP="004F5BEB">
      <w:pPr>
        <w:numPr>
          <w:ilvl w:val="12"/>
          <w:numId w:val="0"/>
        </w:numPr>
        <w:rPr>
          <w:rFonts w:asciiTheme="minorHAnsi" w:hAnsiTheme="minorHAnsi"/>
        </w:rPr>
      </w:pPr>
      <w:r w:rsidRPr="00584330">
        <w:rPr>
          <w:rFonts w:asciiTheme="minorHAnsi" w:hAnsiTheme="minorHAnsi"/>
        </w:rPr>
        <w:t xml:space="preserve">Krawężniki drogowe </w:t>
      </w:r>
      <w:r w:rsidR="00A07C50">
        <w:rPr>
          <w:rFonts w:asciiTheme="minorHAnsi" w:hAnsiTheme="minorHAnsi"/>
        </w:rPr>
        <w:t>15</w:t>
      </w:r>
      <w:r w:rsidRPr="00584330">
        <w:rPr>
          <w:rFonts w:asciiTheme="minorHAnsi" w:hAnsiTheme="minorHAnsi"/>
        </w:rPr>
        <w:t xml:space="preserve">/30/100, </w:t>
      </w:r>
      <w:r w:rsidR="00A07C50">
        <w:rPr>
          <w:rFonts w:asciiTheme="minorHAnsi" w:hAnsiTheme="minorHAnsi"/>
        </w:rPr>
        <w:t>15/22/100</w:t>
      </w:r>
      <w:r w:rsidRPr="00584330">
        <w:rPr>
          <w:rFonts w:asciiTheme="minorHAnsi" w:hAnsiTheme="minorHAnsi"/>
        </w:rPr>
        <w:t xml:space="preserve"> oraz krawężniki przejściowe winny odpowiadać wymaganiom PN-EN-1340:2004</w:t>
      </w:r>
    </w:p>
    <w:p w:rsidR="004F5BEB" w:rsidRPr="00584330" w:rsidRDefault="004F5BEB" w:rsidP="004F5BEB">
      <w:pPr>
        <w:numPr>
          <w:ilvl w:val="12"/>
          <w:numId w:val="0"/>
        </w:numPr>
        <w:rPr>
          <w:rFonts w:asciiTheme="minorHAnsi" w:hAnsiTheme="minorHAnsi"/>
        </w:rPr>
      </w:pPr>
      <w:r w:rsidRPr="00584330">
        <w:rPr>
          <w:rFonts w:asciiTheme="minorHAnsi" w:hAnsiTheme="minorHAnsi"/>
        </w:rPr>
        <w:t>Wymagania dla krawężników winny być następujące:</w:t>
      </w:r>
    </w:p>
    <w:p w:rsidR="004F5BEB" w:rsidRPr="00584330" w:rsidRDefault="004F5BEB" w:rsidP="004F5BEB">
      <w:pPr>
        <w:numPr>
          <w:ilvl w:val="12"/>
          <w:numId w:val="0"/>
        </w:numPr>
        <w:rPr>
          <w:rFonts w:asciiTheme="minorHAnsi" w:hAnsiTheme="minorHAnsi"/>
        </w:rPr>
      </w:pPr>
    </w:p>
    <w:p w:rsidR="004F5BEB" w:rsidRPr="00584330" w:rsidRDefault="004F5BEB" w:rsidP="004F5BEB">
      <w:pPr>
        <w:numPr>
          <w:ilvl w:val="12"/>
          <w:numId w:val="0"/>
        </w:numPr>
        <w:rPr>
          <w:rFonts w:asciiTheme="minorHAnsi" w:hAnsiTheme="minorHAnsi"/>
        </w:rPr>
      </w:pPr>
    </w:p>
    <w:p w:rsidR="004F5BEB" w:rsidRPr="00584330" w:rsidRDefault="004F5BEB" w:rsidP="004F5BEB">
      <w:pPr>
        <w:numPr>
          <w:ilvl w:val="12"/>
          <w:numId w:val="0"/>
        </w:numPr>
        <w:rPr>
          <w:rFonts w:asciiTheme="minorHAnsi" w:hAnsiTheme="minorHAnsi"/>
        </w:rPr>
      </w:pPr>
      <w:r w:rsidRPr="00584330">
        <w:rPr>
          <w:rFonts w:asciiTheme="minorHAnsi" w:hAnsiTheme="minorHAnsi"/>
        </w:rPr>
        <w:lastRenderedPageBreak/>
        <w:t>Tablica 1 Wymagania dla krawężników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2"/>
        <w:gridCol w:w="3570"/>
        <w:gridCol w:w="1002"/>
        <w:gridCol w:w="1440"/>
        <w:gridCol w:w="1447"/>
        <w:gridCol w:w="1451"/>
      </w:tblGrid>
      <w:tr w:rsidR="004F5BEB" w:rsidRPr="00584330" w:rsidTr="004F5BEB">
        <w:tc>
          <w:tcPr>
            <w:tcW w:w="67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Lp</w:t>
            </w:r>
          </w:p>
        </w:tc>
        <w:tc>
          <w:tcPr>
            <w:tcW w:w="3686"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Cecha</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Załącznik</w:t>
            </w:r>
          </w:p>
        </w:tc>
        <w:tc>
          <w:tcPr>
            <w:tcW w:w="4381" w:type="dxa"/>
            <w:gridSpan w:val="3"/>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Wymagania</w:t>
            </w:r>
          </w:p>
        </w:tc>
      </w:tr>
      <w:tr w:rsidR="004F5BEB" w:rsidRPr="00584330" w:rsidTr="004F5BEB">
        <w:tc>
          <w:tcPr>
            <w:tcW w:w="9747" w:type="dxa"/>
            <w:gridSpan w:val="6"/>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Kształt i wymiary</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1.1</w:t>
            </w:r>
          </w:p>
        </w:tc>
        <w:tc>
          <w:tcPr>
            <w:tcW w:w="3686"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Warto</w:t>
            </w:r>
            <w:r w:rsidRPr="00584330">
              <w:rPr>
                <w:rFonts w:asciiTheme="minorHAnsi" w:eastAsia="TimesNewRoman" w:hAnsiTheme="minorHAnsi"/>
              </w:rPr>
              <w:t>ś</w:t>
            </w:r>
            <w:r w:rsidRPr="00584330">
              <w:rPr>
                <w:rFonts w:asciiTheme="minorHAnsi" w:hAnsiTheme="minorHAnsi"/>
              </w:rPr>
              <w:t>ci dopuszczalnych odchyłek</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od wymiarów nominalnych, z dokładno</w:t>
            </w:r>
            <w:r w:rsidRPr="00584330">
              <w:rPr>
                <w:rFonts w:asciiTheme="minorHAnsi" w:eastAsia="TimesNewRoman" w:hAnsiTheme="minorHAnsi"/>
              </w:rPr>
              <w:t>ś</w:t>
            </w:r>
            <w:r w:rsidRPr="00584330">
              <w:rPr>
                <w:rFonts w:asciiTheme="minorHAnsi" w:hAnsiTheme="minorHAnsi"/>
              </w:rPr>
              <w:t>ci</w:t>
            </w:r>
            <w:r w:rsidRPr="00584330">
              <w:rPr>
                <w:rFonts w:asciiTheme="minorHAnsi" w:eastAsia="TimesNewRoman" w:hAnsiTheme="minorHAnsi"/>
              </w:rPr>
              <w:t xml:space="preserve">ą </w:t>
            </w:r>
            <w:r w:rsidRPr="00584330">
              <w:rPr>
                <w:rFonts w:asciiTheme="minorHAnsi" w:hAnsiTheme="minorHAnsi"/>
              </w:rPr>
              <w:t>do milimetra</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C</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Długo</w:t>
            </w:r>
            <w:r w:rsidRPr="00584330">
              <w:rPr>
                <w:rFonts w:asciiTheme="minorHAnsi" w:eastAsia="TimesNewRoman" w:hAnsiTheme="minorHAnsi"/>
              </w:rPr>
              <w:t>ść</w:t>
            </w:r>
            <w:r w:rsidRPr="00584330">
              <w:rPr>
                <w:rFonts w:asciiTheme="minorHAnsi" w:hAnsiTheme="minorHAnsi"/>
              </w:rPr>
              <w:t xml:space="preserve">: ± 1%, </w:t>
            </w:r>
            <w:r w:rsidRPr="00584330">
              <w:rPr>
                <w:rFonts w:asciiTheme="minorHAnsi" w:eastAsia="TimesNewRoman" w:hAnsiTheme="minorHAnsi"/>
              </w:rPr>
              <w:t xml:space="preserve">≤ </w:t>
            </w:r>
            <w:r w:rsidRPr="00584330">
              <w:rPr>
                <w:rFonts w:asciiTheme="minorHAnsi" w:hAnsiTheme="minorHAnsi"/>
              </w:rPr>
              <w:t>10 mm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Inne wymiary z wyj</w:t>
            </w:r>
            <w:r w:rsidRPr="00584330">
              <w:rPr>
                <w:rFonts w:asciiTheme="minorHAnsi" w:eastAsia="TimesNewRoman" w:hAnsiTheme="minorHAnsi"/>
              </w:rPr>
              <w:t>ą</w:t>
            </w:r>
            <w:r w:rsidRPr="00584330">
              <w:rPr>
                <w:rFonts w:asciiTheme="minorHAnsi" w:hAnsiTheme="minorHAnsi"/>
              </w:rPr>
              <w:t>tkiem promienia:</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xml:space="preserve">- dla powierzchni: ± 3%, </w:t>
            </w:r>
            <w:r w:rsidRPr="00584330">
              <w:rPr>
                <w:rFonts w:asciiTheme="minorHAnsi" w:eastAsia="TimesNewRoman" w:hAnsiTheme="minorHAnsi"/>
              </w:rPr>
              <w:t xml:space="preserve">≤ </w:t>
            </w:r>
            <w:r w:rsidRPr="00584330">
              <w:rPr>
                <w:rFonts w:asciiTheme="minorHAnsi" w:hAnsiTheme="minorHAnsi"/>
              </w:rPr>
              <w:t>5 mm,</w:t>
            </w:r>
          </w:p>
          <w:p w:rsidR="004F5BEB" w:rsidRPr="00584330" w:rsidRDefault="004F5BEB" w:rsidP="004F5BEB">
            <w:pPr>
              <w:numPr>
                <w:ilvl w:val="12"/>
                <w:numId w:val="0"/>
              </w:numPr>
              <w:rPr>
                <w:rFonts w:asciiTheme="minorHAnsi" w:hAnsiTheme="minorHAnsi"/>
              </w:rPr>
            </w:pPr>
            <w:r w:rsidRPr="00584330">
              <w:rPr>
                <w:rFonts w:asciiTheme="minorHAnsi" w:hAnsiTheme="minorHAnsi"/>
              </w:rPr>
              <w:t>- dla innych cz</w:t>
            </w:r>
            <w:r w:rsidRPr="00584330">
              <w:rPr>
                <w:rFonts w:asciiTheme="minorHAnsi" w:eastAsia="TimesNewRoman" w:hAnsiTheme="minorHAnsi"/>
              </w:rPr>
              <w:t>ęś</w:t>
            </w:r>
            <w:r w:rsidRPr="00584330">
              <w:rPr>
                <w:rFonts w:asciiTheme="minorHAnsi" w:hAnsiTheme="minorHAnsi"/>
              </w:rPr>
              <w:t xml:space="preserve">ci: ± 5%, </w:t>
            </w:r>
            <w:r w:rsidRPr="00584330">
              <w:rPr>
                <w:rFonts w:asciiTheme="minorHAnsi" w:eastAsia="TimesNewRoman" w:hAnsiTheme="minorHAnsi"/>
              </w:rPr>
              <w:t xml:space="preserve">≤ </w:t>
            </w:r>
            <w:r w:rsidRPr="00584330">
              <w:rPr>
                <w:rFonts w:asciiTheme="minorHAnsi" w:hAnsiTheme="minorHAnsi"/>
              </w:rPr>
              <w:t>10 mm</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1.2</w:t>
            </w:r>
          </w:p>
        </w:tc>
        <w:tc>
          <w:tcPr>
            <w:tcW w:w="3686"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Dopuszczalne odchyłki od płasko</w:t>
            </w:r>
            <w:r w:rsidRPr="00584330">
              <w:rPr>
                <w:rFonts w:asciiTheme="minorHAnsi" w:eastAsia="TimesNewRoman" w:hAnsiTheme="minorHAnsi"/>
              </w:rPr>
              <w:t>ś</w:t>
            </w:r>
            <w:r w:rsidRPr="00584330">
              <w:rPr>
                <w:rFonts w:asciiTheme="minorHAnsi" w:hAnsiTheme="minorHAnsi"/>
              </w:rPr>
              <w:t>ci i prostoliniowo</w:t>
            </w:r>
            <w:r w:rsidRPr="00584330">
              <w:rPr>
                <w:rFonts w:asciiTheme="minorHAnsi" w:eastAsia="TimesNewRoman" w:hAnsiTheme="minorHAnsi"/>
              </w:rPr>
              <w:t>ś</w:t>
            </w:r>
            <w:r w:rsidRPr="00584330">
              <w:rPr>
                <w:rFonts w:asciiTheme="minorHAnsi" w:hAnsiTheme="minorHAnsi"/>
              </w:rPr>
              <w:t>ci, dla długo</w:t>
            </w:r>
            <w:r w:rsidRPr="00584330">
              <w:rPr>
                <w:rFonts w:asciiTheme="minorHAnsi" w:eastAsia="TimesNewRoman" w:hAnsiTheme="minorHAnsi"/>
              </w:rPr>
              <w:t>ś</w:t>
            </w:r>
            <w:r w:rsidRPr="00584330">
              <w:rPr>
                <w:rFonts w:asciiTheme="minorHAnsi" w:hAnsiTheme="minorHAnsi"/>
              </w:rPr>
              <w:t>ci pomiarowej</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300 mm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400 mm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500 mm</w:t>
            </w:r>
          </w:p>
          <w:p w:rsidR="004F5BEB" w:rsidRPr="00584330" w:rsidRDefault="004F5BEB" w:rsidP="004F5BEB">
            <w:pPr>
              <w:numPr>
                <w:ilvl w:val="12"/>
                <w:numId w:val="0"/>
              </w:numPr>
              <w:rPr>
                <w:rFonts w:asciiTheme="minorHAnsi" w:hAnsiTheme="minorHAnsi"/>
              </w:rPr>
            </w:pPr>
            <w:r w:rsidRPr="00584330">
              <w:rPr>
                <w:rFonts w:asciiTheme="minorHAnsi" w:hAnsiTheme="minorHAnsi"/>
              </w:rPr>
              <w:t>800 mm</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C</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p>
          <w:p w:rsidR="004F5BEB" w:rsidRPr="00584330" w:rsidRDefault="004F5BEB" w:rsidP="004F5BEB">
            <w:pPr>
              <w:overflowPunct/>
              <w:jc w:val="left"/>
              <w:textAlignment w:val="auto"/>
              <w:rPr>
                <w:rFonts w:asciiTheme="minorHAnsi" w:hAnsiTheme="minorHAnsi"/>
              </w:rPr>
            </w:pP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1,5 mm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2,0 mm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2,5 mm</w:t>
            </w:r>
          </w:p>
          <w:p w:rsidR="004F5BEB" w:rsidRPr="00584330" w:rsidRDefault="004F5BEB" w:rsidP="004F5BEB">
            <w:pPr>
              <w:numPr>
                <w:ilvl w:val="12"/>
                <w:numId w:val="0"/>
              </w:numPr>
              <w:rPr>
                <w:rFonts w:asciiTheme="minorHAnsi" w:hAnsiTheme="minorHAnsi"/>
              </w:rPr>
            </w:pPr>
            <w:r w:rsidRPr="00584330">
              <w:rPr>
                <w:rFonts w:asciiTheme="minorHAnsi" w:hAnsiTheme="minorHAnsi"/>
              </w:rPr>
              <w:t>± 4,0 mm</w:t>
            </w:r>
          </w:p>
        </w:tc>
      </w:tr>
      <w:tr w:rsidR="004F5BEB" w:rsidRPr="00584330" w:rsidTr="004F5BEB">
        <w:tc>
          <w:tcPr>
            <w:tcW w:w="9747" w:type="dxa"/>
            <w:gridSpan w:val="6"/>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Wła</w:t>
            </w:r>
            <w:r w:rsidRPr="00584330">
              <w:rPr>
                <w:rFonts w:asciiTheme="minorHAnsi" w:eastAsia="TimesNewRoman" w:hAnsiTheme="minorHAnsi"/>
              </w:rPr>
              <w:t>ś</w:t>
            </w:r>
            <w:r w:rsidRPr="00584330">
              <w:rPr>
                <w:rFonts w:asciiTheme="minorHAnsi" w:hAnsiTheme="minorHAnsi"/>
              </w:rPr>
              <w:t>ciwo</w:t>
            </w:r>
            <w:r w:rsidRPr="00584330">
              <w:rPr>
                <w:rFonts w:asciiTheme="minorHAnsi" w:eastAsia="TimesNewRoman" w:hAnsiTheme="minorHAnsi"/>
              </w:rPr>
              <w:t>ś</w:t>
            </w:r>
            <w:r w:rsidRPr="00584330">
              <w:rPr>
                <w:rFonts w:asciiTheme="minorHAnsi" w:hAnsiTheme="minorHAnsi"/>
              </w:rPr>
              <w:t>ci fizyczne i mechaniczne</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2.1</w:t>
            </w:r>
          </w:p>
        </w:tc>
        <w:tc>
          <w:tcPr>
            <w:tcW w:w="3686"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Odporno</w:t>
            </w:r>
            <w:r w:rsidRPr="00584330">
              <w:rPr>
                <w:rFonts w:asciiTheme="minorHAnsi" w:eastAsia="TimesNewRoman" w:hAnsiTheme="minorHAnsi"/>
              </w:rPr>
              <w:t xml:space="preserve">ść </w:t>
            </w:r>
            <w:r w:rsidRPr="00584330">
              <w:rPr>
                <w:rFonts w:asciiTheme="minorHAnsi" w:hAnsiTheme="minorHAnsi"/>
              </w:rPr>
              <w:t>na zamrażanie/ rozmrażanie z udziałem soli odladzaj</w:t>
            </w:r>
            <w:r w:rsidRPr="00584330">
              <w:rPr>
                <w:rFonts w:asciiTheme="minorHAnsi" w:eastAsia="TimesNewRoman" w:hAnsiTheme="minorHAnsi"/>
              </w:rPr>
              <w:t>ą</w:t>
            </w:r>
            <w:r w:rsidRPr="00584330">
              <w:rPr>
                <w:rFonts w:asciiTheme="minorHAnsi" w:hAnsiTheme="minorHAnsi"/>
              </w:rPr>
              <w:t>cych</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D</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Ubytek masy po badaniu: warto</w:t>
            </w:r>
            <w:r w:rsidRPr="00584330">
              <w:rPr>
                <w:rFonts w:asciiTheme="minorHAnsi" w:eastAsia="TimesNewRoman" w:hAnsiTheme="minorHAnsi"/>
              </w:rPr>
              <w:t>ść ś</w:t>
            </w:r>
            <w:r w:rsidRPr="00584330">
              <w:rPr>
                <w:rFonts w:asciiTheme="minorHAnsi" w:hAnsiTheme="minorHAnsi"/>
              </w:rPr>
              <w:t xml:space="preserve">rednia </w:t>
            </w:r>
            <w:r w:rsidRPr="00584330">
              <w:rPr>
                <w:rFonts w:asciiTheme="minorHAnsi" w:eastAsia="TimesNewRoman" w:hAnsiTheme="minorHAnsi"/>
              </w:rPr>
              <w:t xml:space="preserve">≤ </w:t>
            </w:r>
            <w:r w:rsidRPr="00584330">
              <w:rPr>
                <w:rFonts w:asciiTheme="minorHAnsi" w:hAnsiTheme="minorHAnsi"/>
              </w:rPr>
              <w:t>1,0 kg/m2, przy czym każdy pojedynczy wynik &lt; 1,5 kg/m2</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2.2</w:t>
            </w:r>
          </w:p>
        </w:tc>
        <w:tc>
          <w:tcPr>
            <w:tcW w:w="3686"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Wytrzymało</w:t>
            </w:r>
            <w:r w:rsidRPr="00584330">
              <w:rPr>
                <w:rFonts w:asciiTheme="minorHAnsi" w:eastAsia="TimesNewRoman" w:hAnsiTheme="minorHAnsi"/>
              </w:rPr>
              <w:t xml:space="preserve">ść </w:t>
            </w:r>
            <w:r w:rsidRPr="00584330">
              <w:rPr>
                <w:rFonts w:asciiTheme="minorHAnsi" w:hAnsiTheme="minorHAnsi"/>
              </w:rPr>
              <w:t>na zginanie</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F</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Klasa        Charakterystyczna    Każdy pojedynczy</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wytrz.       wytrzymało</w:t>
            </w:r>
            <w:r w:rsidRPr="00584330">
              <w:rPr>
                <w:rFonts w:asciiTheme="minorHAnsi" w:eastAsia="TimesNewRoman" w:hAnsiTheme="minorHAnsi"/>
              </w:rPr>
              <w:t>ść</w:t>
            </w:r>
            <w:r w:rsidRPr="00584330">
              <w:rPr>
                <w:rFonts w:asciiTheme="minorHAnsi" w:hAnsiTheme="minorHAnsi"/>
              </w:rPr>
              <w:t>, MPa     wynik, MPa</w:t>
            </w:r>
          </w:p>
          <w:p w:rsidR="004F5BEB" w:rsidRPr="00584330" w:rsidRDefault="004F5BEB" w:rsidP="004F5BEB">
            <w:pPr>
              <w:numPr>
                <w:ilvl w:val="12"/>
                <w:numId w:val="0"/>
              </w:numPr>
              <w:rPr>
                <w:rFonts w:asciiTheme="minorHAnsi" w:hAnsiTheme="minorHAnsi"/>
              </w:rPr>
            </w:pPr>
            <w:r w:rsidRPr="00584330">
              <w:rPr>
                <w:rFonts w:asciiTheme="minorHAnsi" w:hAnsiTheme="minorHAnsi"/>
              </w:rPr>
              <w:t xml:space="preserve">   2                      5,0                         &gt; 4,0</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2.3</w:t>
            </w:r>
          </w:p>
        </w:tc>
        <w:tc>
          <w:tcPr>
            <w:tcW w:w="3686"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Trwało</w:t>
            </w:r>
            <w:r w:rsidRPr="00584330">
              <w:rPr>
                <w:rFonts w:asciiTheme="minorHAnsi" w:eastAsia="TimesNewRoman" w:hAnsiTheme="minorHAnsi"/>
              </w:rPr>
              <w:t xml:space="preserve">ść </w:t>
            </w:r>
            <w:r w:rsidRPr="00584330">
              <w:rPr>
                <w:rFonts w:asciiTheme="minorHAnsi" w:hAnsiTheme="minorHAnsi"/>
              </w:rPr>
              <w:t>ze wzgl</w:t>
            </w:r>
            <w:r w:rsidRPr="00584330">
              <w:rPr>
                <w:rFonts w:asciiTheme="minorHAnsi" w:eastAsia="TimesNewRoman" w:hAnsiTheme="minorHAnsi"/>
              </w:rPr>
              <w:t>ę</w:t>
            </w:r>
            <w:r w:rsidRPr="00584330">
              <w:rPr>
                <w:rFonts w:asciiTheme="minorHAnsi" w:hAnsiTheme="minorHAnsi"/>
              </w:rPr>
              <w:t>du na wytrzymało</w:t>
            </w:r>
            <w:r w:rsidRPr="00584330">
              <w:rPr>
                <w:rFonts w:asciiTheme="minorHAnsi" w:eastAsia="TimesNewRoman" w:hAnsiTheme="minorHAnsi"/>
              </w:rPr>
              <w:t>ść</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F</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Kraw</w:t>
            </w:r>
            <w:r w:rsidRPr="00584330">
              <w:rPr>
                <w:rFonts w:asciiTheme="minorHAnsi" w:eastAsia="TimesNewRoman" w:hAnsiTheme="minorHAnsi"/>
              </w:rPr>
              <w:t>ęż</w:t>
            </w:r>
            <w:r w:rsidRPr="00584330">
              <w:rPr>
                <w:rFonts w:asciiTheme="minorHAnsi" w:hAnsiTheme="minorHAnsi"/>
              </w:rPr>
              <w:t>niki maj</w:t>
            </w:r>
            <w:r w:rsidRPr="00584330">
              <w:rPr>
                <w:rFonts w:asciiTheme="minorHAnsi" w:eastAsia="TimesNewRoman" w:hAnsiTheme="minorHAnsi"/>
              </w:rPr>
              <w:t xml:space="preserve">ą </w:t>
            </w:r>
            <w:r w:rsidRPr="00584330">
              <w:rPr>
                <w:rFonts w:asciiTheme="minorHAnsi" w:hAnsiTheme="minorHAnsi"/>
              </w:rPr>
              <w:t>zadawalaj</w:t>
            </w:r>
            <w:r w:rsidRPr="00584330">
              <w:rPr>
                <w:rFonts w:asciiTheme="minorHAnsi" w:eastAsia="TimesNewRoman" w:hAnsiTheme="minorHAnsi"/>
              </w:rPr>
              <w:t>ą</w:t>
            </w:r>
            <w:r w:rsidRPr="00584330">
              <w:rPr>
                <w:rFonts w:asciiTheme="minorHAnsi" w:hAnsiTheme="minorHAnsi"/>
              </w:rPr>
              <w:t>c</w:t>
            </w:r>
            <w:r w:rsidRPr="00584330">
              <w:rPr>
                <w:rFonts w:asciiTheme="minorHAnsi" w:eastAsia="TimesNewRoman" w:hAnsiTheme="minorHAnsi"/>
              </w:rPr>
              <w:t xml:space="preserve">ą </w:t>
            </w:r>
            <w:r w:rsidRPr="00584330">
              <w:rPr>
                <w:rFonts w:asciiTheme="minorHAnsi" w:hAnsiTheme="minorHAnsi"/>
              </w:rPr>
              <w:t>trwało</w:t>
            </w:r>
            <w:r w:rsidRPr="00584330">
              <w:rPr>
                <w:rFonts w:asciiTheme="minorHAnsi" w:eastAsia="TimesNewRoman" w:hAnsiTheme="minorHAnsi"/>
              </w:rPr>
              <w:t>ść (</w:t>
            </w:r>
            <w:r w:rsidRPr="00584330">
              <w:rPr>
                <w:rFonts w:asciiTheme="minorHAnsi" w:hAnsiTheme="minorHAnsi"/>
              </w:rPr>
              <w:t>wytrzymało</w:t>
            </w:r>
            <w:r w:rsidRPr="00584330">
              <w:rPr>
                <w:rFonts w:asciiTheme="minorHAnsi" w:eastAsia="TimesNewRoman" w:hAnsiTheme="minorHAnsi"/>
              </w:rPr>
              <w:t>ść</w:t>
            </w:r>
            <w:r w:rsidRPr="00584330">
              <w:rPr>
                <w:rFonts w:asciiTheme="minorHAnsi" w:hAnsiTheme="minorHAnsi"/>
              </w:rPr>
              <w:t>) je</w:t>
            </w:r>
            <w:r w:rsidRPr="00584330">
              <w:rPr>
                <w:rFonts w:asciiTheme="minorHAnsi" w:eastAsia="TimesNewRoman" w:hAnsiTheme="minorHAnsi"/>
              </w:rPr>
              <w:t>ś</w:t>
            </w:r>
            <w:r w:rsidRPr="00584330">
              <w:rPr>
                <w:rFonts w:asciiTheme="minorHAnsi" w:hAnsiTheme="minorHAnsi"/>
              </w:rPr>
              <w:t>li spełnione s</w:t>
            </w:r>
            <w:r w:rsidRPr="00584330">
              <w:rPr>
                <w:rFonts w:asciiTheme="minorHAnsi" w:eastAsia="TimesNewRoman" w:hAnsiTheme="minorHAnsi"/>
              </w:rPr>
              <w:t xml:space="preserve">ą </w:t>
            </w:r>
            <w:r w:rsidRPr="00584330">
              <w:rPr>
                <w:rFonts w:asciiTheme="minorHAnsi" w:hAnsiTheme="minorHAnsi"/>
              </w:rPr>
              <w:t>wymagania pktu 2.2 oraz poddawane s</w:t>
            </w:r>
            <w:r w:rsidRPr="00584330">
              <w:rPr>
                <w:rFonts w:asciiTheme="minorHAnsi" w:eastAsia="TimesNewRoman" w:hAnsiTheme="minorHAnsi"/>
              </w:rPr>
              <w:t xml:space="preserve">ą </w:t>
            </w:r>
            <w:r w:rsidRPr="00584330">
              <w:rPr>
                <w:rFonts w:asciiTheme="minorHAnsi" w:hAnsiTheme="minorHAnsi"/>
              </w:rPr>
              <w:t>normalnej konserwacji</w:t>
            </w:r>
          </w:p>
        </w:tc>
      </w:tr>
      <w:tr w:rsidR="004F5BEB" w:rsidRPr="00584330" w:rsidTr="004F5BEB">
        <w:trPr>
          <w:trHeight w:val="104"/>
        </w:trPr>
        <w:tc>
          <w:tcPr>
            <w:tcW w:w="675" w:type="dxa"/>
            <w:vMerge w:val="restart"/>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2.4</w:t>
            </w:r>
          </w:p>
        </w:tc>
        <w:tc>
          <w:tcPr>
            <w:tcW w:w="3686" w:type="dxa"/>
            <w:vMerge w:val="restart"/>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Odporno</w:t>
            </w:r>
            <w:r w:rsidRPr="00584330">
              <w:rPr>
                <w:rFonts w:asciiTheme="minorHAnsi" w:eastAsia="TimesNewRoman" w:hAnsiTheme="minorHAnsi"/>
              </w:rPr>
              <w:t xml:space="preserve">ść </w:t>
            </w:r>
            <w:r w:rsidRPr="00584330">
              <w:rPr>
                <w:rFonts w:asciiTheme="minorHAnsi" w:hAnsiTheme="minorHAnsi"/>
              </w:rPr>
              <w:t xml:space="preserve">na </w:t>
            </w:r>
            <w:r w:rsidRPr="00584330">
              <w:rPr>
                <w:rFonts w:asciiTheme="minorHAnsi" w:eastAsia="TimesNewRoman" w:hAnsiTheme="minorHAnsi"/>
              </w:rPr>
              <w:t>ś</w:t>
            </w:r>
            <w:r w:rsidRPr="00584330">
              <w:rPr>
                <w:rFonts w:asciiTheme="minorHAnsi" w:hAnsiTheme="minorHAnsi"/>
              </w:rPr>
              <w:t>cieranie (Klasa odporno</w:t>
            </w:r>
            <w:r w:rsidRPr="00584330">
              <w:rPr>
                <w:rFonts w:asciiTheme="minorHAnsi" w:eastAsia="TimesNewRoman" w:hAnsiTheme="minorHAnsi"/>
              </w:rPr>
              <w:t>ś</w:t>
            </w:r>
            <w:r w:rsidRPr="00584330">
              <w:rPr>
                <w:rFonts w:asciiTheme="minorHAnsi" w:hAnsiTheme="minorHAnsi"/>
              </w:rPr>
              <w:t>ci ustalona przez Inżyniera)</w:t>
            </w:r>
          </w:p>
        </w:tc>
        <w:tc>
          <w:tcPr>
            <w:tcW w:w="1005" w:type="dxa"/>
            <w:vMerge w:val="restart"/>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G i H</w:t>
            </w:r>
          </w:p>
        </w:tc>
        <w:tc>
          <w:tcPr>
            <w:tcW w:w="1460" w:type="dxa"/>
            <w:vMerge w:val="restart"/>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Klasa</w:t>
            </w:r>
          </w:p>
          <w:p w:rsidR="004F5BEB" w:rsidRPr="00584330" w:rsidRDefault="004F5BEB" w:rsidP="004F5BEB">
            <w:pPr>
              <w:numPr>
                <w:ilvl w:val="12"/>
                <w:numId w:val="0"/>
              </w:numPr>
              <w:rPr>
                <w:rFonts w:asciiTheme="minorHAnsi" w:hAnsiTheme="minorHAnsi"/>
              </w:rPr>
            </w:pPr>
            <w:r w:rsidRPr="00584330">
              <w:rPr>
                <w:rFonts w:asciiTheme="minorHAnsi" w:hAnsiTheme="minorHAnsi"/>
              </w:rPr>
              <w:t>Odporno</w:t>
            </w:r>
            <w:r w:rsidRPr="00584330">
              <w:rPr>
                <w:rFonts w:asciiTheme="minorHAnsi" w:eastAsia="TimesNewRoman" w:hAnsiTheme="minorHAnsi"/>
              </w:rPr>
              <w:t>ś</w:t>
            </w:r>
            <w:r w:rsidRPr="00584330">
              <w:rPr>
                <w:rFonts w:asciiTheme="minorHAnsi" w:hAnsiTheme="minorHAnsi"/>
              </w:rPr>
              <w:t>ci</w:t>
            </w:r>
          </w:p>
        </w:tc>
        <w:tc>
          <w:tcPr>
            <w:tcW w:w="2921" w:type="dxa"/>
            <w:gridSpan w:val="2"/>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Odporno</w:t>
            </w:r>
            <w:r w:rsidRPr="00584330">
              <w:rPr>
                <w:rFonts w:asciiTheme="minorHAnsi" w:eastAsia="TimesNewRoman" w:hAnsiTheme="minorHAnsi"/>
              </w:rPr>
              <w:t xml:space="preserve">ść </w:t>
            </w:r>
            <w:r w:rsidRPr="00584330">
              <w:rPr>
                <w:rFonts w:asciiTheme="minorHAnsi" w:hAnsiTheme="minorHAnsi"/>
              </w:rPr>
              <w:t>przy pomiarze na tarczy</w:t>
            </w:r>
          </w:p>
        </w:tc>
      </w:tr>
      <w:tr w:rsidR="004F5BEB" w:rsidRPr="00584330" w:rsidTr="004F5BEB">
        <w:trPr>
          <w:trHeight w:val="103"/>
        </w:trPr>
        <w:tc>
          <w:tcPr>
            <w:tcW w:w="675" w:type="dxa"/>
            <w:vMerge/>
            <w:shd w:val="clear" w:color="auto" w:fill="auto"/>
          </w:tcPr>
          <w:p w:rsidR="004F5BEB" w:rsidRPr="00584330" w:rsidRDefault="004F5BEB" w:rsidP="004F5BEB">
            <w:pPr>
              <w:numPr>
                <w:ilvl w:val="12"/>
                <w:numId w:val="0"/>
              </w:numPr>
              <w:rPr>
                <w:rFonts w:asciiTheme="minorHAnsi" w:hAnsiTheme="minorHAnsi"/>
              </w:rPr>
            </w:pPr>
          </w:p>
        </w:tc>
        <w:tc>
          <w:tcPr>
            <w:tcW w:w="3686" w:type="dxa"/>
            <w:vMerge/>
            <w:shd w:val="clear" w:color="auto" w:fill="auto"/>
          </w:tcPr>
          <w:p w:rsidR="004F5BEB" w:rsidRPr="00584330" w:rsidRDefault="004F5BEB" w:rsidP="004F5BEB">
            <w:pPr>
              <w:overflowPunct/>
              <w:jc w:val="left"/>
              <w:textAlignment w:val="auto"/>
              <w:rPr>
                <w:rFonts w:asciiTheme="minorHAnsi" w:hAnsiTheme="minorHAnsi"/>
              </w:rPr>
            </w:pPr>
          </w:p>
        </w:tc>
        <w:tc>
          <w:tcPr>
            <w:tcW w:w="1005" w:type="dxa"/>
            <w:vMerge/>
            <w:shd w:val="clear" w:color="auto" w:fill="auto"/>
          </w:tcPr>
          <w:p w:rsidR="004F5BEB" w:rsidRPr="00584330" w:rsidRDefault="004F5BEB" w:rsidP="004F5BEB">
            <w:pPr>
              <w:numPr>
                <w:ilvl w:val="12"/>
                <w:numId w:val="0"/>
              </w:numPr>
              <w:jc w:val="center"/>
              <w:rPr>
                <w:rFonts w:asciiTheme="minorHAnsi" w:hAnsiTheme="minorHAnsi"/>
              </w:rPr>
            </w:pPr>
          </w:p>
        </w:tc>
        <w:tc>
          <w:tcPr>
            <w:tcW w:w="1460" w:type="dxa"/>
            <w:vMerge/>
            <w:shd w:val="clear" w:color="auto" w:fill="auto"/>
          </w:tcPr>
          <w:p w:rsidR="004F5BEB" w:rsidRPr="00584330" w:rsidRDefault="004F5BEB" w:rsidP="004F5BEB">
            <w:pPr>
              <w:numPr>
                <w:ilvl w:val="12"/>
                <w:numId w:val="0"/>
              </w:numPr>
              <w:rPr>
                <w:rFonts w:asciiTheme="minorHAnsi" w:hAnsiTheme="minorHAnsi"/>
              </w:rPr>
            </w:pPr>
          </w:p>
        </w:tc>
        <w:tc>
          <w:tcPr>
            <w:tcW w:w="1460"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szerokiej</w:t>
            </w:r>
          </w:p>
          <w:p w:rsidR="004F5BEB" w:rsidRPr="00584330" w:rsidRDefault="004F5BEB" w:rsidP="004F5BEB">
            <w:pPr>
              <w:overflowPunct/>
              <w:jc w:val="left"/>
              <w:textAlignment w:val="auto"/>
              <w:rPr>
                <w:rFonts w:asciiTheme="minorHAnsi" w:hAnsiTheme="minorHAnsi"/>
              </w:rPr>
            </w:pPr>
            <w:r w:rsidRPr="00584330">
              <w:rPr>
                <w:rFonts w:asciiTheme="minorHAnsi" w:eastAsia="TimesNewRoman" w:hAnsiTheme="minorHAnsi"/>
              </w:rPr>
              <w:t>ś</w:t>
            </w:r>
            <w:r w:rsidRPr="00584330">
              <w:rPr>
                <w:rFonts w:asciiTheme="minorHAnsi" w:hAnsiTheme="minorHAnsi"/>
              </w:rPr>
              <w:t>ciernej, wg zał.</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G normy –</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badanie</w:t>
            </w:r>
          </w:p>
          <w:p w:rsidR="004F5BEB" w:rsidRPr="00584330" w:rsidRDefault="004F5BEB" w:rsidP="004F5BEB">
            <w:pPr>
              <w:numPr>
                <w:ilvl w:val="12"/>
                <w:numId w:val="0"/>
              </w:numPr>
              <w:rPr>
                <w:rFonts w:asciiTheme="minorHAnsi" w:hAnsiTheme="minorHAnsi"/>
              </w:rPr>
            </w:pPr>
            <w:r w:rsidRPr="00584330">
              <w:rPr>
                <w:rFonts w:asciiTheme="minorHAnsi" w:hAnsiTheme="minorHAnsi"/>
              </w:rPr>
              <w:t>podstawowe</w:t>
            </w:r>
          </w:p>
        </w:tc>
        <w:tc>
          <w:tcPr>
            <w:tcW w:w="1461"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Böhmego,</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wg zał. H normy – badanie</w:t>
            </w:r>
          </w:p>
          <w:p w:rsidR="004F5BEB" w:rsidRPr="00584330" w:rsidRDefault="004F5BEB" w:rsidP="004F5BEB">
            <w:pPr>
              <w:numPr>
                <w:ilvl w:val="12"/>
                <w:numId w:val="0"/>
              </w:numPr>
              <w:rPr>
                <w:rFonts w:asciiTheme="minorHAnsi" w:hAnsiTheme="minorHAnsi"/>
              </w:rPr>
            </w:pPr>
            <w:r w:rsidRPr="00584330">
              <w:rPr>
                <w:rFonts w:asciiTheme="minorHAnsi" w:hAnsiTheme="minorHAnsi"/>
              </w:rPr>
              <w:t>alternatywne</w:t>
            </w:r>
          </w:p>
        </w:tc>
      </w:tr>
      <w:tr w:rsidR="004F5BEB" w:rsidRPr="00584330" w:rsidTr="004F5BEB">
        <w:trPr>
          <w:trHeight w:val="103"/>
        </w:trPr>
        <w:tc>
          <w:tcPr>
            <w:tcW w:w="675" w:type="dxa"/>
            <w:vMerge/>
            <w:shd w:val="clear" w:color="auto" w:fill="auto"/>
          </w:tcPr>
          <w:p w:rsidR="004F5BEB" w:rsidRPr="00584330" w:rsidRDefault="004F5BEB" w:rsidP="004F5BEB">
            <w:pPr>
              <w:numPr>
                <w:ilvl w:val="12"/>
                <w:numId w:val="0"/>
              </w:numPr>
              <w:rPr>
                <w:rFonts w:asciiTheme="minorHAnsi" w:hAnsiTheme="minorHAnsi"/>
              </w:rPr>
            </w:pPr>
          </w:p>
        </w:tc>
        <w:tc>
          <w:tcPr>
            <w:tcW w:w="3686" w:type="dxa"/>
            <w:vMerge/>
            <w:shd w:val="clear" w:color="auto" w:fill="auto"/>
          </w:tcPr>
          <w:p w:rsidR="004F5BEB" w:rsidRPr="00584330" w:rsidRDefault="004F5BEB" w:rsidP="004F5BEB">
            <w:pPr>
              <w:overflowPunct/>
              <w:jc w:val="left"/>
              <w:textAlignment w:val="auto"/>
              <w:rPr>
                <w:rFonts w:asciiTheme="minorHAnsi" w:hAnsiTheme="minorHAnsi"/>
              </w:rPr>
            </w:pPr>
          </w:p>
        </w:tc>
        <w:tc>
          <w:tcPr>
            <w:tcW w:w="1005" w:type="dxa"/>
            <w:vMerge/>
            <w:shd w:val="clear" w:color="auto" w:fill="auto"/>
          </w:tcPr>
          <w:p w:rsidR="004F5BEB" w:rsidRPr="00584330" w:rsidRDefault="004F5BEB" w:rsidP="004F5BEB">
            <w:pPr>
              <w:numPr>
                <w:ilvl w:val="12"/>
                <w:numId w:val="0"/>
              </w:numPr>
              <w:jc w:val="center"/>
              <w:rPr>
                <w:rFonts w:asciiTheme="minorHAnsi" w:hAnsiTheme="minorHAnsi"/>
              </w:rPr>
            </w:pPr>
          </w:p>
        </w:tc>
        <w:tc>
          <w:tcPr>
            <w:tcW w:w="1460"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4</w:t>
            </w:r>
          </w:p>
        </w:tc>
        <w:tc>
          <w:tcPr>
            <w:tcW w:w="1460"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eastAsia="TimesNewRoman" w:hAnsiTheme="minorHAnsi"/>
              </w:rPr>
              <w:t>≤ 20 mm</w:t>
            </w:r>
          </w:p>
        </w:tc>
        <w:tc>
          <w:tcPr>
            <w:tcW w:w="1461"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eastAsia="TimesNewRoman" w:hAnsiTheme="minorHAnsi"/>
              </w:rPr>
              <w:t>≤ 18000 mm3/5000 mm2</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2.5</w:t>
            </w:r>
          </w:p>
        </w:tc>
        <w:tc>
          <w:tcPr>
            <w:tcW w:w="3686" w:type="dxa"/>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Odporno</w:t>
            </w:r>
            <w:r w:rsidRPr="00584330">
              <w:rPr>
                <w:rFonts w:asciiTheme="minorHAnsi" w:eastAsia="TimesNewRoman" w:hAnsiTheme="minorHAnsi"/>
              </w:rPr>
              <w:t xml:space="preserve">ść </w:t>
            </w:r>
            <w:r w:rsidRPr="00584330">
              <w:rPr>
                <w:rFonts w:asciiTheme="minorHAnsi" w:hAnsiTheme="minorHAnsi"/>
              </w:rPr>
              <w:t>na po</w:t>
            </w:r>
            <w:r w:rsidRPr="00584330">
              <w:rPr>
                <w:rFonts w:asciiTheme="minorHAnsi" w:eastAsia="TimesNewRoman" w:hAnsiTheme="minorHAnsi"/>
              </w:rPr>
              <w:t>ś</w:t>
            </w:r>
            <w:r w:rsidRPr="00584330">
              <w:rPr>
                <w:rFonts w:asciiTheme="minorHAnsi" w:hAnsiTheme="minorHAnsi"/>
              </w:rPr>
              <w:t>lizg/po</w:t>
            </w:r>
            <w:r w:rsidRPr="00584330">
              <w:rPr>
                <w:rFonts w:asciiTheme="minorHAnsi" w:eastAsia="TimesNewRoman" w:hAnsiTheme="minorHAnsi"/>
              </w:rPr>
              <w:t>ś</w:t>
            </w:r>
            <w:r w:rsidRPr="00584330">
              <w:rPr>
                <w:rFonts w:asciiTheme="minorHAnsi" w:hAnsiTheme="minorHAnsi"/>
              </w:rPr>
              <w:t>lizgni</w:t>
            </w:r>
            <w:r w:rsidRPr="00584330">
              <w:rPr>
                <w:rFonts w:asciiTheme="minorHAnsi" w:eastAsia="TimesNewRoman" w:hAnsiTheme="minorHAnsi"/>
              </w:rPr>
              <w:t>ę</w:t>
            </w:r>
            <w:r w:rsidRPr="00584330">
              <w:rPr>
                <w:rFonts w:asciiTheme="minorHAnsi" w:hAnsiTheme="minorHAnsi"/>
              </w:rPr>
              <w:t>cie</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I</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a) je</w:t>
            </w:r>
            <w:r w:rsidRPr="00584330">
              <w:rPr>
                <w:rFonts w:asciiTheme="minorHAnsi" w:eastAsia="TimesNewRoman" w:hAnsiTheme="minorHAnsi"/>
              </w:rPr>
              <w:t>ś</w:t>
            </w:r>
            <w:r w:rsidRPr="00584330">
              <w:rPr>
                <w:rFonts w:asciiTheme="minorHAnsi" w:hAnsiTheme="minorHAnsi"/>
              </w:rPr>
              <w:t>li górna powierzchnia kraw</w:t>
            </w:r>
            <w:r w:rsidRPr="00584330">
              <w:rPr>
                <w:rFonts w:asciiTheme="minorHAnsi" w:eastAsia="TimesNewRoman" w:hAnsiTheme="minorHAnsi"/>
              </w:rPr>
              <w:t>ęż</w:t>
            </w:r>
            <w:r w:rsidRPr="00584330">
              <w:rPr>
                <w:rFonts w:asciiTheme="minorHAnsi" w:hAnsiTheme="minorHAnsi"/>
              </w:rPr>
              <w:t>nika nie była</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szlifowana i/lub polerowana – zadawalaj</w:t>
            </w:r>
            <w:r w:rsidRPr="00584330">
              <w:rPr>
                <w:rFonts w:asciiTheme="minorHAnsi" w:eastAsia="TimesNewRoman" w:hAnsiTheme="minorHAnsi"/>
              </w:rPr>
              <w:t>ą</w:t>
            </w:r>
            <w:r w:rsidRPr="00584330">
              <w:rPr>
                <w:rFonts w:asciiTheme="minorHAnsi" w:hAnsiTheme="minorHAnsi"/>
              </w:rPr>
              <w:t>ca odporno</w:t>
            </w:r>
            <w:r w:rsidRPr="00584330">
              <w:rPr>
                <w:rFonts w:asciiTheme="minorHAnsi" w:eastAsia="TimesNewRoman" w:hAnsiTheme="minorHAnsi"/>
              </w:rPr>
              <w:t>ść</w:t>
            </w:r>
            <w:r w:rsidRPr="00584330">
              <w:rPr>
                <w:rFonts w:asciiTheme="minorHAnsi" w:hAnsiTheme="minorHAnsi"/>
              </w:rPr>
              <w: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b)je</w:t>
            </w:r>
            <w:r w:rsidRPr="00584330">
              <w:rPr>
                <w:rFonts w:asciiTheme="minorHAnsi" w:eastAsia="TimesNewRoman" w:hAnsiTheme="minorHAnsi"/>
              </w:rPr>
              <w:t>ś</w:t>
            </w:r>
            <w:r w:rsidRPr="00584330">
              <w:rPr>
                <w:rFonts w:asciiTheme="minorHAnsi" w:hAnsiTheme="minorHAnsi"/>
              </w:rPr>
              <w:t>li wyj</w:t>
            </w:r>
            <w:r w:rsidRPr="00584330">
              <w:rPr>
                <w:rFonts w:asciiTheme="minorHAnsi" w:eastAsia="TimesNewRoman" w:hAnsiTheme="minorHAnsi"/>
              </w:rPr>
              <w:t>ą</w:t>
            </w:r>
            <w:r w:rsidRPr="00584330">
              <w:rPr>
                <w:rFonts w:asciiTheme="minorHAnsi" w:hAnsiTheme="minorHAnsi"/>
              </w:rPr>
              <w:t>tkowo wymaga si</w:t>
            </w:r>
            <w:r w:rsidRPr="00584330">
              <w:rPr>
                <w:rFonts w:asciiTheme="minorHAnsi" w:eastAsia="TimesNewRoman" w:hAnsiTheme="minorHAnsi"/>
              </w:rPr>
              <w:t xml:space="preserve">ę </w:t>
            </w:r>
            <w:r w:rsidRPr="00584330">
              <w:rPr>
                <w:rFonts w:asciiTheme="minorHAnsi" w:hAnsiTheme="minorHAnsi"/>
              </w:rPr>
              <w:t>podania warto</w:t>
            </w:r>
            <w:r w:rsidRPr="00584330">
              <w:rPr>
                <w:rFonts w:asciiTheme="minorHAnsi" w:eastAsia="TimesNewRoman" w:hAnsiTheme="minorHAnsi"/>
              </w:rPr>
              <w:t>ś</w:t>
            </w:r>
            <w:r w:rsidRPr="00584330">
              <w:rPr>
                <w:rFonts w:asciiTheme="minorHAnsi" w:hAnsiTheme="minorHAnsi"/>
              </w:rPr>
              <w:t>ci</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odporno</w:t>
            </w:r>
            <w:r w:rsidRPr="00584330">
              <w:rPr>
                <w:rFonts w:asciiTheme="minorHAnsi" w:eastAsia="TimesNewRoman" w:hAnsiTheme="minorHAnsi"/>
              </w:rPr>
              <w:t>ś</w:t>
            </w:r>
            <w:r w:rsidRPr="00584330">
              <w:rPr>
                <w:rFonts w:asciiTheme="minorHAnsi" w:hAnsiTheme="minorHAnsi"/>
              </w:rPr>
              <w:t>ci na po</w:t>
            </w:r>
            <w:r w:rsidRPr="00584330">
              <w:rPr>
                <w:rFonts w:asciiTheme="minorHAnsi" w:eastAsia="TimesNewRoman" w:hAnsiTheme="minorHAnsi"/>
              </w:rPr>
              <w:t>ś</w:t>
            </w:r>
            <w:r w:rsidRPr="00584330">
              <w:rPr>
                <w:rFonts w:asciiTheme="minorHAnsi" w:hAnsiTheme="minorHAnsi"/>
              </w:rPr>
              <w:t>lizg/po</w:t>
            </w:r>
            <w:r w:rsidRPr="00584330">
              <w:rPr>
                <w:rFonts w:asciiTheme="minorHAnsi" w:eastAsia="TimesNewRoman" w:hAnsiTheme="minorHAnsi"/>
              </w:rPr>
              <w:t>ś</w:t>
            </w:r>
            <w:r w:rsidRPr="00584330">
              <w:rPr>
                <w:rFonts w:asciiTheme="minorHAnsi" w:hAnsiTheme="minorHAnsi"/>
              </w:rPr>
              <w:t>lizgni</w:t>
            </w:r>
            <w:r w:rsidRPr="00584330">
              <w:rPr>
                <w:rFonts w:asciiTheme="minorHAnsi" w:eastAsia="TimesNewRoman" w:hAnsiTheme="minorHAnsi"/>
              </w:rPr>
              <w:t>ę</w:t>
            </w:r>
            <w:r w:rsidRPr="00584330">
              <w:rPr>
                <w:rFonts w:asciiTheme="minorHAnsi" w:hAnsiTheme="minorHAnsi"/>
              </w:rPr>
              <w:t>cie – należy zadeklarowa</w:t>
            </w:r>
            <w:r w:rsidRPr="00584330">
              <w:rPr>
                <w:rFonts w:asciiTheme="minorHAnsi" w:eastAsia="TimesNewRoman" w:hAnsiTheme="minorHAnsi"/>
              </w:rPr>
              <w:t xml:space="preserve">ć </w:t>
            </w:r>
            <w:r w:rsidRPr="00584330">
              <w:rPr>
                <w:rFonts w:asciiTheme="minorHAnsi" w:hAnsiTheme="minorHAnsi"/>
              </w:rPr>
              <w:t>minimaln</w:t>
            </w:r>
            <w:r w:rsidRPr="00584330">
              <w:rPr>
                <w:rFonts w:asciiTheme="minorHAnsi" w:eastAsia="TimesNewRoman" w:hAnsiTheme="minorHAnsi"/>
              </w:rPr>
              <w:t xml:space="preserve">ą </w:t>
            </w:r>
            <w:r w:rsidRPr="00584330">
              <w:rPr>
                <w:rFonts w:asciiTheme="minorHAnsi" w:hAnsiTheme="minorHAnsi"/>
              </w:rPr>
              <w:t>jej warto</w:t>
            </w:r>
            <w:r w:rsidRPr="00584330">
              <w:rPr>
                <w:rFonts w:asciiTheme="minorHAnsi" w:eastAsia="TimesNewRoman" w:hAnsiTheme="minorHAnsi"/>
              </w:rPr>
              <w:t xml:space="preserve">ść </w:t>
            </w:r>
            <w:r w:rsidRPr="00584330">
              <w:rPr>
                <w:rFonts w:asciiTheme="minorHAnsi" w:hAnsiTheme="minorHAnsi"/>
              </w:rPr>
              <w:t>pomierzon</w:t>
            </w:r>
            <w:r w:rsidRPr="00584330">
              <w:rPr>
                <w:rFonts w:asciiTheme="minorHAnsi" w:eastAsia="TimesNewRoman" w:hAnsiTheme="minorHAnsi"/>
              </w:rPr>
              <w:t xml:space="preserve">ą </w:t>
            </w:r>
            <w:r w:rsidRPr="00584330">
              <w:rPr>
                <w:rFonts w:asciiTheme="minorHAnsi" w:hAnsiTheme="minorHAnsi"/>
              </w:rPr>
              <w:t>wg zał. I normy (wahadłowym przyrz</w:t>
            </w:r>
            <w:r w:rsidRPr="00584330">
              <w:rPr>
                <w:rFonts w:asciiTheme="minorHAnsi" w:eastAsia="TimesNewRoman" w:hAnsiTheme="minorHAnsi"/>
              </w:rPr>
              <w:t>ą</w:t>
            </w:r>
            <w:r w:rsidRPr="00584330">
              <w:rPr>
                <w:rFonts w:asciiTheme="minorHAnsi" w:hAnsiTheme="minorHAnsi"/>
              </w:rPr>
              <w:t>dem do badania tarcia),</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c) trwało</w:t>
            </w:r>
            <w:r w:rsidRPr="00584330">
              <w:rPr>
                <w:rFonts w:asciiTheme="minorHAnsi" w:eastAsia="TimesNewRoman" w:hAnsiTheme="minorHAnsi"/>
              </w:rPr>
              <w:t xml:space="preserve">ść </w:t>
            </w:r>
            <w:r w:rsidRPr="00584330">
              <w:rPr>
                <w:rFonts w:asciiTheme="minorHAnsi" w:hAnsiTheme="minorHAnsi"/>
              </w:rPr>
              <w:t>odporno</w:t>
            </w:r>
            <w:r w:rsidRPr="00584330">
              <w:rPr>
                <w:rFonts w:asciiTheme="minorHAnsi" w:eastAsia="TimesNewRoman" w:hAnsiTheme="minorHAnsi"/>
              </w:rPr>
              <w:t>ś</w:t>
            </w:r>
            <w:r w:rsidRPr="00584330">
              <w:rPr>
                <w:rFonts w:asciiTheme="minorHAnsi" w:hAnsiTheme="minorHAnsi"/>
              </w:rPr>
              <w:t>ci na po</w:t>
            </w:r>
            <w:r w:rsidRPr="00584330">
              <w:rPr>
                <w:rFonts w:asciiTheme="minorHAnsi" w:eastAsia="TimesNewRoman" w:hAnsiTheme="minorHAnsi"/>
              </w:rPr>
              <w:t>ś</w:t>
            </w:r>
            <w:r w:rsidRPr="00584330">
              <w:rPr>
                <w:rFonts w:asciiTheme="minorHAnsi" w:hAnsiTheme="minorHAnsi"/>
              </w:rPr>
              <w:t>lizg/po</w:t>
            </w:r>
            <w:r w:rsidRPr="00584330">
              <w:rPr>
                <w:rFonts w:asciiTheme="minorHAnsi" w:eastAsia="TimesNewRoman" w:hAnsiTheme="minorHAnsi"/>
              </w:rPr>
              <w:t>ś</w:t>
            </w:r>
            <w:r w:rsidRPr="00584330">
              <w:rPr>
                <w:rFonts w:asciiTheme="minorHAnsi" w:hAnsiTheme="minorHAnsi"/>
              </w:rPr>
              <w:t>lizgni</w:t>
            </w:r>
            <w:r w:rsidRPr="00584330">
              <w:rPr>
                <w:rFonts w:asciiTheme="minorHAnsi" w:eastAsia="TimesNewRoman" w:hAnsiTheme="minorHAnsi"/>
              </w:rPr>
              <w:t>ę</w:t>
            </w:r>
            <w:r w:rsidRPr="00584330">
              <w:rPr>
                <w:rFonts w:asciiTheme="minorHAnsi" w:hAnsiTheme="minorHAnsi"/>
              </w:rPr>
              <w:t>cie w normalnych warunkach użytkowania kraw</w:t>
            </w:r>
            <w:r w:rsidRPr="00584330">
              <w:rPr>
                <w:rFonts w:asciiTheme="minorHAnsi" w:eastAsia="TimesNewRoman" w:hAnsiTheme="minorHAnsi"/>
              </w:rPr>
              <w:t>ęż</w:t>
            </w:r>
            <w:r w:rsidRPr="00584330">
              <w:rPr>
                <w:rFonts w:asciiTheme="minorHAnsi" w:hAnsiTheme="minorHAnsi"/>
              </w:rPr>
              <w:t>nika jest zadawalaj</w:t>
            </w:r>
            <w:r w:rsidRPr="00584330">
              <w:rPr>
                <w:rFonts w:asciiTheme="minorHAnsi" w:eastAsia="TimesNewRoman" w:hAnsiTheme="minorHAnsi"/>
              </w:rPr>
              <w:t>ą</w:t>
            </w:r>
            <w:r w:rsidRPr="00584330">
              <w:rPr>
                <w:rFonts w:asciiTheme="minorHAnsi" w:hAnsiTheme="minorHAnsi"/>
              </w:rPr>
              <w:t>ca przez cały okres użytkowania, pod warunkiem wła</w:t>
            </w:r>
            <w:r w:rsidRPr="00584330">
              <w:rPr>
                <w:rFonts w:asciiTheme="minorHAnsi" w:eastAsia="TimesNewRoman" w:hAnsiTheme="minorHAnsi"/>
              </w:rPr>
              <w:t>ś</w:t>
            </w:r>
            <w:r w:rsidRPr="00584330">
              <w:rPr>
                <w:rFonts w:asciiTheme="minorHAnsi" w:hAnsiTheme="minorHAnsi"/>
              </w:rPr>
              <w:t>ciwego utrzymywania i gdy na znacznej cz</w:t>
            </w:r>
            <w:r w:rsidRPr="00584330">
              <w:rPr>
                <w:rFonts w:asciiTheme="minorHAnsi" w:eastAsia="TimesNewRoman" w:hAnsiTheme="minorHAnsi"/>
              </w:rPr>
              <w:t>ęś</w:t>
            </w:r>
            <w:r w:rsidRPr="00584330">
              <w:rPr>
                <w:rFonts w:asciiTheme="minorHAnsi" w:hAnsiTheme="minorHAnsi"/>
              </w:rPr>
              <w:t>ci nie zostało odsłoni</w:t>
            </w:r>
            <w:r w:rsidRPr="00584330">
              <w:rPr>
                <w:rFonts w:asciiTheme="minorHAnsi" w:eastAsia="TimesNewRoman" w:hAnsiTheme="minorHAnsi"/>
              </w:rPr>
              <w:t>ę</w:t>
            </w:r>
            <w:r w:rsidRPr="00584330">
              <w:rPr>
                <w:rFonts w:asciiTheme="minorHAnsi" w:hAnsiTheme="minorHAnsi"/>
              </w:rPr>
              <w:t>te kruszywo podlegaj</w:t>
            </w:r>
            <w:r w:rsidRPr="00584330">
              <w:rPr>
                <w:rFonts w:asciiTheme="minorHAnsi" w:eastAsia="TimesNewRoman" w:hAnsiTheme="minorHAnsi"/>
              </w:rPr>
              <w:t>ą</w:t>
            </w:r>
            <w:r w:rsidRPr="00584330">
              <w:rPr>
                <w:rFonts w:asciiTheme="minorHAnsi" w:hAnsiTheme="minorHAnsi"/>
              </w:rPr>
              <w:t>ce intensywnemu polerowaniu.</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2.6</w:t>
            </w:r>
          </w:p>
        </w:tc>
        <w:tc>
          <w:tcPr>
            <w:tcW w:w="3686"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Nasi</w:t>
            </w:r>
            <w:r w:rsidRPr="00584330">
              <w:rPr>
                <w:rFonts w:asciiTheme="minorHAnsi" w:eastAsia="TimesNewRoman" w:hAnsiTheme="minorHAnsi"/>
              </w:rPr>
              <w:t>ą</w:t>
            </w:r>
            <w:r w:rsidRPr="00584330">
              <w:rPr>
                <w:rFonts w:asciiTheme="minorHAnsi" w:hAnsiTheme="minorHAnsi"/>
              </w:rPr>
              <w:t>kliwo</w:t>
            </w:r>
            <w:r w:rsidRPr="00584330">
              <w:rPr>
                <w:rFonts w:asciiTheme="minorHAnsi" w:eastAsia="TimesNewRoman" w:hAnsiTheme="minorHAnsi"/>
              </w:rPr>
              <w:t>ść</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E</w:t>
            </w:r>
          </w:p>
        </w:tc>
        <w:tc>
          <w:tcPr>
            <w:tcW w:w="4381" w:type="dxa"/>
            <w:gridSpan w:val="3"/>
            <w:shd w:val="clear" w:color="auto" w:fill="auto"/>
          </w:tcPr>
          <w:p w:rsidR="004F5BEB" w:rsidRPr="00584330" w:rsidRDefault="004F5BEB" w:rsidP="004F5BEB">
            <w:pPr>
              <w:overflowPunct/>
              <w:jc w:val="left"/>
              <w:textAlignment w:val="auto"/>
              <w:rPr>
                <w:rFonts w:asciiTheme="minorHAnsi" w:eastAsia="TimesNewRoman" w:hAnsiTheme="minorHAnsi"/>
              </w:rPr>
            </w:pPr>
            <w:r w:rsidRPr="00584330">
              <w:rPr>
                <w:rFonts w:asciiTheme="minorHAnsi" w:hAnsiTheme="minorHAnsi"/>
              </w:rPr>
              <w:t>Klasa                  Oznaczenie        Nasi</w:t>
            </w:r>
            <w:r w:rsidRPr="00584330">
              <w:rPr>
                <w:rFonts w:asciiTheme="minorHAnsi" w:eastAsia="TimesNewRoman" w:hAnsiTheme="minorHAnsi"/>
              </w:rPr>
              <w:t>ą</w:t>
            </w:r>
            <w:r w:rsidRPr="00584330">
              <w:rPr>
                <w:rFonts w:asciiTheme="minorHAnsi" w:hAnsiTheme="minorHAnsi"/>
              </w:rPr>
              <w:t>kliwo</w:t>
            </w:r>
            <w:r w:rsidRPr="00584330">
              <w:rPr>
                <w:rFonts w:asciiTheme="minorHAnsi" w:eastAsia="TimesNewRoman" w:hAnsiTheme="minorHAnsi"/>
              </w:rPr>
              <w:t>ść</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xml:space="preserve">                                                        % masy</w:t>
            </w:r>
          </w:p>
          <w:p w:rsidR="004F5BEB" w:rsidRPr="00584330" w:rsidRDefault="004F5BEB" w:rsidP="004F5BEB">
            <w:pPr>
              <w:numPr>
                <w:ilvl w:val="12"/>
                <w:numId w:val="0"/>
              </w:numPr>
              <w:rPr>
                <w:rFonts w:asciiTheme="minorHAnsi" w:hAnsiTheme="minorHAnsi"/>
              </w:rPr>
            </w:pPr>
            <w:r w:rsidRPr="00584330">
              <w:rPr>
                <w:rFonts w:asciiTheme="minorHAnsi" w:hAnsiTheme="minorHAnsi"/>
              </w:rPr>
              <w:t xml:space="preserve">   2                              B                    do 6,0</w:t>
            </w:r>
          </w:p>
        </w:tc>
      </w:tr>
      <w:tr w:rsidR="004F5BEB" w:rsidRPr="00584330" w:rsidTr="004F5BEB">
        <w:tc>
          <w:tcPr>
            <w:tcW w:w="9747" w:type="dxa"/>
            <w:gridSpan w:val="6"/>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Aspekty wizualne</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3.1</w:t>
            </w:r>
          </w:p>
        </w:tc>
        <w:tc>
          <w:tcPr>
            <w:tcW w:w="3686"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Wygl</w:t>
            </w:r>
            <w:r w:rsidRPr="00584330">
              <w:rPr>
                <w:rFonts w:asciiTheme="minorHAnsi" w:eastAsia="TimesNewRoman" w:hAnsiTheme="minorHAnsi"/>
              </w:rPr>
              <w:t>ą</w:t>
            </w:r>
            <w:r w:rsidRPr="00584330">
              <w:rPr>
                <w:rFonts w:asciiTheme="minorHAnsi" w:hAnsiTheme="minorHAnsi"/>
              </w:rPr>
              <w:t>d</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J</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a)powierzchnia kraw</w:t>
            </w:r>
            <w:r w:rsidRPr="00584330">
              <w:rPr>
                <w:rFonts w:asciiTheme="minorHAnsi" w:eastAsia="TimesNewRoman" w:hAnsiTheme="minorHAnsi"/>
              </w:rPr>
              <w:t>ęż</w:t>
            </w:r>
            <w:r w:rsidRPr="00584330">
              <w:rPr>
                <w:rFonts w:asciiTheme="minorHAnsi" w:hAnsiTheme="minorHAnsi"/>
              </w:rPr>
              <w:t>nika nie powinna mie</w:t>
            </w:r>
            <w:r w:rsidRPr="00584330">
              <w:rPr>
                <w:rFonts w:asciiTheme="minorHAnsi" w:eastAsia="TimesNewRoman" w:hAnsiTheme="minorHAnsi"/>
              </w:rPr>
              <w:t xml:space="preserve">ć </w:t>
            </w:r>
            <w:r w:rsidRPr="00584330">
              <w:rPr>
                <w:rFonts w:asciiTheme="minorHAnsi" w:hAnsiTheme="minorHAnsi"/>
              </w:rPr>
              <w:t>rys i</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lastRenderedPageBreak/>
              <w:t>odprysków,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b)nie dopuszcza si</w:t>
            </w:r>
            <w:r w:rsidRPr="00584330">
              <w:rPr>
                <w:rFonts w:asciiTheme="minorHAnsi" w:eastAsia="TimesNewRoman" w:hAnsiTheme="minorHAnsi"/>
              </w:rPr>
              <w:t xml:space="preserve">ę </w:t>
            </w:r>
            <w:r w:rsidRPr="00584330">
              <w:rPr>
                <w:rFonts w:asciiTheme="minorHAnsi" w:hAnsiTheme="minorHAnsi"/>
              </w:rPr>
              <w:t>rozwarstwie</w:t>
            </w:r>
            <w:r w:rsidRPr="00584330">
              <w:rPr>
                <w:rFonts w:asciiTheme="minorHAnsi" w:eastAsia="TimesNewRoman" w:hAnsiTheme="minorHAnsi"/>
              </w:rPr>
              <w:t xml:space="preserve">ń </w:t>
            </w:r>
            <w:r w:rsidRPr="00584330">
              <w:rPr>
                <w:rFonts w:asciiTheme="minorHAnsi" w:hAnsiTheme="minorHAnsi"/>
              </w:rPr>
              <w:t>w kraw</w:t>
            </w:r>
            <w:r w:rsidRPr="00584330">
              <w:rPr>
                <w:rFonts w:asciiTheme="minorHAnsi" w:eastAsia="TimesNewRoman" w:hAnsiTheme="minorHAnsi"/>
              </w:rPr>
              <w:t>ęż</w:t>
            </w:r>
            <w:r w:rsidRPr="00584330">
              <w:rPr>
                <w:rFonts w:asciiTheme="minorHAnsi" w:hAnsiTheme="minorHAnsi"/>
              </w:rPr>
              <w:t>nikach</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dwuwarstwowych</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c)ewentualne wykwity nie s</w:t>
            </w:r>
            <w:r w:rsidRPr="00584330">
              <w:rPr>
                <w:rFonts w:asciiTheme="minorHAnsi" w:eastAsia="TimesNewRoman" w:hAnsiTheme="minorHAnsi"/>
              </w:rPr>
              <w:t xml:space="preserve">ą </w:t>
            </w:r>
            <w:r w:rsidRPr="00584330">
              <w:rPr>
                <w:rFonts w:asciiTheme="minorHAnsi" w:hAnsiTheme="minorHAnsi"/>
              </w:rPr>
              <w:t>uważane za istotne</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lastRenderedPageBreak/>
              <w:t>3.2</w:t>
            </w:r>
          </w:p>
        </w:tc>
        <w:tc>
          <w:tcPr>
            <w:tcW w:w="3686"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Tekstura</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J</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a)kraw</w:t>
            </w:r>
            <w:r w:rsidRPr="00584330">
              <w:rPr>
                <w:rFonts w:asciiTheme="minorHAnsi" w:eastAsia="TimesNewRoman" w:hAnsiTheme="minorHAnsi"/>
              </w:rPr>
              <w:t>ęż</w:t>
            </w:r>
            <w:r w:rsidRPr="00584330">
              <w:rPr>
                <w:rFonts w:asciiTheme="minorHAnsi" w:hAnsiTheme="minorHAnsi"/>
              </w:rPr>
              <w:t>niki z powierzchni</w:t>
            </w:r>
            <w:r w:rsidRPr="00584330">
              <w:rPr>
                <w:rFonts w:asciiTheme="minorHAnsi" w:eastAsia="TimesNewRoman" w:hAnsiTheme="minorHAnsi"/>
              </w:rPr>
              <w:t xml:space="preserve">ą </w:t>
            </w:r>
            <w:r w:rsidRPr="00584330">
              <w:rPr>
                <w:rFonts w:asciiTheme="minorHAnsi" w:hAnsiTheme="minorHAnsi"/>
              </w:rPr>
              <w:t>o specjalnej teksturze – producent powinien okre</w:t>
            </w:r>
            <w:r w:rsidRPr="00584330">
              <w:rPr>
                <w:rFonts w:asciiTheme="minorHAnsi" w:eastAsia="TimesNewRoman" w:hAnsiTheme="minorHAnsi"/>
              </w:rPr>
              <w:t>ś</w:t>
            </w:r>
            <w:r w:rsidRPr="00584330">
              <w:rPr>
                <w:rFonts w:asciiTheme="minorHAnsi" w:hAnsiTheme="minorHAnsi"/>
              </w:rPr>
              <w:t>li</w:t>
            </w:r>
            <w:r w:rsidRPr="00584330">
              <w:rPr>
                <w:rFonts w:asciiTheme="minorHAnsi" w:eastAsia="TimesNewRoman" w:hAnsiTheme="minorHAnsi"/>
              </w:rPr>
              <w:t xml:space="preserve">ć </w:t>
            </w:r>
            <w:r w:rsidRPr="00584330">
              <w:rPr>
                <w:rFonts w:asciiTheme="minorHAnsi" w:hAnsiTheme="minorHAnsi"/>
              </w:rPr>
              <w:t>rodzaj tekstury,</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b)tekstura powinna by</w:t>
            </w:r>
            <w:r w:rsidRPr="00584330">
              <w:rPr>
                <w:rFonts w:asciiTheme="minorHAnsi" w:eastAsia="TimesNewRoman" w:hAnsiTheme="minorHAnsi"/>
              </w:rPr>
              <w:t xml:space="preserve">ć </w:t>
            </w:r>
            <w:r w:rsidRPr="00584330">
              <w:rPr>
                <w:rFonts w:asciiTheme="minorHAnsi" w:hAnsiTheme="minorHAnsi"/>
              </w:rPr>
              <w:t>porównana z próbkami</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dostarczonymi przez producenta, zatwierdzonymi przez odbiorc</w:t>
            </w:r>
            <w:r w:rsidRPr="00584330">
              <w:rPr>
                <w:rFonts w:asciiTheme="minorHAnsi" w:eastAsia="TimesNewRoman" w:hAnsiTheme="minorHAnsi"/>
              </w:rPr>
              <w:t>ę</w:t>
            </w:r>
            <w:r w:rsidRPr="00584330">
              <w:rPr>
                <w:rFonts w:asciiTheme="minorHAnsi" w:hAnsiTheme="minorHAnsi"/>
              </w:rPr>
              <w: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c) różnice w jednolito</w:t>
            </w:r>
            <w:r w:rsidRPr="00584330">
              <w:rPr>
                <w:rFonts w:asciiTheme="minorHAnsi" w:eastAsia="TimesNewRoman" w:hAnsiTheme="minorHAnsi"/>
              </w:rPr>
              <w:t>ś</w:t>
            </w:r>
            <w:r w:rsidRPr="00584330">
              <w:rPr>
                <w:rFonts w:asciiTheme="minorHAnsi" w:hAnsiTheme="minorHAnsi"/>
              </w:rPr>
              <w:t>ci tekstury, spowodowane</w:t>
            </w:r>
          </w:p>
          <w:p w:rsidR="004F5BEB" w:rsidRPr="00584330" w:rsidRDefault="004F5BEB" w:rsidP="004F5BEB">
            <w:pPr>
              <w:numPr>
                <w:ilvl w:val="12"/>
                <w:numId w:val="0"/>
              </w:numPr>
              <w:rPr>
                <w:rFonts w:asciiTheme="minorHAnsi" w:hAnsiTheme="minorHAnsi"/>
              </w:rPr>
            </w:pPr>
            <w:r w:rsidRPr="00584330">
              <w:rPr>
                <w:rFonts w:asciiTheme="minorHAnsi" w:hAnsiTheme="minorHAnsi"/>
              </w:rPr>
              <w:t>nieuniknionymi zmianami we wła</w:t>
            </w:r>
            <w:r w:rsidRPr="00584330">
              <w:rPr>
                <w:rFonts w:asciiTheme="minorHAnsi" w:eastAsia="TimesNewRoman" w:hAnsiTheme="minorHAnsi"/>
              </w:rPr>
              <w:t>ś</w:t>
            </w:r>
            <w:r w:rsidRPr="00584330">
              <w:rPr>
                <w:rFonts w:asciiTheme="minorHAnsi" w:hAnsiTheme="minorHAnsi"/>
              </w:rPr>
              <w:t>ciwo</w:t>
            </w:r>
            <w:r w:rsidRPr="00584330">
              <w:rPr>
                <w:rFonts w:asciiTheme="minorHAnsi" w:eastAsia="TimesNewRoman" w:hAnsiTheme="minorHAnsi"/>
              </w:rPr>
              <w:t>ś</w:t>
            </w:r>
            <w:r w:rsidRPr="00584330">
              <w:rPr>
                <w:rFonts w:asciiTheme="minorHAnsi" w:hAnsiTheme="minorHAnsi"/>
              </w:rPr>
              <w:t>ci surowców i warunków twardnienia, nie s</w:t>
            </w:r>
            <w:r w:rsidRPr="00584330">
              <w:rPr>
                <w:rFonts w:asciiTheme="minorHAnsi" w:eastAsia="TimesNewRoman" w:hAnsiTheme="minorHAnsi"/>
              </w:rPr>
              <w:t xml:space="preserve">ą </w:t>
            </w:r>
            <w:r w:rsidRPr="00584330">
              <w:rPr>
                <w:rFonts w:asciiTheme="minorHAnsi" w:hAnsiTheme="minorHAnsi"/>
              </w:rPr>
              <w:t>uważane za istotne</w:t>
            </w:r>
          </w:p>
        </w:tc>
      </w:tr>
      <w:tr w:rsidR="004F5BEB" w:rsidRPr="00584330" w:rsidTr="004F5BEB">
        <w:tc>
          <w:tcPr>
            <w:tcW w:w="675"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3.3</w:t>
            </w:r>
          </w:p>
        </w:tc>
        <w:tc>
          <w:tcPr>
            <w:tcW w:w="3686" w:type="dxa"/>
            <w:shd w:val="clear" w:color="auto" w:fill="auto"/>
          </w:tcPr>
          <w:p w:rsidR="004F5BEB" w:rsidRPr="00584330" w:rsidRDefault="004F5BEB" w:rsidP="004F5BEB">
            <w:pPr>
              <w:numPr>
                <w:ilvl w:val="12"/>
                <w:numId w:val="0"/>
              </w:numPr>
              <w:rPr>
                <w:rFonts w:asciiTheme="minorHAnsi" w:hAnsiTheme="minorHAnsi"/>
              </w:rPr>
            </w:pPr>
            <w:r w:rsidRPr="00584330">
              <w:rPr>
                <w:rFonts w:asciiTheme="minorHAnsi" w:hAnsiTheme="minorHAnsi"/>
              </w:rPr>
              <w:t>Zabarwienie</w:t>
            </w:r>
          </w:p>
        </w:tc>
        <w:tc>
          <w:tcPr>
            <w:tcW w:w="1005" w:type="dxa"/>
            <w:shd w:val="clear" w:color="auto" w:fill="auto"/>
          </w:tcPr>
          <w:p w:rsidR="004F5BEB" w:rsidRPr="00584330" w:rsidRDefault="004F5BEB" w:rsidP="004F5BEB">
            <w:pPr>
              <w:numPr>
                <w:ilvl w:val="12"/>
                <w:numId w:val="0"/>
              </w:numPr>
              <w:jc w:val="center"/>
              <w:rPr>
                <w:rFonts w:asciiTheme="minorHAnsi" w:hAnsiTheme="minorHAnsi"/>
              </w:rPr>
            </w:pPr>
            <w:r w:rsidRPr="00584330">
              <w:rPr>
                <w:rFonts w:asciiTheme="minorHAnsi" w:hAnsiTheme="minorHAnsi"/>
              </w:rPr>
              <w:t>J</w:t>
            </w:r>
          </w:p>
        </w:tc>
        <w:tc>
          <w:tcPr>
            <w:tcW w:w="4381" w:type="dxa"/>
            <w:gridSpan w:val="3"/>
            <w:shd w:val="clear" w:color="auto" w:fill="auto"/>
          </w:tcPr>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a) barwiona może by</w:t>
            </w:r>
            <w:r w:rsidRPr="00584330">
              <w:rPr>
                <w:rFonts w:asciiTheme="minorHAnsi" w:eastAsia="TimesNewRoman" w:hAnsiTheme="minorHAnsi"/>
              </w:rPr>
              <w:t xml:space="preserve">ć </w:t>
            </w:r>
            <w:r w:rsidRPr="00584330">
              <w:rPr>
                <w:rFonts w:asciiTheme="minorHAnsi" w:hAnsiTheme="minorHAnsi"/>
              </w:rPr>
              <w:t xml:space="preserve">warstwa </w:t>
            </w:r>
            <w:r w:rsidRPr="00584330">
              <w:rPr>
                <w:rFonts w:asciiTheme="minorHAnsi" w:eastAsia="TimesNewRoman" w:hAnsiTheme="minorHAnsi"/>
              </w:rPr>
              <w:t>ś</w:t>
            </w:r>
            <w:r w:rsidRPr="00584330">
              <w:rPr>
                <w:rFonts w:asciiTheme="minorHAnsi" w:hAnsiTheme="minorHAnsi"/>
              </w:rPr>
              <w:t>cieralna lub cały</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element,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 zabarwienie powinno by</w:t>
            </w:r>
            <w:r w:rsidRPr="00584330">
              <w:rPr>
                <w:rFonts w:asciiTheme="minorHAnsi" w:eastAsia="TimesNewRoman" w:hAnsiTheme="minorHAnsi"/>
              </w:rPr>
              <w:t xml:space="preserve">ć </w:t>
            </w:r>
            <w:r w:rsidRPr="00584330">
              <w:rPr>
                <w:rFonts w:asciiTheme="minorHAnsi" w:hAnsiTheme="minorHAnsi"/>
              </w:rPr>
              <w:t>porównane z próbkami</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dostarczonymi przez producenta, zatwierdzonymi przez odbiorc</w:t>
            </w:r>
            <w:r w:rsidRPr="00584330">
              <w:rPr>
                <w:rFonts w:asciiTheme="minorHAnsi" w:eastAsia="TimesNewRoman" w:hAnsiTheme="minorHAnsi"/>
              </w:rPr>
              <w:t>ę</w:t>
            </w:r>
            <w:r w:rsidRPr="00584330">
              <w:rPr>
                <w:rFonts w:asciiTheme="minorHAnsi" w:hAnsiTheme="minorHAnsi"/>
              </w:rPr>
              <w:t>,</w:t>
            </w:r>
          </w:p>
          <w:p w:rsidR="004F5BEB" w:rsidRPr="00584330" w:rsidRDefault="004F5BEB" w:rsidP="004F5BEB">
            <w:pPr>
              <w:numPr>
                <w:ilvl w:val="0"/>
                <w:numId w:val="15"/>
              </w:numPr>
              <w:overflowPunct/>
              <w:jc w:val="left"/>
              <w:textAlignment w:val="auto"/>
              <w:rPr>
                <w:rFonts w:asciiTheme="minorHAnsi" w:hAnsiTheme="minorHAnsi"/>
              </w:rPr>
            </w:pPr>
            <w:r w:rsidRPr="00584330">
              <w:rPr>
                <w:rFonts w:asciiTheme="minorHAnsi" w:hAnsiTheme="minorHAnsi"/>
              </w:rPr>
              <w:t>różnice w jednolito</w:t>
            </w:r>
            <w:r w:rsidRPr="00584330">
              <w:rPr>
                <w:rFonts w:asciiTheme="minorHAnsi" w:eastAsia="TimesNewRoman" w:hAnsiTheme="minorHAnsi"/>
              </w:rPr>
              <w:t>ś</w:t>
            </w:r>
            <w:r w:rsidRPr="00584330">
              <w:rPr>
                <w:rFonts w:asciiTheme="minorHAnsi" w:hAnsiTheme="minorHAnsi"/>
              </w:rPr>
              <w:t>ci zabarwienia, spowodowane nieuniknionymi zmianami wła</w:t>
            </w:r>
            <w:r w:rsidRPr="00584330">
              <w:rPr>
                <w:rFonts w:asciiTheme="minorHAnsi" w:eastAsia="TimesNewRoman" w:hAnsiTheme="minorHAnsi"/>
              </w:rPr>
              <w:t>ś</w:t>
            </w:r>
            <w:r w:rsidRPr="00584330">
              <w:rPr>
                <w:rFonts w:asciiTheme="minorHAnsi" w:hAnsiTheme="minorHAnsi"/>
              </w:rPr>
              <w:t>ciwo</w:t>
            </w:r>
            <w:r w:rsidRPr="00584330">
              <w:rPr>
                <w:rFonts w:asciiTheme="minorHAnsi" w:eastAsia="TimesNewRoman" w:hAnsiTheme="minorHAnsi"/>
              </w:rPr>
              <w:t>ś</w:t>
            </w:r>
            <w:r w:rsidRPr="00584330">
              <w:rPr>
                <w:rFonts w:asciiTheme="minorHAnsi" w:hAnsiTheme="minorHAnsi"/>
              </w:rPr>
              <w:t>ci surowców lub warunków dojrzewania betonu, nie s</w:t>
            </w:r>
            <w:r w:rsidRPr="00584330">
              <w:rPr>
                <w:rFonts w:asciiTheme="minorHAnsi" w:eastAsia="TimesNewRoman" w:hAnsiTheme="minorHAnsi"/>
              </w:rPr>
              <w:t xml:space="preserve">ą </w:t>
            </w:r>
            <w:r w:rsidRPr="00584330">
              <w:rPr>
                <w:rFonts w:asciiTheme="minorHAnsi" w:hAnsiTheme="minorHAnsi"/>
              </w:rPr>
              <w:t>uważane za istotne</w:t>
            </w:r>
          </w:p>
        </w:tc>
      </w:tr>
    </w:tbl>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Kraw</w:t>
      </w:r>
      <w:r w:rsidRPr="00584330">
        <w:rPr>
          <w:rFonts w:asciiTheme="minorHAnsi" w:eastAsia="TimesNewRoman" w:hAnsiTheme="minorHAnsi"/>
        </w:rPr>
        <w:t>ęż</w:t>
      </w:r>
      <w:r w:rsidRPr="00584330">
        <w:rPr>
          <w:rFonts w:asciiTheme="minorHAnsi" w:hAnsiTheme="minorHAnsi"/>
        </w:rPr>
        <w:t>niki betonowe mog</w:t>
      </w:r>
      <w:r w:rsidRPr="00584330">
        <w:rPr>
          <w:rFonts w:asciiTheme="minorHAnsi" w:eastAsia="TimesNewRoman" w:hAnsiTheme="minorHAnsi"/>
        </w:rPr>
        <w:t xml:space="preserve">ą </w:t>
      </w:r>
      <w:r w:rsidRPr="00584330">
        <w:rPr>
          <w:rFonts w:asciiTheme="minorHAnsi" w:hAnsiTheme="minorHAnsi"/>
        </w:rPr>
        <w:t>by</w:t>
      </w:r>
      <w:r w:rsidRPr="00584330">
        <w:rPr>
          <w:rFonts w:asciiTheme="minorHAnsi" w:eastAsia="TimesNewRoman" w:hAnsiTheme="minorHAnsi"/>
        </w:rPr>
        <w:t xml:space="preserve">ć </w:t>
      </w:r>
      <w:r w:rsidRPr="00584330">
        <w:rPr>
          <w:rFonts w:asciiTheme="minorHAnsi" w:hAnsiTheme="minorHAnsi"/>
        </w:rPr>
        <w:t>przechowywane na składowiskach otwartych, posegregowane według typów, rodzajów, kształtów, cech fizycznych i mechanicznych, wielko</w:t>
      </w:r>
      <w:r w:rsidRPr="00584330">
        <w:rPr>
          <w:rFonts w:asciiTheme="minorHAnsi" w:eastAsia="TimesNewRoman" w:hAnsiTheme="minorHAnsi"/>
        </w:rPr>
        <w:t>ś</w:t>
      </w:r>
      <w:r w:rsidRPr="00584330">
        <w:rPr>
          <w:rFonts w:asciiTheme="minorHAnsi" w:hAnsiTheme="minorHAnsi"/>
        </w:rPr>
        <w:t>ci, wygl</w:t>
      </w:r>
      <w:r w:rsidRPr="00584330">
        <w:rPr>
          <w:rFonts w:asciiTheme="minorHAnsi" w:eastAsia="TimesNewRoman" w:hAnsiTheme="minorHAnsi"/>
        </w:rPr>
        <w:t>ą</w:t>
      </w:r>
      <w:r w:rsidRPr="00584330">
        <w:rPr>
          <w:rFonts w:asciiTheme="minorHAnsi" w:hAnsiTheme="minorHAnsi"/>
        </w:rPr>
        <w:t>du itp.</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Kraw</w:t>
      </w:r>
      <w:r w:rsidRPr="00584330">
        <w:rPr>
          <w:rFonts w:asciiTheme="minorHAnsi" w:eastAsia="TimesNewRoman" w:hAnsiTheme="minorHAnsi"/>
        </w:rPr>
        <w:t>ęż</w:t>
      </w:r>
      <w:r w:rsidRPr="00584330">
        <w:rPr>
          <w:rFonts w:asciiTheme="minorHAnsi" w:hAnsiTheme="minorHAnsi"/>
        </w:rPr>
        <w:t>niki betonowe należy układa</w:t>
      </w:r>
      <w:r w:rsidRPr="00584330">
        <w:rPr>
          <w:rFonts w:asciiTheme="minorHAnsi" w:eastAsia="TimesNewRoman" w:hAnsiTheme="minorHAnsi"/>
        </w:rPr>
        <w:t xml:space="preserve">ć </w:t>
      </w:r>
      <w:r w:rsidRPr="00584330">
        <w:rPr>
          <w:rFonts w:asciiTheme="minorHAnsi" w:hAnsiTheme="minorHAnsi"/>
        </w:rPr>
        <w:t>z zastosowaniem podkładek i przekładek drewnianych o wymiarach: grubo</w:t>
      </w:r>
      <w:r w:rsidRPr="00584330">
        <w:rPr>
          <w:rFonts w:asciiTheme="minorHAnsi" w:eastAsia="TimesNewRoman" w:hAnsiTheme="minorHAnsi"/>
        </w:rPr>
        <w:t xml:space="preserve">ść </w:t>
      </w:r>
      <w:r w:rsidRPr="00584330">
        <w:rPr>
          <w:rFonts w:asciiTheme="minorHAnsi" w:hAnsiTheme="minorHAnsi"/>
        </w:rPr>
        <w:t>2,5 cm, szeroko</w:t>
      </w:r>
      <w:r w:rsidRPr="00584330">
        <w:rPr>
          <w:rFonts w:asciiTheme="minorHAnsi" w:eastAsia="TimesNewRoman" w:hAnsiTheme="minorHAnsi"/>
        </w:rPr>
        <w:t xml:space="preserve">ść </w:t>
      </w:r>
      <w:r w:rsidRPr="00584330">
        <w:rPr>
          <w:rFonts w:asciiTheme="minorHAnsi" w:hAnsiTheme="minorHAnsi"/>
        </w:rPr>
        <w:t>5 cm, długo</w:t>
      </w:r>
      <w:r w:rsidRPr="00584330">
        <w:rPr>
          <w:rFonts w:asciiTheme="minorHAnsi" w:eastAsia="TimesNewRoman" w:hAnsiTheme="minorHAnsi"/>
        </w:rPr>
        <w:t>ś</w:t>
      </w:r>
      <w:r w:rsidRPr="00584330">
        <w:rPr>
          <w:rFonts w:asciiTheme="minorHAnsi" w:hAnsiTheme="minorHAnsi"/>
        </w:rPr>
        <w:t>ci min. 5 cm wi</w:t>
      </w:r>
      <w:r w:rsidRPr="00584330">
        <w:rPr>
          <w:rFonts w:asciiTheme="minorHAnsi" w:eastAsia="TimesNewRoman" w:hAnsiTheme="minorHAnsi"/>
        </w:rPr>
        <w:t>ę</w:t>
      </w:r>
      <w:r w:rsidRPr="00584330">
        <w:rPr>
          <w:rFonts w:asciiTheme="minorHAnsi" w:hAnsiTheme="minorHAnsi"/>
        </w:rPr>
        <w:t>kszej od szeroko</w:t>
      </w:r>
      <w:r w:rsidRPr="00584330">
        <w:rPr>
          <w:rFonts w:asciiTheme="minorHAnsi" w:eastAsia="TimesNewRoman" w:hAnsiTheme="minorHAnsi"/>
        </w:rPr>
        <w:t>ś</w:t>
      </w:r>
      <w:r w:rsidRPr="00584330">
        <w:rPr>
          <w:rFonts w:asciiTheme="minorHAnsi" w:hAnsiTheme="minorHAnsi"/>
        </w:rPr>
        <w:t>ci kraw</w:t>
      </w:r>
      <w:r w:rsidRPr="00584330">
        <w:rPr>
          <w:rFonts w:asciiTheme="minorHAnsi" w:eastAsia="TimesNewRoman" w:hAnsiTheme="minorHAnsi"/>
        </w:rPr>
        <w:t>ęż</w:t>
      </w:r>
      <w:r w:rsidRPr="00584330">
        <w:rPr>
          <w:rFonts w:asciiTheme="minorHAnsi" w:hAnsiTheme="minorHAnsi"/>
        </w:rPr>
        <w:t>nika.</w:t>
      </w:r>
    </w:p>
    <w:p w:rsidR="004F5BEB" w:rsidRPr="00584330" w:rsidRDefault="004F5BEB" w:rsidP="004F5BEB">
      <w:pPr>
        <w:pStyle w:val="Nagwek4"/>
        <w:rPr>
          <w:rFonts w:asciiTheme="minorHAnsi" w:hAnsiTheme="minorHAnsi"/>
        </w:rPr>
      </w:pPr>
      <w:r w:rsidRPr="00584330">
        <w:rPr>
          <w:rFonts w:asciiTheme="minorHAnsi" w:hAnsiTheme="minorHAnsi"/>
        </w:rPr>
        <w:t xml:space="preserve">2.4. Wyroby na podsypkę </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Podsypk</w:t>
      </w:r>
      <w:r w:rsidRPr="00584330">
        <w:rPr>
          <w:rFonts w:asciiTheme="minorHAnsi" w:eastAsia="TimesNewRoman" w:hAnsiTheme="minorHAnsi"/>
        </w:rPr>
        <w:t xml:space="preserve">ę </w:t>
      </w:r>
      <w:r w:rsidRPr="00584330">
        <w:rPr>
          <w:rFonts w:asciiTheme="minorHAnsi" w:hAnsiTheme="minorHAnsi"/>
        </w:rPr>
        <w:t>pod kraw</w:t>
      </w:r>
      <w:r w:rsidRPr="00584330">
        <w:rPr>
          <w:rFonts w:asciiTheme="minorHAnsi" w:eastAsia="TimesNewRoman" w:hAnsiTheme="minorHAnsi"/>
        </w:rPr>
        <w:t>ęż</w:t>
      </w:r>
      <w:r w:rsidRPr="00584330">
        <w:rPr>
          <w:rFonts w:asciiTheme="minorHAnsi" w:hAnsiTheme="minorHAnsi"/>
        </w:rPr>
        <w:t>nik należy wykona</w:t>
      </w:r>
      <w:r w:rsidRPr="00584330">
        <w:rPr>
          <w:rFonts w:asciiTheme="minorHAnsi" w:eastAsia="TimesNewRoman" w:hAnsiTheme="minorHAnsi"/>
        </w:rPr>
        <w:t xml:space="preserve">ć </w:t>
      </w:r>
      <w:r w:rsidRPr="00584330">
        <w:rPr>
          <w:rFonts w:asciiTheme="minorHAnsi" w:hAnsiTheme="minorHAnsi"/>
        </w:rPr>
        <w:t xml:space="preserve">jako cementowo - kruszywowa w proporcji 1:3 </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xml:space="preserve">- cement portlandzki </w:t>
      </w:r>
      <w:r w:rsidR="00357120">
        <w:rPr>
          <w:rFonts w:asciiTheme="minorHAnsi" w:hAnsiTheme="minorHAnsi"/>
        </w:rPr>
        <w:t xml:space="preserve">min </w:t>
      </w:r>
      <w:r w:rsidRPr="00584330">
        <w:rPr>
          <w:rFonts w:asciiTheme="minorHAnsi" w:hAnsiTheme="minorHAnsi"/>
        </w:rPr>
        <w:t>32,5- odpowiadaj</w:t>
      </w:r>
      <w:r w:rsidRPr="00584330">
        <w:rPr>
          <w:rFonts w:asciiTheme="minorHAnsi" w:eastAsia="TimesNewRoman" w:hAnsiTheme="minorHAnsi"/>
        </w:rPr>
        <w:t>ą</w:t>
      </w:r>
      <w:r w:rsidRPr="00584330">
        <w:rPr>
          <w:rFonts w:asciiTheme="minorHAnsi" w:hAnsiTheme="minorHAnsi"/>
        </w:rPr>
        <w:t>cy wymaganiom PN-EN 197-1</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kruszywo- należy stosowa</w:t>
      </w:r>
      <w:r w:rsidRPr="00584330">
        <w:rPr>
          <w:rFonts w:asciiTheme="minorHAnsi" w:eastAsia="TimesNewRoman" w:hAnsiTheme="minorHAnsi"/>
        </w:rPr>
        <w:t xml:space="preserve">ć </w:t>
      </w:r>
      <w:r w:rsidRPr="00584330">
        <w:rPr>
          <w:rFonts w:asciiTheme="minorHAnsi" w:hAnsiTheme="minorHAnsi"/>
        </w:rPr>
        <w:t>kruszywo naturalne niełamane 0/2, kategorii 2 o zawarto</w:t>
      </w:r>
      <w:r w:rsidRPr="00584330">
        <w:rPr>
          <w:rFonts w:asciiTheme="minorHAnsi" w:eastAsia="TimesNewRoman" w:hAnsiTheme="minorHAnsi"/>
        </w:rPr>
        <w:t>ś</w:t>
      </w:r>
      <w:r w:rsidRPr="00584330">
        <w:rPr>
          <w:rFonts w:asciiTheme="minorHAnsi" w:hAnsiTheme="minorHAnsi"/>
        </w:rPr>
        <w:t>ci pyłów nie przekraczaj</w:t>
      </w:r>
      <w:r w:rsidRPr="00584330">
        <w:rPr>
          <w:rFonts w:asciiTheme="minorHAnsi" w:eastAsia="TimesNewRoman" w:hAnsiTheme="minorHAnsi"/>
        </w:rPr>
        <w:t>ą</w:t>
      </w:r>
      <w:r w:rsidRPr="00584330">
        <w:rPr>
          <w:rFonts w:asciiTheme="minorHAnsi" w:hAnsiTheme="minorHAnsi"/>
        </w:rPr>
        <w:t>cej 5% odpowiadaj</w:t>
      </w:r>
      <w:r w:rsidRPr="00584330">
        <w:rPr>
          <w:rFonts w:asciiTheme="minorHAnsi" w:eastAsia="TimesNewRoman" w:hAnsiTheme="minorHAnsi"/>
        </w:rPr>
        <w:t>ą</w:t>
      </w:r>
      <w:r w:rsidRPr="00584330">
        <w:rPr>
          <w:rFonts w:asciiTheme="minorHAnsi" w:hAnsiTheme="minorHAnsi"/>
        </w:rPr>
        <w:t>ce wymaganiom PN-EN 13139,</w:t>
      </w:r>
    </w:p>
    <w:p w:rsidR="004F5BEB" w:rsidRPr="00584330" w:rsidRDefault="004F5BEB" w:rsidP="004F5BEB">
      <w:pPr>
        <w:pStyle w:val="Nagwek4"/>
        <w:rPr>
          <w:rFonts w:asciiTheme="minorHAnsi" w:hAnsiTheme="minorHAnsi"/>
        </w:rPr>
      </w:pPr>
      <w:r w:rsidRPr="00584330">
        <w:rPr>
          <w:rFonts w:asciiTheme="minorHAnsi" w:hAnsiTheme="minorHAnsi"/>
        </w:rPr>
        <w:t>2.5. Wyroby na ławy</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Ława betonowa pod kraw</w:t>
      </w:r>
      <w:r w:rsidRPr="00584330">
        <w:rPr>
          <w:rFonts w:asciiTheme="minorHAnsi" w:eastAsia="TimesNewRoman" w:hAnsiTheme="minorHAnsi"/>
        </w:rPr>
        <w:t>ęż</w:t>
      </w:r>
      <w:r w:rsidRPr="00584330">
        <w:rPr>
          <w:rFonts w:asciiTheme="minorHAnsi" w:hAnsiTheme="minorHAnsi"/>
        </w:rPr>
        <w:t>nik oraz opór wykonane b</w:t>
      </w:r>
      <w:r w:rsidRPr="00584330">
        <w:rPr>
          <w:rFonts w:asciiTheme="minorHAnsi" w:eastAsia="TimesNewRoman" w:hAnsiTheme="minorHAnsi"/>
        </w:rPr>
        <w:t>ę</w:t>
      </w:r>
      <w:r w:rsidRPr="00584330">
        <w:rPr>
          <w:rFonts w:asciiTheme="minorHAnsi" w:hAnsiTheme="minorHAnsi"/>
        </w:rPr>
        <w:t>d</w:t>
      </w:r>
      <w:r w:rsidRPr="00584330">
        <w:rPr>
          <w:rFonts w:asciiTheme="minorHAnsi" w:eastAsia="TimesNewRoman" w:hAnsiTheme="minorHAnsi"/>
        </w:rPr>
        <w:t xml:space="preserve">ą </w:t>
      </w:r>
      <w:r w:rsidRPr="00584330">
        <w:rPr>
          <w:rFonts w:asciiTheme="minorHAnsi" w:hAnsiTheme="minorHAnsi"/>
        </w:rPr>
        <w:t>z betonu klasy C12/15 wg PN-EN 206-1 przy użyciu kruszywa wg PN-EN 12620 kategorii:</w:t>
      </w:r>
    </w:p>
    <w:p w:rsidR="004F5BEB" w:rsidRPr="005951E7" w:rsidRDefault="004F5BEB" w:rsidP="004F5BEB">
      <w:pPr>
        <w:overflowPunct/>
        <w:jc w:val="left"/>
        <w:textAlignment w:val="auto"/>
        <w:rPr>
          <w:rFonts w:asciiTheme="minorHAnsi" w:hAnsiTheme="minorHAnsi"/>
          <w:lang w:val="de-DE"/>
        </w:rPr>
      </w:pPr>
      <w:r w:rsidRPr="005951E7">
        <w:rPr>
          <w:rFonts w:asciiTheme="minorHAnsi" w:hAnsiTheme="minorHAnsi"/>
          <w:lang w:val="de-DE"/>
        </w:rPr>
        <w:t>- grube Gc90/15, f4, F2, SI40,</w:t>
      </w:r>
    </w:p>
    <w:p w:rsidR="004F5BEB" w:rsidRPr="00584330" w:rsidRDefault="004F5BEB" w:rsidP="004F5BEB">
      <w:pPr>
        <w:ind w:left="-283" w:firstLine="283"/>
        <w:rPr>
          <w:rFonts w:asciiTheme="minorHAnsi" w:hAnsiTheme="minorHAnsi"/>
        </w:rPr>
      </w:pPr>
      <w:r w:rsidRPr="00584330">
        <w:rPr>
          <w:rFonts w:asciiTheme="minorHAnsi" w:hAnsiTheme="minorHAnsi"/>
        </w:rPr>
        <w:t>- drobne GF85, zawarto</w:t>
      </w:r>
      <w:r w:rsidRPr="00584330">
        <w:rPr>
          <w:rFonts w:asciiTheme="minorHAnsi" w:eastAsia="TimesNewRoman" w:hAnsiTheme="minorHAnsi"/>
        </w:rPr>
        <w:t xml:space="preserve">ść </w:t>
      </w:r>
      <w:r w:rsidRPr="00584330">
        <w:rPr>
          <w:rFonts w:asciiTheme="minorHAnsi" w:hAnsiTheme="minorHAnsi"/>
        </w:rPr>
        <w:t>pyłów do 3% (f3),.</w:t>
      </w:r>
    </w:p>
    <w:p w:rsidR="004F5BEB" w:rsidRPr="00584330" w:rsidRDefault="004F5BEB" w:rsidP="004F5BEB">
      <w:pPr>
        <w:pStyle w:val="Nagwek4"/>
        <w:rPr>
          <w:rFonts w:asciiTheme="minorHAnsi" w:hAnsiTheme="minorHAnsi"/>
        </w:rPr>
      </w:pPr>
      <w:r w:rsidRPr="00584330">
        <w:rPr>
          <w:rFonts w:asciiTheme="minorHAnsi" w:hAnsiTheme="minorHAnsi"/>
        </w:rPr>
        <w:t>2.7. Masa zalewowa</w:t>
      </w:r>
    </w:p>
    <w:p w:rsidR="004F5BEB" w:rsidRPr="00584330" w:rsidRDefault="004F5BEB" w:rsidP="004F5BEB">
      <w:pPr>
        <w:rPr>
          <w:rFonts w:asciiTheme="minorHAnsi" w:hAnsiTheme="minorHAnsi"/>
        </w:rPr>
      </w:pPr>
      <w:r w:rsidRPr="00584330">
        <w:rPr>
          <w:rFonts w:asciiTheme="minorHAnsi" w:hAnsiTheme="minorHAnsi"/>
        </w:rPr>
        <w:t>Masa zalewowa, do wypełnienia szczelin dylatacyjnych na gorąco, powinna odpowiadać wymaganiom PN-EN 14188-1 lub na zimno PN-EN 14188-2.</w:t>
      </w:r>
    </w:p>
    <w:p w:rsidR="004F5BEB" w:rsidRPr="00584330" w:rsidRDefault="004F5BEB" w:rsidP="004F5BEB">
      <w:pPr>
        <w:pStyle w:val="Nagwek3"/>
        <w:rPr>
          <w:rFonts w:asciiTheme="minorHAnsi" w:hAnsiTheme="minorHAnsi"/>
        </w:rPr>
      </w:pPr>
      <w:bookmarkStart w:id="1169" w:name="_Toc428239274"/>
      <w:bookmarkStart w:id="1170" w:name="_Toc428759423"/>
      <w:r w:rsidRPr="00584330">
        <w:rPr>
          <w:rFonts w:asciiTheme="minorHAnsi" w:hAnsiTheme="minorHAnsi"/>
        </w:rPr>
        <w:t>3. SPRZĘT</w:t>
      </w:r>
      <w:bookmarkEnd w:id="1169"/>
      <w:bookmarkEnd w:id="1170"/>
    </w:p>
    <w:p w:rsidR="004F5BEB" w:rsidRPr="00584330" w:rsidRDefault="004F5BEB" w:rsidP="004F5BEB">
      <w:pPr>
        <w:pStyle w:val="Nagwek4"/>
        <w:rPr>
          <w:rFonts w:asciiTheme="minorHAnsi" w:hAnsiTheme="minorHAnsi"/>
        </w:rPr>
      </w:pPr>
      <w:r w:rsidRPr="00584330">
        <w:rPr>
          <w:rFonts w:asciiTheme="minorHAnsi" w:hAnsiTheme="minorHAnsi"/>
        </w:rPr>
        <w:t>3.1. Ogólne wymagania dotyczące sprzętu</w:t>
      </w:r>
    </w:p>
    <w:p w:rsidR="004F5BEB" w:rsidRPr="00584330" w:rsidRDefault="004F5BEB" w:rsidP="004F5BEB">
      <w:pPr>
        <w:tabs>
          <w:tab w:val="right" w:leader="dot" w:pos="-1985"/>
          <w:tab w:val="left" w:pos="284"/>
        </w:tabs>
        <w:rPr>
          <w:rFonts w:asciiTheme="minorHAnsi" w:hAnsiTheme="minorHAnsi"/>
        </w:rPr>
      </w:pPr>
      <w:r w:rsidRPr="00584330">
        <w:rPr>
          <w:rFonts w:asciiTheme="minorHAnsi" w:hAnsiTheme="minorHAnsi"/>
        </w:rPr>
        <w:t>Ogólne wymagania dotyczące sprzętu podano w STWiORB D-M-00.00.00 „Wymagania ogólne” pkt 3.</w:t>
      </w:r>
    </w:p>
    <w:p w:rsidR="004F5BEB" w:rsidRPr="00584330" w:rsidRDefault="004F5BEB" w:rsidP="004F5BEB">
      <w:pPr>
        <w:pStyle w:val="Nagwek4"/>
        <w:rPr>
          <w:rFonts w:asciiTheme="minorHAnsi" w:hAnsiTheme="minorHAnsi"/>
        </w:rPr>
      </w:pPr>
      <w:r w:rsidRPr="00584330">
        <w:rPr>
          <w:rFonts w:asciiTheme="minorHAnsi" w:hAnsiTheme="minorHAnsi"/>
        </w:rPr>
        <w:t xml:space="preserve">3.2. Sprzęt </w:t>
      </w:r>
    </w:p>
    <w:p w:rsidR="004F5BEB" w:rsidRPr="00584330" w:rsidRDefault="004F5BEB" w:rsidP="004F5BEB">
      <w:pPr>
        <w:tabs>
          <w:tab w:val="right" w:leader="dot" w:pos="-1985"/>
          <w:tab w:val="left" w:pos="284"/>
        </w:tabs>
        <w:rPr>
          <w:rFonts w:asciiTheme="minorHAnsi" w:hAnsiTheme="minorHAnsi"/>
        </w:rPr>
      </w:pPr>
      <w:r w:rsidRPr="00584330">
        <w:rPr>
          <w:rFonts w:asciiTheme="minorHAnsi" w:hAnsiTheme="minorHAnsi"/>
          <w:b/>
        </w:rPr>
        <w:tab/>
      </w:r>
      <w:r w:rsidRPr="00584330">
        <w:rPr>
          <w:rFonts w:asciiTheme="minorHAnsi" w:hAnsiTheme="minorHAnsi"/>
        </w:rPr>
        <w:t>Roboty wykonuje się ręcznie przy zastosowaniu:</w:t>
      </w:r>
    </w:p>
    <w:p w:rsidR="004F5BEB" w:rsidRPr="00584330" w:rsidRDefault="004F5BEB" w:rsidP="00973D29">
      <w:pPr>
        <w:numPr>
          <w:ilvl w:val="0"/>
          <w:numId w:val="38"/>
        </w:numPr>
        <w:tabs>
          <w:tab w:val="right" w:leader="dot" w:pos="-1985"/>
          <w:tab w:val="left" w:pos="284"/>
        </w:tabs>
        <w:ind w:left="284" w:hanging="284"/>
        <w:rPr>
          <w:rFonts w:asciiTheme="minorHAnsi" w:hAnsiTheme="minorHAnsi"/>
        </w:rPr>
      </w:pPr>
      <w:r w:rsidRPr="00584330">
        <w:rPr>
          <w:rFonts w:asciiTheme="minorHAnsi" w:hAnsiTheme="minorHAnsi"/>
        </w:rPr>
        <w:t>betoniarek do wytwarzania betonu i zapraw oraz przygotowania podsypki cementowo-piaskowej,</w:t>
      </w:r>
    </w:p>
    <w:p w:rsidR="004F5BEB" w:rsidRPr="00584330" w:rsidRDefault="004F5BEB" w:rsidP="00973D29">
      <w:pPr>
        <w:numPr>
          <w:ilvl w:val="0"/>
          <w:numId w:val="38"/>
        </w:numPr>
        <w:tabs>
          <w:tab w:val="right" w:leader="dot" w:pos="-1985"/>
          <w:tab w:val="left" w:pos="284"/>
        </w:tabs>
        <w:ind w:left="284" w:hanging="284"/>
        <w:rPr>
          <w:rFonts w:asciiTheme="minorHAnsi" w:hAnsiTheme="minorHAnsi"/>
        </w:rPr>
      </w:pPr>
      <w:r w:rsidRPr="00584330">
        <w:rPr>
          <w:rFonts w:asciiTheme="minorHAnsi" w:hAnsiTheme="minorHAnsi"/>
        </w:rPr>
        <w:t>wibratorów płytowych, ubijaków ręcznych lub mechanicznych.</w:t>
      </w:r>
    </w:p>
    <w:p w:rsidR="004F5BEB" w:rsidRPr="00584330" w:rsidRDefault="004F5BEB" w:rsidP="004F5BEB">
      <w:pPr>
        <w:pStyle w:val="Nagwek3"/>
        <w:rPr>
          <w:rFonts w:asciiTheme="minorHAnsi" w:hAnsiTheme="minorHAnsi"/>
        </w:rPr>
      </w:pPr>
      <w:bookmarkStart w:id="1171" w:name="_Toc428239275"/>
      <w:bookmarkStart w:id="1172" w:name="_Toc428759424"/>
      <w:r w:rsidRPr="00584330">
        <w:rPr>
          <w:rFonts w:asciiTheme="minorHAnsi" w:hAnsiTheme="minorHAnsi"/>
        </w:rPr>
        <w:lastRenderedPageBreak/>
        <w:t>4. TRANSPORT</w:t>
      </w:r>
      <w:bookmarkEnd w:id="1171"/>
      <w:bookmarkEnd w:id="1172"/>
    </w:p>
    <w:p w:rsidR="004F5BEB" w:rsidRPr="00584330" w:rsidRDefault="004F5BEB" w:rsidP="004F5BEB">
      <w:pPr>
        <w:pStyle w:val="Nagwek4"/>
        <w:rPr>
          <w:rFonts w:asciiTheme="minorHAnsi" w:hAnsiTheme="minorHAnsi"/>
        </w:rPr>
      </w:pPr>
      <w:r w:rsidRPr="00584330">
        <w:rPr>
          <w:rFonts w:asciiTheme="minorHAnsi" w:hAnsiTheme="minorHAnsi"/>
        </w:rPr>
        <w:t>4.1. Ogólne wymagania dotyczące transportu</w:t>
      </w:r>
    </w:p>
    <w:p w:rsidR="004F5BEB" w:rsidRPr="00584330" w:rsidRDefault="004F5BEB" w:rsidP="004F5BEB">
      <w:pPr>
        <w:tabs>
          <w:tab w:val="right" w:leader="dot" w:pos="-1985"/>
          <w:tab w:val="left" w:pos="284"/>
        </w:tabs>
        <w:rPr>
          <w:rFonts w:asciiTheme="minorHAnsi" w:hAnsiTheme="minorHAnsi"/>
        </w:rPr>
      </w:pPr>
      <w:r w:rsidRPr="00584330">
        <w:rPr>
          <w:rFonts w:asciiTheme="minorHAnsi" w:hAnsiTheme="minorHAnsi"/>
        </w:rPr>
        <w:t>Ogólne wymagania dotyczące transportu podano w STWiORB D-M-00.00.00 „Wymagania ogólne” pkt 4.</w:t>
      </w:r>
    </w:p>
    <w:p w:rsidR="004F5BEB" w:rsidRPr="00584330" w:rsidRDefault="004F5BEB" w:rsidP="00790883">
      <w:pPr>
        <w:pStyle w:val="Nagwek4"/>
        <w:numPr>
          <w:ilvl w:val="1"/>
          <w:numId w:val="49"/>
        </w:numPr>
        <w:rPr>
          <w:rFonts w:asciiTheme="minorHAnsi" w:hAnsiTheme="minorHAnsi"/>
        </w:rPr>
      </w:pPr>
      <w:r w:rsidRPr="00584330">
        <w:rPr>
          <w:rFonts w:asciiTheme="minorHAnsi" w:hAnsiTheme="minorHAnsi"/>
        </w:rPr>
        <w:t>Transport krawężników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Kraw</w:t>
      </w:r>
      <w:r w:rsidRPr="00584330">
        <w:rPr>
          <w:rFonts w:asciiTheme="minorHAnsi" w:eastAsia="TimesNewRoman" w:hAnsiTheme="minorHAnsi"/>
        </w:rPr>
        <w:t>ęż</w:t>
      </w:r>
      <w:r w:rsidRPr="00584330">
        <w:rPr>
          <w:rFonts w:asciiTheme="minorHAnsi" w:hAnsiTheme="minorHAnsi"/>
        </w:rPr>
        <w:t>niki betonowe mog</w:t>
      </w:r>
      <w:r w:rsidRPr="00584330">
        <w:rPr>
          <w:rFonts w:asciiTheme="minorHAnsi" w:eastAsia="TimesNewRoman" w:hAnsiTheme="minorHAnsi"/>
        </w:rPr>
        <w:t xml:space="preserve">ą </w:t>
      </w:r>
      <w:r w:rsidRPr="00584330">
        <w:rPr>
          <w:rFonts w:asciiTheme="minorHAnsi" w:hAnsiTheme="minorHAnsi"/>
        </w:rPr>
        <w:t>by</w:t>
      </w:r>
      <w:r w:rsidRPr="00584330">
        <w:rPr>
          <w:rFonts w:asciiTheme="minorHAnsi" w:eastAsia="TimesNewRoman" w:hAnsiTheme="minorHAnsi"/>
        </w:rPr>
        <w:t xml:space="preserve">ć </w:t>
      </w:r>
      <w:r w:rsidRPr="00584330">
        <w:rPr>
          <w:rFonts w:asciiTheme="minorHAnsi" w:hAnsiTheme="minorHAnsi"/>
        </w:rPr>
        <w:t xml:space="preserve">przewożne dowolnymi </w:t>
      </w:r>
      <w:r w:rsidRPr="00584330">
        <w:rPr>
          <w:rFonts w:asciiTheme="minorHAnsi" w:eastAsia="TimesNewRoman" w:hAnsiTheme="minorHAnsi"/>
        </w:rPr>
        <w:t>ś</w:t>
      </w:r>
      <w:r w:rsidRPr="00584330">
        <w:rPr>
          <w:rFonts w:asciiTheme="minorHAnsi" w:hAnsiTheme="minorHAnsi"/>
        </w:rPr>
        <w:t>rodkami transportowymi. Kraw</w:t>
      </w:r>
      <w:r w:rsidRPr="00584330">
        <w:rPr>
          <w:rFonts w:asciiTheme="minorHAnsi" w:eastAsia="TimesNewRoman" w:hAnsiTheme="minorHAnsi"/>
        </w:rPr>
        <w:t>ęż</w:t>
      </w:r>
      <w:r w:rsidRPr="00584330">
        <w:rPr>
          <w:rFonts w:asciiTheme="minorHAnsi" w:hAnsiTheme="minorHAnsi"/>
        </w:rPr>
        <w:t>niki powinny by</w:t>
      </w:r>
      <w:r w:rsidRPr="00584330">
        <w:rPr>
          <w:rFonts w:asciiTheme="minorHAnsi" w:eastAsia="TimesNewRoman" w:hAnsiTheme="minorHAnsi"/>
        </w:rPr>
        <w:t xml:space="preserve">ć </w:t>
      </w:r>
      <w:r w:rsidRPr="00584330">
        <w:rPr>
          <w:rFonts w:asciiTheme="minorHAnsi" w:hAnsiTheme="minorHAnsi"/>
        </w:rPr>
        <w:t>zabezpieczone przed przemieszczeniem si</w:t>
      </w:r>
      <w:r w:rsidRPr="00584330">
        <w:rPr>
          <w:rFonts w:asciiTheme="minorHAnsi" w:eastAsia="TimesNewRoman" w:hAnsiTheme="minorHAnsi"/>
        </w:rPr>
        <w:t xml:space="preserve">ę </w:t>
      </w:r>
      <w:r w:rsidRPr="00584330">
        <w:rPr>
          <w:rFonts w:asciiTheme="minorHAnsi" w:hAnsiTheme="minorHAnsi"/>
        </w:rPr>
        <w:t>i uszkodzeniami w czasie transportu, a górna warstwa nie powinna wystawa</w:t>
      </w:r>
      <w:r w:rsidRPr="00584330">
        <w:rPr>
          <w:rFonts w:asciiTheme="minorHAnsi" w:eastAsia="TimesNewRoman" w:hAnsiTheme="minorHAnsi"/>
        </w:rPr>
        <w:t xml:space="preserve">ć </w:t>
      </w:r>
      <w:r w:rsidRPr="00584330">
        <w:rPr>
          <w:rFonts w:asciiTheme="minorHAnsi" w:hAnsiTheme="minorHAnsi"/>
        </w:rPr>
        <w:t xml:space="preserve">poza </w:t>
      </w:r>
      <w:r w:rsidRPr="00584330">
        <w:rPr>
          <w:rFonts w:asciiTheme="minorHAnsi" w:eastAsia="TimesNewRoman" w:hAnsiTheme="minorHAnsi"/>
        </w:rPr>
        <w:t>ś</w:t>
      </w:r>
      <w:r w:rsidRPr="00584330">
        <w:rPr>
          <w:rFonts w:asciiTheme="minorHAnsi" w:hAnsiTheme="minorHAnsi"/>
        </w:rPr>
        <w:t xml:space="preserve">ciany </w:t>
      </w:r>
      <w:r w:rsidRPr="00584330">
        <w:rPr>
          <w:rFonts w:asciiTheme="minorHAnsi" w:eastAsia="TimesNewRoman" w:hAnsiTheme="minorHAnsi"/>
        </w:rPr>
        <w:t>ś</w:t>
      </w:r>
      <w:r w:rsidRPr="00584330">
        <w:rPr>
          <w:rFonts w:asciiTheme="minorHAnsi" w:hAnsiTheme="minorHAnsi"/>
        </w:rPr>
        <w:t>rodka transportowego wi</w:t>
      </w:r>
      <w:r w:rsidRPr="00584330">
        <w:rPr>
          <w:rFonts w:asciiTheme="minorHAnsi" w:eastAsia="TimesNewRoman" w:hAnsiTheme="minorHAnsi"/>
        </w:rPr>
        <w:t>ę</w:t>
      </w:r>
      <w:r w:rsidRPr="00584330">
        <w:rPr>
          <w:rFonts w:asciiTheme="minorHAnsi" w:hAnsiTheme="minorHAnsi"/>
        </w:rPr>
        <w:t>cej niż</w:t>
      </w:r>
      <w:r w:rsidRPr="00584330">
        <w:rPr>
          <w:rFonts w:asciiTheme="minorHAnsi" w:eastAsia="TimesNewRoman" w:hAnsiTheme="minorHAnsi"/>
        </w:rPr>
        <w:t xml:space="preserve"> </w:t>
      </w:r>
      <w:r w:rsidRPr="00584330">
        <w:rPr>
          <w:rFonts w:asciiTheme="minorHAnsi" w:hAnsiTheme="minorHAnsi"/>
        </w:rPr>
        <w:t>1/3 wysoko</w:t>
      </w:r>
      <w:r w:rsidRPr="00584330">
        <w:rPr>
          <w:rFonts w:asciiTheme="minorHAnsi" w:eastAsia="TimesNewRoman" w:hAnsiTheme="minorHAnsi"/>
        </w:rPr>
        <w:t>ś</w:t>
      </w:r>
      <w:r w:rsidRPr="00584330">
        <w:rPr>
          <w:rFonts w:asciiTheme="minorHAnsi" w:hAnsiTheme="minorHAnsi"/>
        </w:rPr>
        <w:t>ci tej warstwy. Kraw</w:t>
      </w:r>
      <w:r w:rsidRPr="00584330">
        <w:rPr>
          <w:rFonts w:asciiTheme="minorHAnsi" w:eastAsia="TimesNewRoman" w:hAnsiTheme="minorHAnsi"/>
        </w:rPr>
        <w:t>ęż</w:t>
      </w:r>
      <w:r w:rsidRPr="00584330">
        <w:rPr>
          <w:rFonts w:asciiTheme="minorHAnsi" w:hAnsiTheme="minorHAnsi"/>
        </w:rPr>
        <w:t>niki można transportowa</w:t>
      </w:r>
      <w:r w:rsidRPr="00584330">
        <w:rPr>
          <w:rFonts w:asciiTheme="minorHAnsi" w:eastAsia="TimesNewRoman" w:hAnsiTheme="minorHAnsi"/>
        </w:rPr>
        <w:t xml:space="preserve">ć </w:t>
      </w:r>
      <w:r w:rsidRPr="00584330">
        <w:rPr>
          <w:rFonts w:asciiTheme="minorHAnsi" w:hAnsiTheme="minorHAnsi"/>
        </w:rPr>
        <w:t>po osi</w:t>
      </w:r>
      <w:r w:rsidRPr="00584330">
        <w:rPr>
          <w:rFonts w:asciiTheme="minorHAnsi" w:eastAsia="TimesNewRoman" w:hAnsiTheme="minorHAnsi"/>
        </w:rPr>
        <w:t>ą</w:t>
      </w:r>
      <w:r w:rsidRPr="00584330">
        <w:rPr>
          <w:rFonts w:asciiTheme="minorHAnsi" w:hAnsiTheme="minorHAnsi"/>
        </w:rPr>
        <w:t>gni</w:t>
      </w:r>
      <w:r w:rsidRPr="00584330">
        <w:rPr>
          <w:rFonts w:asciiTheme="minorHAnsi" w:eastAsia="TimesNewRoman" w:hAnsiTheme="minorHAnsi"/>
        </w:rPr>
        <w:t>ę</w:t>
      </w:r>
      <w:r w:rsidRPr="00584330">
        <w:rPr>
          <w:rFonts w:asciiTheme="minorHAnsi" w:hAnsiTheme="minorHAnsi"/>
        </w:rPr>
        <w:t>ciu 0,7 wymaganej wytrzymało</w:t>
      </w:r>
      <w:r w:rsidRPr="00584330">
        <w:rPr>
          <w:rFonts w:asciiTheme="minorHAnsi" w:eastAsia="TimesNewRoman" w:hAnsiTheme="minorHAnsi"/>
        </w:rPr>
        <w:t>ś</w:t>
      </w:r>
      <w:r w:rsidRPr="00584330">
        <w:rPr>
          <w:rFonts w:asciiTheme="minorHAnsi" w:hAnsiTheme="minorHAnsi"/>
        </w:rPr>
        <w:t>ci</w:t>
      </w:r>
    </w:p>
    <w:p w:rsidR="004F5BEB" w:rsidRPr="00584330" w:rsidRDefault="004F5BEB" w:rsidP="004F5BEB">
      <w:pPr>
        <w:pStyle w:val="Nagwek4"/>
        <w:rPr>
          <w:rFonts w:asciiTheme="minorHAnsi" w:hAnsiTheme="minorHAnsi"/>
        </w:rPr>
      </w:pPr>
      <w:r w:rsidRPr="00584330">
        <w:rPr>
          <w:rFonts w:asciiTheme="minorHAnsi" w:hAnsiTheme="minorHAnsi"/>
        </w:rPr>
        <w:t>4.3. Transport pozostałych wyrobów</w:t>
      </w:r>
    </w:p>
    <w:p w:rsidR="004F5BEB" w:rsidRPr="00584330" w:rsidRDefault="004F5BEB" w:rsidP="004F5BEB">
      <w:pPr>
        <w:rPr>
          <w:rFonts w:asciiTheme="minorHAnsi" w:hAnsiTheme="minorHAnsi"/>
        </w:rPr>
      </w:pPr>
      <w:r w:rsidRPr="00584330">
        <w:rPr>
          <w:rFonts w:asciiTheme="minorHAnsi" w:hAnsiTheme="minorHAnsi"/>
        </w:rPr>
        <w:t>Transport cementu powinien się odbywać w warunkach zgodnych z BN-88/6731-08.</w:t>
      </w:r>
    </w:p>
    <w:p w:rsidR="004F5BEB" w:rsidRPr="00584330" w:rsidRDefault="004F5BEB" w:rsidP="004F5BEB">
      <w:pPr>
        <w:rPr>
          <w:rFonts w:asciiTheme="minorHAnsi" w:hAnsiTheme="minorHAnsi"/>
        </w:rPr>
      </w:pPr>
      <w:r w:rsidRPr="00584330">
        <w:rPr>
          <w:rFonts w:asciiTheme="minorHAnsi" w:hAnsiTheme="minorHAnsi"/>
        </w:rPr>
        <w:t>Kruszywa można przewozić dowolnym środkiem transportu, w warunkach zabezpieczających je przed zanieczyszczeniem i zmieszaniem z innymi wyrobami. Podczas transportu kruszywa powinny być zabezpieczone przed wysypaniem, a kruszywo drobne - przed rozpyleniem.</w:t>
      </w:r>
    </w:p>
    <w:p w:rsidR="004F5BEB" w:rsidRPr="00584330" w:rsidRDefault="004F5BEB" w:rsidP="004F5BEB">
      <w:pPr>
        <w:rPr>
          <w:rFonts w:asciiTheme="minorHAnsi" w:hAnsiTheme="minorHAnsi"/>
        </w:rPr>
      </w:pPr>
      <w:r w:rsidRPr="00584330">
        <w:rPr>
          <w:rFonts w:asciiTheme="minorHAnsi" w:hAnsiTheme="minorHAnsi"/>
        </w:rPr>
        <w:t>Masę zalewową należy pakować w bębny blaszane lub beczki drewniane. Transport powinien odbywać się w warunkach zabezpieczających przed uszkodzeniem bębnów i beczek.</w:t>
      </w:r>
    </w:p>
    <w:p w:rsidR="004F5BEB" w:rsidRPr="00584330" w:rsidRDefault="004F5BEB" w:rsidP="004F5BEB">
      <w:pPr>
        <w:pStyle w:val="Nagwek3"/>
        <w:rPr>
          <w:rFonts w:asciiTheme="minorHAnsi" w:hAnsiTheme="minorHAnsi"/>
        </w:rPr>
      </w:pPr>
      <w:bookmarkStart w:id="1173" w:name="_Toc428239276"/>
      <w:bookmarkStart w:id="1174" w:name="_Toc428759425"/>
      <w:r w:rsidRPr="00584330">
        <w:rPr>
          <w:rFonts w:asciiTheme="minorHAnsi" w:hAnsiTheme="minorHAnsi"/>
        </w:rPr>
        <w:t>5. WYKONANIE ROBÓT</w:t>
      </w:r>
      <w:bookmarkEnd w:id="1173"/>
      <w:bookmarkEnd w:id="1174"/>
    </w:p>
    <w:p w:rsidR="004F5BEB" w:rsidRPr="00584330" w:rsidRDefault="004F5BEB" w:rsidP="004F5BEB">
      <w:pPr>
        <w:pStyle w:val="Nagwek4"/>
        <w:rPr>
          <w:rFonts w:asciiTheme="minorHAnsi" w:hAnsiTheme="minorHAnsi"/>
        </w:rPr>
      </w:pPr>
      <w:r w:rsidRPr="00584330">
        <w:rPr>
          <w:rFonts w:asciiTheme="minorHAnsi" w:hAnsiTheme="minorHAnsi"/>
        </w:rPr>
        <w:t>5.1. Ogólne zasady wykonania robót</w:t>
      </w:r>
    </w:p>
    <w:p w:rsidR="004F5BEB" w:rsidRPr="00584330" w:rsidRDefault="004F5BEB" w:rsidP="004F5BEB">
      <w:pPr>
        <w:rPr>
          <w:rFonts w:asciiTheme="minorHAnsi" w:hAnsiTheme="minorHAnsi"/>
        </w:rPr>
      </w:pPr>
      <w:r w:rsidRPr="00584330">
        <w:rPr>
          <w:rFonts w:asciiTheme="minorHAnsi" w:hAnsiTheme="minorHAnsi"/>
        </w:rPr>
        <w:t>Ogólne zasady wykonania robót podano w STWiORB D-M-00.00.00 „Wymagania ogólne” pkt 5.</w:t>
      </w:r>
    </w:p>
    <w:p w:rsidR="004F5BEB" w:rsidRPr="00584330" w:rsidRDefault="004F5BEB" w:rsidP="004F5BEB">
      <w:pPr>
        <w:pStyle w:val="Nagwek4"/>
        <w:rPr>
          <w:rFonts w:asciiTheme="minorHAnsi" w:hAnsiTheme="minorHAnsi"/>
        </w:rPr>
      </w:pPr>
      <w:r w:rsidRPr="00584330">
        <w:rPr>
          <w:rFonts w:asciiTheme="minorHAnsi" w:hAnsiTheme="minorHAnsi"/>
        </w:rPr>
        <w:t>5.2. Wykonanie koryta pod ławy</w:t>
      </w:r>
    </w:p>
    <w:p w:rsidR="004F5BEB" w:rsidRPr="00584330" w:rsidRDefault="004F5BEB" w:rsidP="004F5BEB">
      <w:pPr>
        <w:rPr>
          <w:rFonts w:asciiTheme="minorHAnsi" w:hAnsiTheme="minorHAnsi"/>
        </w:rPr>
      </w:pPr>
      <w:r w:rsidRPr="00584330">
        <w:rPr>
          <w:rFonts w:asciiTheme="minorHAnsi" w:hAnsiTheme="minorHAnsi"/>
        </w:rPr>
        <w:t>Koryto pod ławy należy wykonywać zgodnie z PN-B-06050.</w:t>
      </w:r>
    </w:p>
    <w:p w:rsidR="004F5BEB" w:rsidRPr="00584330" w:rsidRDefault="004F5BEB" w:rsidP="004F5BEB">
      <w:pPr>
        <w:rPr>
          <w:rFonts w:asciiTheme="minorHAnsi" w:hAnsiTheme="minorHAnsi"/>
        </w:rPr>
      </w:pPr>
      <w:r w:rsidRPr="00584330">
        <w:rPr>
          <w:rFonts w:asciiTheme="minorHAnsi" w:hAnsiTheme="minorHAnsi"/>
        </w:rPr>
        <w:t>Wymiary wykopu powinny odpowiadać wymiarom ławy w planie z uwzględnieniem w szerokości dna wykopu oraz konstrukcji szalunku.</w:t>
      </w:r>
    </w:p>
    <w:p w:rsidR="004F5BEB" w:rsidRPr="00584330" w:rsidRDefault="004F5BEB" w:rsidP="004F5BEB">
      <w:pPr>
        <w:rPr>
          <w:rFonts w:asciiTheme="minorHAnsi" w:hAnsiTheme="minorHAnsi"/>
        </w:rPr>
      </w:pPr>
      <w:r w:rsidRPr="00584330">
        <w:rPr>
          <w:rFonts w:asciiTheme="minorHAnsi" w:hAnsiTheme="minorHAnsi"/>
        </w:rPr>
        <w:t>Wskaźnik zagęszczenia dna wykonanego koryta pod ławę powinien wynosić co najmniej 0,97 według normalnej metody Proctora.</w:t>
      </w:r>
    </w:p>
    <w:p w:rsidR="004F5BEB" w:rsidRPr="00584330" w:rsidRDefault="004F5BEB" w:rsidP="004F5BEB">
      <w:pPr>
        <w:pStyle w:val="Nagwek4"/>
        <w:rPr>
          <w:rFonts w:asciiTheme="minorHAnsi" w:hAnsiTheme="minorHAnsi"/>
        </w:rPr>
      </w:pPr>
      <w:r w:rsidRPr="00584330">
        <w:rPr>
          <w:rFonts w:asciiTheme="minorHAnsi" w:hAnsiTheme="minorHAnsi"/>
        </w:rPr>
        <w:t>5.3. Wykonanie ław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Przed przyst</w:t>
      </w:r>
      <w:r w:rsidRPr="00584330">
        <w:rPr>
          <w:rFonts w:asciiTheme="minorHAnsi" w:eastAsia="TimesNewRoman" w:hAnsiTheme="minorHAnsi"/>
        </w:rPr>
        <w:t>ą</w:t>
      </w:r>
      <w:r w:rsidRPr="00584330">
        <w:rPr>
          <w:rFonts w:asciiTheme="minorHAnsi" w:hAnsiTheme="minorHAnsi"/>
        </w:rPr>
        <w:t>pieniem do wytworzenia betonu na ław</w:t>
      </w:r>
      <w:r w:rsidRPr="00584330">
        <w:rPr>
          <w:rFonts w:asciiTheme="minorHAnsi" w:eastAsia="TimesNewRoman" w:hAnsiTheme="minorHAnsi"/>
        </w:rPr>
        <w:t xml:space="preserve">ę </w:t>
      </w:r>
      <w:r w:rsidRPr="00584330">
        <w:rPr>
          <w:rFonts w:asciiTheme="minorHAnsi" w:hAnsiTheme="minorHAnsi"/>
        </w:rPr>
        <w:t>betonow</w:t>
      </w:r>
      <w:r w:rsidRPr="00584330">
        <w:rPr>
          <w:rFonts w:asciiTheme="minorHAnsi" w:eastAsia="TimesNewRoman" w:hAnsiTheme="minorHAnsi"/>
        </w:rPr>
        <w:t xml:space="preserve">ą </w:t>
      </w:r>
      <w:r w:rsidRPr="00584330">
        <w:rPr>
          <w:rFonts w:asciiTheme="minorHAnsi" w:hAnsiTheme="minorHAnsi"/>
        </w:rPr>
        <w:t>z oporem, Wykonawca jest zobowi</w:t>
      </w:r>
      <w:r w:rsidRPr="00584330">
        <w:rPr>
          <w:rFonts w:asciiTheme="minorHAnsi" w:eastAsia="TimesNewRoman" w:hAnsiTheme="minorHAnsi"/>
        </w:rPr>
        <w:t>ą</w:t>
      </w:r>
      <w:r w:rsidRPr="00584330">
        <w:rPr>
          <w:rFonts w:asciiTheme="minorHAnsi" w:hAnsiTheme="minorHAnsi"/>
        </w:rPr>
        <w:t>zany do przygotowania receptury na beton. Receptura winna by</w:t>
      </w:r>
      <w:r w:rsidRPr="00584330">
        <w:rPr>
          <w:rFonts w:asciiTheme="minorHAnsi" w:eastAsia="TimesNewRoman" w:hAnsiTheme="minorHAnsi"/>
        </w:rPr>
        <w:t xml:space="preserve">ć </w:t>
      </w:r>
      <w:r w:rsidRPr="00584330">
        <w:rPr>
          <w:rFonts w:asciiTheme="minorHAnsi" w:hAnsiTheme="minorHAnsi"/>
        </w:rPr>
        <w:t>opracowana dla konkretnych składników, zaakceptowanych wcze</w:t>
      </w:r>
      <w:r w:rsidRPr="00584330">
        <w:rPr>
          <w:rFonts w:asciiTheme="minorHAnsi" w:eastAsia="TimesNewRoman" w:hAnsiTheme="minorHAnsi"/>
        </w:rPr>
        <w:t>ś</w:t>
      </w:r>
      <w:r w:rsidRPr="00584330">
        <w:rPr>
          <w:rFonts w:asciiTheme="minorHAnsi" w:hAnsiTheme="minorHAnsi"/>
        </w:rPr>
        <w:t>niej przez Inspektora Nadzoru Inwestorskiego.</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Receptura zostanie opracowana przez laboratorium w oparciu o PN-EN 206-1.</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Sporz</w:t>
      </w:r>
      <w:r w:rsidRPr="00584330">
        <w:rPr>
          <w:rFonts w:asciiTheme="minorHAnsi" w:eastAsia="TimesNewRoman" w:hAnsiTheme="minorHAnsi"/>
        </w:rPr>
        <w:t>ą</w:t>
      </w:r>
      <w:r w:rsidRPr="00584330">
        <w:rPr>
          <w:rFonts w:asciiTheme="minorHAnsi" w:hAnsiTheme="minorHAnsi"/>
        </w:rPr>
        <w:t>dzona receptura musi uzyska</w:t>
      </w:r>
      <w:r w:rsidRPr="00584330">
        <w:rPr>
          <w:rFonts w:asciiTheme="minorHAnsi" w:eastAsia="TimesNewRoman" w:hAnsiTheme="minorHAnsi"/>
        </w:rPr>
        <w:t xml:space="preserve">ć </w:t>
      </w:r>
      <w:r w:rsidRPr="00584330">
        <w:rPr>
          <w:rFonts w:asciiTheme="minorHAnsi" w:hAnsiTheme="minorHAnsi"/>
        </w:rPr>
        <w:t>akceptacj</w:t>
      </w:r>
      <w:r w:rsidRPr="00584330">
        <w:rPr>
          <w:rFonts w:asciiTheme="minorHAnsi" w:eastAsia="TimesNewRoman" w:hAnsiTheme="minorHAnsi"/>
        </w:rPr>
        <w:t xml:space="preserve">ę </w:t>
      </w:r>
      <w:r w:rsidRPr="00584330">
        <w:rPr>
          <w:rFonts w:asciiTheme="minorHAnsi" w:hAnsiTheme="minorHAnsi"/>
        </w:rPr>
        <w:t>Inspektora Nadzoru Inwestorskiego.</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Czas wytwarzania, transportu, wbudowania i zag</w:t>
      </w:r>
      <w:r w:rsidRPr="00584330">
        <w:rPr>
          <w:rFonts w:asciiTheme="minorHAnsi" w:eastAsia="TimesNewRoman" w:hAnsiTheme="minorHAnsi"/>
        </w:rPr>
        <w:t>ę</w:t>
      </w:r>
      <w:r w:rsidRPr="00584330">
        <w:rPr>
          <w:rFonts w:asciiTheme="minorHAnsi" w:hAnsiTheme="minorHAnsi"/>
        </w:rPr>
        <w:t>szczenia betonu w temperaturze do +20°C może wynosi</w:t>
      </w:r>
      <w:r w:rsidRPr="00584330">
        <w:rPr>
          <w:rFonts w:asciiTheme="minorHAnsi" w:eastAsia="TimesNewRoman" w:hAnsiTheme="minorHAnsi"/>
        </w:rPr>
        <w:t xml:space="preserve">ć </w:t>
      </w:r>
      <w:r w:rsidRPr="00584330">
        <w:rPr>
          <w:rFonts w:asciiTheme="minorHAnsi" w:hAnsiTheme="minorHAnsi"/>
        </w:rPr>
        <w:t>najwy</w:t>
      </w:r>
      <w:r w:rsidRPr="00584330">
        <w:rPr>
          <w:rFonts w:asciiTheme="minorHAnsi" w:eastAsia="TimesNewRoman" w:hAnsiTheme="minorHAnsi"/>
        </w:rPr>
        <w:t>ż</w:t>
      </w:r>
      <w:r w:rsidRPr="00584330">
        <w:rPr>
          <w:rFonts w:asciiTheme="minorHAnsi" w:hAnsiTheme="minorHAnsi"/>
        </w:rPr>
        <w:t>ej 2 godziny. Czas ten można wydłuży</w:t>
      </w:r>
      <w:r w:rsidRPr="00584330">
        <w:rPr>
          <w:rFonts w:asciiTheme="minorHAnsi" w:eastAsia="TimesNewRoman" w:hAnsiTheme="minorHAnsi"/>
        </w:rPr>
        <w:t xml:space="preserve">ć </w:t>
      </w:r>
      <w:r w:rsidRPr="00584330">
        <w:rPr>
          <w:rFonts w:asciiTheme="minorHAnsi" w:hAnsiTheme="minorHAnsi"/>
        </w:rPr>
        <w:t>przez domieszki opó</w:t>
      </w:r>
      <w:r w:rsidRPr="00584330">
        <w:rPr>
          <w:rFonts w:asciiTheme="minorHAnsi" w:eastAsia="TimesNewRoman" w:hAnsiTheme="minorHAnsi"/>
        </w:rPr>
        <w:t>ź</w:t>
      </w:r>
      <w:r w:rsidRPr="00584330">
        <w:rPr>
          <w:rFonts w:asciiTheme="minorHAnsi" w:hAnsiTheme="minorHAnsi"/>
        </w:rPr>
        <w:t>niaj</w:t>
      </w:r>
      <w:r w:rsidRPr="00584330">
        <w:rPr>
          <w:rFonts w:asciiTheme="minorHAnsi" w:eastAsia="TimesNewRoman" w:hAnsiTheme="minorHAnsi"/>
        </w:rPr>
        <w:t>ą</w:t>
      </w:r>
      <w:r w:rsidRPr="00584330">
        <w:rPr>
          <w:rFonts w:asciiTheme="minorHAnsi" w:hAnsiTheme="minorHAnsi"/>
        </w:rPr>
        <w:t>ce wi</w:t>
      </w:r>
      <w:r w:rsidRPr="00584330">
        <w:rPr>
          <w:rFonts w:asciiTheme="minorHAnsi" w:eastAsia="TimesNewRoman" w:hAnsiTheme="minorHAnsi"/>
        </w:rPr>
        <w:t>ą</w:t>
      </w:r>
      <w:r w:rsidRPr="00584330">
        <w:rPr>
          <w:rFonts w:asciiTheme="minorHAnsi" w:hAnsiTheme="minorHAnsi"/>
        </w:rPr>
        <w:t>zanie. W temperaturach powyżej +20°C należy zastosowa</w:t>
      </w:r>
      <w:r w:rsidRPr="00584330">
        <w:rPr>
          <w:rFonts w:asciiTheme="minorHAnsi" w:eastAsia="TimesNewRoman" w:hAnsiTheme="minorHAnsi"/>
        </w:rPr>
        <w:t xml:space="preserve">ć </w:t>
      </w:r>
      <w:r w:rsidRPr="00584330">
        <w:rPr>
          <w:rFonts w:asciiTheme="minorHAnsi" w:hAnsiTheme="minorHAnsi"/>
        </w:rPr>
        <w:t>domieszki opó</w:t>
      </w:r>
      <w:r w:rsidRPr="00584330">
        <w:rPr>
          <w:rFonts w:asciiTheme="minorHAnsi" w:eastAsia="TimesNewRoman" w:hAnsiTheme="minorHAnsi"/>
        </w:rPr>
        <w:t>ź</w:t>
      </w:r>
      <w:r w:rsidRPr="00584330">
        <w:rPr>
          <w:rFonts w:asciiTheme="minorHAnsi" w:hAnsiTheme="minorHAnsi"/>
        </w:rPr>
        <w:t>niaj</w:t>
      </w:r>
      <w:r w:rsidRPr="00584330">
        <w:rPr>
          <w:rFonts w:asciiTheme="minorHAnsi" w:eastAsia="TimesNewRoman" w:hAnsiTheme="minorHAnsi"/>
        </w:rPr>
        <w:t>ą</w:t>
      </w:r>
      <w:r w:rsidRPr="00584330">
        <w:rPr>
          <w:rFonts w:asciiTheme="minorHAnsi" w:hAnsiTheme="minorHAnsi"/>
        </w:rPr>
        <w:t>ce wi</w:t>
      </w:r>
      <w:r w:rsidRPr="00584330">
        <w:rPr>
          <w:rFonts w:asciiTheme="minorHAnsi" w:eastAsia="TimesNewRoman" w:hAnsiTheme="minorHAnsi"/>
        </w:rPr>
        <w:t>ą</w:t>
      </w:r>
      <w:r w:rsidRPr="00584330">
        <w:rPr>
          <w:rFonts w:asciiTheme="minorHAnsi" w:hAnsiTheme="minorHAnsi"/>
        </w:rPr>
        <w:t>zanie. W każdym przypadku zag</w:t>
      </w:r>
      <w:r w:rsidRPr="00584330">
        <w:rPr>
          <w:rFonts w:asciiTheme="minorHAnsi" w:eastAsia="TimesNewRoman" w:hAnsiTheme="minorHAnsi"/>
        </w:rPr>
        <w:t>ę</w:t>
      </w:r>
      <w:r w:rsidRPr="00584330">
        <w:rPr>
          <w:rFonts w:asciiTheme="minorHAnsi" w:hAnsiTheme="minorHAnsi"/>
        </w:rPr>
        <w:t>szczanie należy zako</w:t>
      </w:r>
      <w:r w:rsidRPr="00584330">
        <w:rPr>
          <w:rFonts w:asciiTheme="minorHAnsi" w:eastAsia="TimesNewRoman" w:hAnsiTheme="minorHAnsi"/>
        </w:rPr>
        <w:t>ń</w:t>
      </w:r>
      <w:r w:rsidRPr="00584330">
        <w:rPr>
          <w:rFonts w:asciiTheme="minorHAnsi" w:hAnsiTheme="minorHAnsi"/>
        </w:rPr>
        <w:t>czy</w:t>
      </w:r>
      <w:r w:rsidRPr="00584330">
        <w:rPr>
          <w:rFonts w:asciiTheme="minorHAnsi" w:eastAsia="TimesNewRoman" w:hAnsiTheme="minorHAnsi"/>
        </w:rPr>
        <w:t xml:space="preserve">ć </w:t>
      </w:r>
      <w:r w:rsidRPr="00584330">
        <w:rPr>
          <w:rFonts w:asciiTheme="minorHAnsi" w:hAnsiTheme="minorHAnsi"/>
        </w:rPr>
        <w:t>przed pocz</w:t>
      </w:r>
      <w:r w:rsidRPr="00584330">
        <w:rPr>
          <w:rFonts w:asciiTheme="minorHAnsi" w:eastAsia="TimesNewRoman" w:hAnsiTheme="minorHAnsi"/>
        </w:rPr>
        <w:t>ą</w:t>
      </w:r>
      <w:r w:rsidRPr="00584330">
        <w:rPr>
          <w:rFonts w:asciiTheme="minorHAnsi" w:hAnsiTheme="minorHAnsi"/>
        </w:rPr>
        <w:t>tkiem wi</w:t>
      </w:r>
      <w:r w:rsidRPr="00584330">
        <w:rPr>
          <w:rFonts w:asciiTheme="minorHAnsi" w:eastAsia="TimesNewRoman" w:hAnsiTheme="minorHAnsi"/>
        </w:rPr>
        <w:t>ą</w:t>
      </w:r>
      <w:r w:rsidRPr="00584330">
        <w:rPr>
          <w:rFonts w:asciiTheme="minorHAnsi" w:hAnsiTheme="minorHAnsi"/>
        </w:rPr>
        <w:t>zaniem cementu.</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Ława betonowa z oporem wykonana b</w:t>
      </w:r>
      <w:r w:rsidRPr="00584330">
        <w:rPr>
          <w:rFonts w:asciiTheme="minorHAnsi" w:eastAsia="TimesNewRoman" w:hAnsiTheme="minorHAnsi"/>
        </w:rPr>
        <w:t>ę</w:t>
      </w:r>
      <w:r w:rsidRPr="00584330">
        <w:rPr>
          <w:rFonts w:asciiTheme="minorHAnsi" w:hAnsiTheme="minorHAnsi"/>
        </w:rPr>
        <w:t>dzie z betonu klasy C12/15, we wcze</w:t>
      </w:r>
      <w:r w:rsidRPr="00584330">
        <w:rPr>
          <w:rFonts w:asciiTheme="minorHAnsi" w:eastAsia="TimesNewRoman" w:hAnsiTheme="minorHAnsi"/>
        </w:rPr>
        <w:t>ś</w:t>
      </w:r>
      <w:r w:rsidRPr="00584330">
        <w:rPr>
          <w:rFonts w:asciiTheme="minorHAnsi" w:hAnsiTheme="minorHAnsi"/>
        </w:rPr>
        <w:t xml:space="preserve">niej przygotowanym deskowaniu w temperaturze </w:t>
      </w:r>
      <w:r w:rsidRPr="00584330">
        <w:rPr>
          <w:rFonts w:asciiTheme="minorHAnsi" w:eastAsia="TimesNewRoman" w:hAnsiTheme="minorHAnsi"/>
        </w:rPr>
        <w:t>≥</w:t>
      </w:r>
      <w:r w:rsidRPr="00584330">
        <w:rPr>
          <w:rFonts w:asciiTheme="minorHAnsi" w:hAnsiTheme="minorHAnsi"/>
        </w:rPr>
        <w:t>+5°C.</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Ława betonowa wymaga jej polewania przez 7 dni z cz</w:t>
      </w:r>
      <w:r w:rsidRPr="00584330">
        <w:rPr>
          <w:rFonts w:asciiTheme="minorHAnsi" w:eastAsia="TimesNewRoman" w:hAnsiTheme="minorHAnsi"/>
        </w:rPr>
        <w:t>ę</w:t>
      </w:r>
      <w:r w:rsidRPr="00584330">
        <w:rPr>
          <w:rFonts w:asciiTheme="minorHAnsi" w:hAnsiTheme="minorHAnsi"/>
        </w:rPr>
        <w:t>stotliwo</w:t>
      </w:r>
      <w:r w:rsidRPr="00584330">
        <w:rPr>
          <w:rFonts w:asciiTheme="minorHAnsi" w:eastAsia="TimesNewRoman" w:hAnsiTheme="minorHAnsi"/>
        </w:rPr>
        <w:t>ś</w:t>
      </w:r>
      <w:r w:rsidRPr="00584330">
        <w:rPr>
          <w:rFonts w:asciiTheme="minorHAnsi" w:hAnsiTheme="minorHAnsi"/>
        </w:rPr>
        <w:t>ci</w:t>
      </w:r>
      <w:r w:rsidRPr="00584330">
        <w:rPr>
          <w:rFonts w:asciiTheme="minorHAnsi" w:eastAsia="TimesNewRoman" w:hAnsiTheme="minorHAnsi"/>
        </w:rPr>
        <w:t xml:space="preserve">ą </w:t>
      </w:r>
      <w:r w:rsidRPr="00584330">
        <w:rPr>
          <w:rFonts w:asciiTheme="minorHAnsi" w:hAnsiTheme="minorHAnsi"/>
        </w:rPr>
        <w:t>zapewniaj</w:t>
      </w:r>
      <w:r w:rsidRPr="00584330">
        <w:rPr>
          <w:rFonts w:asciiTheme="minorHAnsi" w:eastAsia="TimesNewRoman" w:hAnsiTheme="minorHAnsi"/>
        </w:rPr>
        <w:t>ą</w:t>
      </w:r>
      <w:r w:rsidRPr="00584330">
        <w:rPr>
          <w:rFonts w:asciiTheme="minorHAnsi" w:hAnsiTheme="minorHAnsi"/>
        </w:rPr>
        <w:t>c</w:t>
      </w:r>
      <w:r w:rsidRPr="00584330">
        <w:rPr>
          <w:rFonts w:asciiTheme="minorHAnsi" w:eastAsia="TimesNewRoman" w:hAnsiTheme="minorHAnsi"/>
        </w:rPr>
        <w:t xml:space="preserve">ą </w:t>
      </w:r>
      <w:r w:rsidRPr="00584330">
        <w:rPr>
          <w:rFonts w:asciiTheme="minorHAnsi" w:hAnsiTheme="minorHAnsi"/>
        </w:rPr>
        <w:t>utrzymanie jej w stanie wilgotnym.</w:t>
      </w:r>
    </w:p>
    <w:p w:rsidR="004F5BEB" w:rsidRPr="00584330" w:rsidRDefault="004F5BEB" w:rsidP="004F5BEB">
      <w:pPr>
        <w:pStyle w:val="Nagwek4"/>
        <w:rPr>
          <w:rFonts w:asciiTheme="minorHAnsi" w:hAnsiTheme="minorHAnsi"/>
        </w:rPr>
      </w:pPr>
      <w:r w:rsidRPr="00584330">
        <w:rPr>
          <w:rFonts w:asciiTheme="minorHAnsi" w:hAnsiTheme="minorHAnsi"/>
        </w:rPr>
        <w:t>5.4. Ustawienie krawężników betonowych</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b/>
          <w:bCs/>
        </w:rPr>
        <w:t xml:space="preserve">5.4.1 </w:t>
      </w:r>
      <w:r w:rsidRPr="00584330">
        <w:rPr>
          <w:rFonts w:asciiTheme="minorHAnsi" w:hAnsiTheme="minorHAnsi"/>
        </w:rPr>
        <w:t>Wykonanie podsypki cementowo - kruszywowej pod kraw</w:t>
      </w:r>
      <w:r w:rsidRPr="00584330">
        <w:rPr>
          <w:rFonts w:asciiTheme="minorHAnsi" w:eastAsia="TimesNewRoman" w:hAnsiTheme="minorHAnsi"/>
        </w:rPr>
        <w:t>ęż</w:t>
      </w:r>
      <w:r w:rsidRPr="00584330">
        <w:rPr>
          <w:rFonts w:asciiTheme="minorHAnsi" w:hAnsiTheme="minorHAnsi"/>
        </w:rPr>
        <w:t>nik.</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Na wykonanej ławie betonowej należy roz</w:t>
      </w:r>
      <w:r w:rsidRPr="00584330">
        <w:rPr>
          <w:rFonts w:asciiTheme="minorHAnsi" w:eastAsia="TimesNewRoman" w:hAnsiTheme="minorHAnsi"/>
        </w:rPr>
        <w:t>ś</w:t>
      </w:r>
      <w:r w:rsidRPr="00584330">
        <w:rPr>
          <w:rFonts w:asciiTheme="minorHAnsi" w:hAnsiTheme="minorHAnsi"/>
        </w:rPr>
        <w:t>cieli</w:t>
      </w:r>
      <w:r w:rsidRPr="00584330">
        <w:rPr>
          <w:rFonts w:asciiTheme="minorHAnsi" w:eastAsia="TimesNewRoman" w:hAnsiTheme="minorHAnsi"/>
        </w:rPr>
        <w:t xml:space="preserve">ć </w:t>
      </w:r>
      <w:r w:rsidRPr="00584330">
        <w:rPr>
          <w:rFonts w:asciiTheme="minorHAnsi" w:hAnsiTheme="minorHAnsi"/>
        </w:rPr>
        <w:t>r</w:t>
      </w:r>
      <w:r w:rsidRPr="00584330">
        <w:rPr>
          <w:rFonts w:asciiTheme="minorHAnsi" w:eastAsia="TimesNewRoman" w:hAnsiTheme="minorHAnsi"/>
        </w:rPr>
        <w:t>ę</w:t>
      </w:r>
      <w:r w:rsidRPr="00584330">
        <w:rPr>
          <w:rFonts w:asciiTheme="minorHAnsi" w:hAnsiTheme="minorHAnsi"/>
        </w:rPr>
        <w:t>cznie podsypk</w:t>
      </w:r>
      <w:r w:rsidRPr="00584330">
        <w:rPr>
          <w:rFonts w:asciiTheme="minorHAnsi" w:eastAsia="TimesNewRoman" w:hAnsiTheme="minorHAnsi"/>
        </w:rPr>
        <w:t xml:space="preserve">ę </w:t>
      </w:r>
      <w:r w:rsidRPr="00584330">
        <w:rPr>
          <w:rFonts w:asciiTheme="minorHAnsi" w:hAnsiTheme="minorHAnsi"/>
        </w:rPr>
        <w:t>cementowo - kruszywow</w:t>
      </w:r>
      <w:r w:rsidRPr="00584330">
        <w:rPr>
          <w:rFonts w:asciiTheme="minorHAnsi" w:eastAsia="TimesNewRoman" w:hAnsiTheme="minorHAnsi"/>
        </w:rPr>
        <w:t xml:space="preserve">ą </w:t>
      </w:r>
      <w:r w:rsidRPr="00584330">
        <w:rPr>
          <w:rFonts w:asciiTheme="minorHAnsi" w:hAnsiTheme="minorHAnsi"/>
        </w:rPr>
        <w:t>grubo</w:t>
      </w:r>
      <w:r w:rsidRPr="00584330">
        <w:rPr>
          <w:rFonts w:asciiTheme="minorHAnsi" w:eastAsia="TimesNewRoman" w:hAnsiTheme="minorHAnsi"/>
        </w:rPr>
        <w:t>ś</w:t>
      </w:r>
      <w:r w:rsidRPr="00584330">
        <w:rPr>
          <w:rFonts w:asciiTheme="minorHAnsi" w:hAnsiTheme="minorHAnsi"/>
        </w:rPr>
        <w:t>ci 5 cm po zag</w:t>
      </w:r>
      <w:r w:rsidRPr="00584330">
        <w:rPr>
          <w:rFonts w:asciiTheme="minorHAnsi" w:eastAsia="TimesNewRoman" w:hAnsiTheme="minorHAnsi"/>
        </w:rPr>
        <w:t>ę</w:t>
      </w:r>
      <w:r w:rsidRPr="00584330">
        <w:rPr>
          <w:rFonts w:asciiTheme="minorHAnsi" w:hAnsiTheme="minorHAnsi"/>
        </w:rPr>
        <w:t>szczeniu, celem prawidłowego osadzenia kraw</w:t>
      </w:r>
      <w:r w:rsidRPr="00584330">
        <w:rPr>
          <w:rFonts w:asciiTheme="minorHAnsi" w:eastAsia="TimesNewRoman" w:hAnsiTheme="minorHAnsi"/>
        </w:rPr>
        <w:t>ęż</w:t>
      </w:r>
      <w:r w:rsidRPr="00584330">
        <w:rPr>
          <w:rFonts w:asciiTheme="minorHAnsi" w:hAnsiTheme="minorHAnsi"/>
        </w:rPr>
        <w:t>nika. Podsypk</w:t>
      </w:r>
      <w:r w:rsidRPr="00584330">
        <w:rPr>
          <w:rFonts w:asciiTheme="minorHAnsi" w:eastAsia="TimesNewRoman" w:hAnsiTheme="minorHAnsi"/>
        </w:rPr>
        <w:t xml:space="preserve">ę </w:t>
      </w:r>
      <w:r w:rsidRPr="00584330">
        <w:rPr>
          <w:rFonts w:asciiTheme="minorHAnsi" w:hAnsiTheme="minorHAnsi"/>
        </w:rPr>
        <w:t>cementowo - kruszywow</w:t>
      </w:r>
      <w:r w:rsidRPr="00584330">
        <w:rPr>
          <w:rFonts w:asciiTheme="minorHAnsi" w:eastAsia="TimesNewRoman" w:hAnsiTheme="minorHAnsi"/>
        </w:rPr>
        <w:t xml:space="preserve">ą </w:t>
      </w:r>
      <w:r w:rsidRPr="00584330">
        <w:rPr>
          <w:rFonts w:asciiTheme="minorHAnsi" w:hAnsiTheme="minorHAnsi"/>
        </w:rPr>
        <w:t>wykona</w:t>
      </w:r>
      <w:r w:rsidRPr="00584330">
        <w:rPr>
          <w:rFonts w:asciiTheme="minorHAnsi" w:eastAsia="TimesNewRoman" w:hAnsiTheme="minorHAnsi"/>
        </w:rPr>
        <w:t xml:space="preserve">ć </w:t>
      </w:r>
      <w:r w:rsidRPr="00584330">
        <w:rPr>
          <w:rFonts w:asciiTheme="minorHAnsi" w:hAnsiTheme="minorHAnsi"/>
        </w:rPr>
        <w:t>należy w proporcji 1: 4 zgodnie z KPED.</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b/>
          <w:bCs/>
        </w:rPr>
        <w:t xml:space="preserve">5.4.2 </w:t>
      </w:r>
      <w:r w:rsidRPr="00584330">
        <w:rPr>
          <w:rFonts w:asciiTheme="minorHAnsi" w:hAnsiTheme="minorHAnsi"/>
        </w:rPr>
        <w:t>Wbudowanie kraw</w:t>
      </w:r>
      <w:r w:rsidRPr="00584330">
        <w:rPr>
          <w:rFonts w:asciiTheme="minorHAnsi" w:eastAsia="TimesNewRoman" w:hAnsiTheme="minorHAnsi"/>
        </w:rPr>
        <w:t>ęż</w:t>
      </w:r>
      <w:r w:rsidRPr="00584330">
        <w:rPr>
          <w:rFonts w:asciiTheme="minorHAnsi" w:hAnsiTheme="minorHAnsi"/>
        </w:rPr>
        <w:t>ników betonowych</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lastRenderedPageBreak/>
        <w:t>Roboty zwi</w:t>
      </w:r>
      <w:r w:rsidRPr="00584330">
        <w:rPr>
          <w:rFonts w:asciiTheme="minorHAnsi" w:eastAsia="TimesNewRoman" w:hAnsiTheme="minorHAnsi"/>
        </w:rPr>
        <w:t>ą</w:t>
      </w:r>
      <w:r w:rsidRPr="00584330">
        <w:rPr>
          <w:rFonts w:asciiTheme="minorHAnsi" w:hAnsiTheme="minorHAnsi"/>
        </w:rPr>
        <w:t>zane z wbudowaniem kraw</w:t>
      </w:r>
      <w:r w:rsidRPr="00584330">
        <w:rPr>
          <w:rFonts w:asciiTheme="minorHAnsi" w:eastAsia="TimesNewRoman" w:hAnsiTheme="minorHAnsi"/>
        </w:rPr>
        <w:t>ęż</w:t>
      </w:r>
      <w:r w:rsidRPr="00584330">
        <w:rPr>
          <w:rFonts w:asciiTheme="minorHAnsi" w:hAnsiTheme="minorHAnsi"/>
        </w:rPr>
        <w:t>ników na ławie betonowej z oporem winny by</w:t>
      </w:r>
      <w:r w:rsidRPr="00584330">
        <w:rPr>
          <w:rFonts w:asciiTheme="minorHAnsi" w:eastAsia="TimesNewRoman" w:hAnsiTheme="minorHAnsi"/>
        </w:rPr>
        <w:t xml:space="preserve">ć </w:t>
      </w:r>
      <w:r w:rsidRPr="00584330">
        <w:rPr>
          <w:rFonts w:asciiTheme="minorHAnsi" w:hAnsiTheme="minorHAnsi"/>
        </w:rPr>
        <w:t>wykonywane przy temperaturze otoczenia nie niższej niż</w:t>
      </w:r>
      <w:r w:rsidRPr="00584330">
        <w:rPr>
          <w:rFonts w:asciiTheme="minorHAnsi" w:eastAsia="TimesNewRoman" w:hAnsiTheme="minorHAnsi"/>
        </w:rPr>
        <w:t xml:space="preserve"> </w:t>
      </w:r>
      <w:r w:rsidRPr="00584330">
        <w:rPr>
          <w:rFonts w:asciiTheme="minorHAnsi" w:hAnsiTheme="minorHAnsi"/>
        </w:rPr>
        <w:t>5 stopni Celsjusza.</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Roboty zwi</w:t>
      </w:r>
      <w:r w:rsidRPr="00584330">
        <w:rPr>
          <w:rFonts w:asciiTheme="minorHAnsi" w:eastAsia="TimesNewRoman" w:hAnsiTheme="minorHAnsi"/>
        </w:rPr>
        <w:t>ą</w:t>
      </w:r>
      <w:r w:rsidRPr="00584330">
        <w:rPr>
          <w:rFonts w:asciiTheme="minorHAnsi" w:hAnsiTheme="minorHAnsi"/>
        </w:rPr>
        <w:t>zane z ustawieniem kraw</w:t>
      </w:r>
      <w:r w:rsidRPr="00584330">
        <w:rPr>
          <w:rFonts w:asciiTheme="minorHAnsi" w:eastAsia="TimesNewRoman" w:hAnsiTheme="minorHAnsi"/>
        </w:rPr>
        <w:t>ęż</w:t>
      </w:r>
      <w:r w:rsidRPr="00584330">
        <w:rPr>
          <w:rFonts w:asciiTheme="minorHAnsi" w:hAnsiTheme="minorHAnsi"/>
        </w:rPr>
        <w:t>nika należy wykona</w:t>
      </w:r>
      <w:r w:rsidRPr="00584330">
        <w:rPr>
          <w:rFonts w:asciiTheme="minorHAnsi" w:eastAsia="TimesNewRoman" w:hAnsiTheme="minorHAnsi"/>
        </w:rPr>
        <w:t xml:space="preserve">ć </w:t>
      </w:r>
      <w:r w:rsidRPr="00584330">
        <w:rPr>
          <w:rFonts w:asciiTheme="minorHAnsi" w:hAnsiTheme="minorHAnsi"/>
        </w:rPr>
        <w:t>r</w:t>
      </w:r>
      <w:r w:rsidRPr="00584330">
        <w:rPr>
          <w:rFonts w:asciiTheme="minorHAnsi" w:eastAsia="TimesNewRoman" w:hAnsiTheme="minorHAnsi"/>
        </w:rPr>
        <w:t>ę</w:t>
      </w:r>
      <w:r w:rsidRPr="00584330">
        <w:rPr>
          <w:rFonts w:asciiTheme="minorHAnsi" w:hAnsiTheme="minorHAnsi"/>
        </w:rPr>
        <w:t>cznie.</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Przy wbudowywaniu kraw</w:t>
      </w:r>
      <w:r w:rsidRPr="00584330">
        <w:rPr>
          <w:rFonts w:asciiTheme="minorHAnsi" w:eastAsia="TimesNewRoman" w:hAnsiTheme="minorHAnsi"/>
        </w:rPr>
        <w:t>ęż</w:t>
      </w:r>
      <w:r w:rsidRPr="00584330">
        <w:rPr>
          <w:rFonts w:asciiTheme="minorHAnsi" w:hAnsiTheme="minorHAnsi"/>
        </w:rPr>
        <w:t>nika należy bezwzgl</w:t>
      </w:r>
      <w:r w:rsidRPr="00584330">
        <w:rPr>
          <w:rFonts w:asciiTheme="minorHAnsi" w:eastAsia="TimesNewRoman" w:hAnsiTheme="minorHAnsi"/>
        </w:rPr>
        <w:t>ę</w:t>
      </w:r>
      <w:r w:rsidRPr="00584330">
        <w:rPr>
          <w:rFonts w:asciiTheme="minorHAnsi" w:hAnsiTheme="minorHAnsi"/>
        </w:rPr>
        <w:t>dnie przestrzega</w:t>
      </w:r>
      <w:r w:rsidRPr="00584330">
        <w:rPr>
          <w:rFonts w:asciiTheme="minorHAnsi" w:eastAsia="TimesNewRoman" w:hAnsiTheme="minorHAnsi"/>
        </w:rPr>
        <w:t xml:space="preserve">ć </w:t>
      </w:r>
      <w:r w:rsidRPr="00584330">
        <w:rPr>
          <w:rFonts w:asciiTheme="minorHAnsi" w:hAnsiTheme="minorHAnsi"/>
        </w:rPr>
        <w:t>wytyczonej trasy przebiegu kraw</w:t>
      </w:r>
      <w:r w:rsidRPr="00584330">
        <w:rPr>
          <w:rFonts w:asciiTheme="minorHAnsi" w:eastAsia="TimesNewRoman" w:hAnsiTheme="minorHAnsi"/>
        </w:rPr>
        <w:t>ęż</w:t>
      </w:r>
      <w:r w:rsidRPr="00584330">
        <w:rPr>
          <w:rFonts w:asciiTheme="minorHAnsi" w:hAnsiTheme="minorHAnsi"/>
        </w:rPr>
        <w:t>nika oraz usytuowania wysoko</w:t>
      </w:r>
      <w:r w:rsidRPr="00584330">
        <w:rPr>
          <w:rFonts w:asciiTheme="minorHAnsi" w:eastAsia="TimesNewRoman" w:hAnsiTheme="minorHAnsi"/>
        </w:rPr>
        <w:t>ś</w:t>
      </w:r>
      <w:r w:rsidRPr="00584330">
        <w:rPr>
          <w:rFonts w:asciiTheme="minorHAnsi" w:hAnsiTheme="minorHAnsi"/>
        </w:rPr>
        <w:t>ciowego, zgodnego z Dokumentacj</w:t>
      </w:r>
      <w:r w:rsidRPr="00584330">
        <w:rPr>
          <w:rFonts w:asciiTheme="minorHAnsi" w:eastAsia="TimesNewRoman" w:hAnsiTheme="minorHAnsi"/>
        </w:rPr>
        <w:t xml:space="preserve">ą </w:t>
      </w:r>
      <w:r w:rsidRPr="00584330">
        <w:rPr>
          <w:rFonts w:asciiTheme="minorHAnsi" w:hAnsiTheme="minorHAnsi"/>
        </w:rPr>
        <w:t>Techniczn</w:t>
      </w:r>
      <w:r w:rsidRPr="00584330">
        <w:rPr>
          <w:rFonts w:asciiTheme="minorHAnsi" w:eastAsia="TimesNewRoman" w:hAnsiTheme="minorHAnsi"/>
        </w:rPr>
        <w:t>ą</w:t>
      </w:r>
      <w:r w:rsidRPr="00584330">
        <w:rPr>
          <w:rFonts w:asciiTheme="minorHAnsi" w:hAnsiTheme="minorHAnsi"/>
        </w:rPr>
        <w:t>. Dopuszczalne odst</w:t>
      </w:r>
      <w:r w:rsidRPr="00584330">
        <w:rPr>
          <w:rFonts w:asciiTheme="minorHAnsi" w:eastAsia="TimesNewRoman" w:hAnsiTheme="minorHAnsi"/>
        </w:rPr>
        <w:t>ę</w:t>
      </w:r>
      <w:r w:rsidRPr="00584330">
        <w:rPr>
          <w:rFonts w:asciiTheme="minorHAnsi" w:hAnsiTheme="minorHAnsi"/>
        </w:rPr>
        <w:t>pstwa od Dokumentacji Projektowej, to ± 1 cm w niwelecie kraw</w:t>
      </w:r>
      <w:r w:rsidRPr="00584330">
        <w:rPr>
          <w:rFonts w:asciiTheme="minorHAnsi" w:eastAsia="TimesNewRoman" w:hAnsiTheme="minorHAnsi"/>
        </w:rPr>
        <w:t>ęż</w:t>
      </w:r>
      <w:r w:rsidRPr="00584330">
        <w:rPr>
          <w:rFonts w:asciiTheme="minorHAnsi" w:hAnsiTheme="minorHAnsi"/>
        </w:rPr>
        <w:t>nika i ± 5 cm w usytuowaniu poziomym.</w:t>
      </w:r>
    </w:p>
    <w:p w:rsidR="004F5BEB" w:rsidRPr="00584330" w:rsidRDefault="004F5BEB" w:rsidP="004F5BEB">
      <w:pPr>
        <w:pStyle w:val="Nagwek3"/>
        <w:rPr>
          <w:rFonts w:asciiTheme="minorHAnsi" w:hAnsiTheme="minorHAnsi"/>
        </w:rPr>
      </w:pPr>
      <w:bookmarkStart w:id="1175" w:name="_Toc428759426"/>
      <w:r w:rsidRPr="00584330">
        <w:rPr>
          <w:rFonts w:asciiTheme="minorHAnsi" w:hAnsiTheme="minorHAnsi"/>
        </w:rPr>
        <w:t>6. KONTROLA JAKOŚCI ROBÓT</w:t>
      </w:r>
      <w:bookmarkEnd w:id="1175"/>
    </w:p>
    <w:p w:rsidR="004F5BEB" w:rsidRPr="00584330" w:rsidRDefault="004F5BEB" w:rsidP="004F5BEB">
      <w:pPr>
        <w:pStyle w:val="Nagwek4"/>
        <w:rPr>
          <w:rFonts w:asciiTheme="minorHAnsi" w:hAnsiTheme="minorHAnsi"/>
        </w:rPr>
      </w:pPr>
      <w:r w:rsidRPr="00584330">
        <w:rPr>
          <w:rFonts w:asciiTheme="minorHAnsi" w:hAnsiTheme="minorHAnsi"/>
        </w:rPr>
        <w:t>6.1. Ogólne zasady kontroli jakości robót</w:t>
      </w:r>
    </w:p>
    <w:p w:rsidR="004F5BEB" w:rsidRPr="00584330" w:rsidRDefault="004F5BEB" w:rsidP="004F5BEB">
      <w:pPr>
        <w:rPr>
          <w:rFonts w:asciiTheme="minorHAnsi" w:hAnsiTheme="minorHAnsi"/>
        </w:rPr>
      </w:pPr>
      <w:r w:rsidRPr="00584330">
        <w:rPr>
          <w:rFonts w:asciiTheme="minorHAnsi" w:hAnsiTheme="minorHAnsi"/>
        </w:rPr>
        <w:t>Ogólne zasady kontroli jakości robót podano w STWiORB D-M-00.00.00 „Wymagania ogólne” pkt 6.</w:t>
      </w:r>
    </w:p>
    <w:p w:rsidR="004F5BEB" w:rsidRPr="00584330" w:rsidRDefault="004F5BEB" w:rsidP="004F5BEB">
      <w:pPr>
        <w:overflowPunct/>
        <w:jc w:val="left"/>
        <w:textAlignment w:val="auto"/>
        <w:rPr>
          <w:rFonts w:asciiTheme="minorHAnsi" w:hAnsiTheme="minorHAnsi"/>
          <w:b/>
          <w:bCs/>
        </w:rPr>
      </w:pPr>
      <w:r w:rsidRPr="00584330">
        <w:rPr>
          <w:rFonts w:asciiTheme="minorHAnsi" w:hAnsiTheme="minorHAnsi"/>
          <w:b/>
          <w:bCs/>
        </w:rPr>
        <w:t>6.2. Badania przed przyst</w:t>
      </w:r>
      <w:r w:rsidRPr="00584330">
        <w:rPr>
          <w:rFonts w:asciiTheme="minorHAnsi" w:eastAsia="TimesNewRoman,Bold" w:hAnsiTheme="minorHAnsi"/>
          <w:b/>
          <w:bCs/>
        </w:rPr>
        <w:t>ą</w:t>
      </w:r>
      <w:r w:rsidRPr="00584330">
        <w:rPr>
          <w:rFonts w:asciiTheme="minorHAnsi" w:hAnsiTheme="minorHAnsi"/>
          <w:b/>
          <w:bCs/>
        </w:rPr>
        <w:t>pieniem do robót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Przed przyst</w:t>
      </w:r>
      <w:r w:rsidRPr="00584330">
        <w:rPr>
          <w:rFonts w:asciiTheme="minorHAnsi" w:eastAsia="TimesNewRoman" w:hAnsiTheme="minorHAnsi"/>
        </w:rPr>
        <w:t>ą</w:t>
      </w:r>
      <w:r w:rsidRPr="00584330">
        <w:rPr>
          <w:rFonts w:asciiTheme="minorHAnsi" w:hAnsiTheme="minorHAnsi"/>
        </w:rPr>
        <w:t>pieniem do robót Wykonawca powinien:</w:t>
      </w:r>
    </w:p>
    <w:p w:rsidR="004F5BEB" w:rsidRPr="00584330" w:rsidRDefault="004F5BEB" w:rsidP="00790883">
      <w:pPr>
        <w:numPr>
          <w:ilvl w:val="0"/>
          <w:numId w:val="50"/>
        </w:numPr>
        <w:overflowPunct/>
        <w:jc w:val="left"/>
        <w:textAlignment w:val="auto"/>
        <w:rPr>
          <w:rFonts w:asciiTheme="minorHAnsi" w:hAnsiTheme="minorHAnsi"/>
        </w:rPr>
      </w:pPr>
      <w:r w:rsidRPr="00584330">
        <w:rPr>
          <w:rFonts w:asciiTheme="minorHAnsi" w:hAnsiTheme="minorHAnsi"/>
        </w:rPr>
        <w:t>uzyska</w:t>
      </w:r>
      <w:r w:rsidRPr="00584330">
        <w:rPr>
          <w:rFonts w:asciiTheme="minorHAnsi" w:eastAsia="TimesNewRoman" w:hAnsiTheme="minorHAnsi"/>
        </w:rPr>
        <w:t xml:space="preserve">ć </w:t>
      </w:r>
      <w:r w:rsidRPr="00584330">
        <w:rPr>
          <w:rFonts w:asciiTheme="minorHAnsi" w:hAnsiTheme="minorHAnsi"/>
        </w:rPr>
        <w:t>wymagane dokumenty, dopuszczaj</w:t>
      </w:r>
      <w:r w:rsidRPr="00584330">
        <w:rPr>
          <w:rFonts w:asciiTheme="minorHAnsi" w:eastAsia="TimesNewRoman" w:hAnsiTheme="minorHAnsi"/>
        </w:rPr>
        <w:t>ą</w:t>
      </w:r>
      <w:r w:rsidRPr="00584330">
        <w:rPr>
          <w:rFonts w:asciiTheme="minorHAnsi" w:hAnsiTheme="minorHAnsi"/>
        </w:rPr>
        <w:t>ce wyroby budowlane i wyroby do obrotu i powszechnego stosowania (znaki Ce z wymaganymi towarzysz</w:t>
      </w:r>
      <w:r w:rsidRPr="00584330">
        <w:rPr>
          <w:rFonts w:asciiTheme="minorHAnsi" w:eastAsia="TimesNewRoman" w:hAnsiTheme="minorHAnsi"/>
        </w:rPr>
        <w:t>ą</w:t>
      </w:r>
      <w:r w:rsidRPr="00584330">
        <w:rPr>
          <w:rFonts w:asciiTheme="minorHAnsi" w:hAnsiTheme="minorHAnsi"/>
        </w:rPr>
        <w:t>cymi informacjami, ew. badania wykonane przez dostawców itp.),</w:t>
      </w:r>
    </w:p>
    <w:p w:rsidR="004F5BEB" w:rsidRPr="00584330" w:rsidRDefault="004F5BEB" w:rsidP="00790883">
      <w:pPr>
        <w:numPr>
          <w:ilvl w:val="0"/>
          <w:numId w:val="50"/>
        </w:numPr>
        <w:overflowPunct/>
        <w:jc w:val="left"/>
        <w:textAlignment w:val="auto"/>
        <w:rPr>
          <w:rFonts w:asciiTheme="minorHAnsi" w:hAnsiTheme="minorHAnsi"/>
        </w:rPr>
      </w:pPr>
      <w:r w:rsidRPr="00584330">
        <w:rPr>
          <w:rFonts w:asciiTheme="minorHAnsi" w:hAnsiTheme="minorHAnsi"/>
        </w:rPr>
        <w:t>ew. wykona</w:t>
      </w:r>
      <w:r w:rsidRPr="00584330">
        <w:rPr>
          <w:rFonts w:asciiTheme="minorHAnsi" w:eastAsia="TimesNewRoman" w:hAnsiTheme="minorHAnsi"/>
        </w:rPr>
        <w:t xml:space="preserve">ć </w:t>
      </w:r>
      <w:r w:rsidRPr="00584330">
        <w:rPr>
          <w:rFonts w:asciiTheme="minorHAnsi" w:hAnsiTheme="minorHAnsi"/>
        </w:rPr>
        <w:t>własne badania wła</w:t>
      </w:r>
      <w:r w:rsidRPr="00584330">
        <w:rPr>
          <w:rFonts w:asciiTheme="minorHAnsi" w:eastAsia="TimesNewRoman" w:hAnsiTheme="minorHAnsi"/>
        </w:rPr>
        <w:t>ś</w:t>
      </w:r>
      <w:r w:rsidRPr="00584330">
        <w:rPr>
          <w:rFonts w:asciiTheme="minorHAnsi" w:hAnsiTheme="minorHAnsi"/>
        </w:rPr>
        <w:t>ciwo</w:t>
      </w:r>
      <w:r w:rsidRPr="00584330">
        <w:rPr>
          <w:rFonts w:asciiTheme="minorHAnsi" w:eastAsia="TimesNewRoman" w:hAnsiTheme="minorHAnsi"/>
        </w:rPr>
        <w:t>ś</w:t>
      </w:r>
      <w:r w:rsidRPr="00584330">
        <w:rPr>
          <w:rFonts w:asciiTheme="minorHAnsi" w:hAnsiTheme="minorHAnsi"/>
        </w:rPr>
        <w:t>ci wyrobów i wyrobów przeznaczonych do wykonania robót, okre</w:t>
      </w:r>
      <w:r w:rsidRPr="00584330">
        <w:rPr>
          <w:rFonts w:asciiTheme="minorHAnsi" w:eastAsia="TimesNewRoman" w:hAnsiTheme="minorHAnsi"/>
        </w:rPr>
        <w:t>ś</w:t>
      </w:r>
      <w:r w:rsidRPr="00584330">
        <w:rPr>
          <w:rFonts w:asciiTheme="minorHAnsi" w:hAnsiTheme="minorHAnsi"/>
        </w:rPr>
        <w:t>lone w pkt. 2</w:t>
      </w:r>
    </w:p>
    <w:p w:rsidR="004F5BEB" w:rsidRPr="00584330" w:rsidRDefault="004F5BEB" w:rsidP="00790883">
      <w:pPr>
        <w:numPr>
          <w:ilvl w:val="0"/>
          <w:numId w:val="50"/>
        </w:numPr>
        <w:overflowPunct/>
        <w:jc w:val="left"/>
        <w:textAlignment w:val="auto"/>
        <w:rPr>
          <w:rFonts w:asciiTheme="minorHAnsi" w:hAnsiTheme="minorHAnsi"/>
        </w:rPr>
      </w:pPr>
      <w:r w:rsidRPr="00584330">
        <w:rPr>
          <w:rFonts w:asciiTheme="minorHAnsi" w:hAnsiTheme="minorHAnsi"/>
        </w:rPr>
        <w:t>sprawdzi</w:t>
      </w:r>
      <w:r w:rsidRPr="00584330">
        <w:rPr>
          <w:rFonts w:asciiTheme="minorHAnsi" w:eastAsia="TimesNewRoman" w:hAnsiTheme="minorHAnsi"/>
        </w:rPr>
        <w:t xml:space="preserve">ć </w:t>
      </w:r>
      <w:r w:rsidRPr="00584330">
        <w:rPr>
          <w:rFonts w:asciiTheme="minorHAnsi" w:hAnsiTheme="minorHAnsi"/>
        </w:rPr>
        <w:t>cechy zewn</w:t>
      </w:r>
      <w:r w:rsidRPr="00584330">
        <w:rPr>
          <w:rFonts w:asciiTheme="minorHAnsi" w:eastAsia="TimesNewRoman" w:hAnsiTheme="minorHAnsi"/>
        </w:rPr>
        <w:t>ę</w:t>
      </w:r>
      <w:r w:rsidRPr="00584330">
        <w:rPr>
          <w:rFonts w:asciiTheme="minorHAnsi" w:hAnsiTheme="minorHAnsi"/>
        </w:rPr>
        <w:t>trzne kraw</w:t>
      </w:r>
      <w:r w:rsidRPr="00584330">
        <w:rPr>
          <w:rFonts w:asciiTheme="minorHAnsi" w:eastAsia="TimesNewRoman" w:hAnsiTheme="minorHAnsi"/>
        </w:rPr>
        <w:t>ęż</w:t>
      </w:r>
      <w:r w:rsidRPr="00584330">
        <w:rPr>
          <w:rFonts w:asciiTheme="minorHAnsi" w:hAnsiTheme="minorHAnsi"/>
        </w:rPr>
        <w:t>ników.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Wszystkie dokumenty oraz wyniki bada</w:t>
      </w:r>
      <w:r w:rsidRPr="00584330">
        <w:rPr>
          <w:rFonts w:asciiTheme="minorHAnsi" w:eastAsia="TimesNewRoman" w:hAnsiTheme="minorHAnsi"/>
        </w:rPr>
        <w:t xml:space="preserve">ń </w:t>
      </w:r>
      <w:r w:rsidRPr="00584330">
        <w:rPr>
          <w:rFonts w:asciiTheme="minorHAnsi" w:hAnsiTheme="minorHAnsi"/>
        </w:rPr>
        <w:t>Wykonawca przedstawia Inspektorowi Nadzoru Inwestorskiemu do akceptacji.</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Sprawdzenie wygl</w:t>
      </w:r>
      <w:r w:rsidRPr="00584330">
        <w:rPr>
          <w:rFonts w:asciiTheme="minorHAnsi" w:eastAsia="TimesNewRoman" w:hAnsiTheme="minorHAnsi"/>
        </w:rPr>
        <w:t>ą</w:t>
      </w:r>
      <w:r w:rsidRPr="00584330">
        <w:rPr>
          <w:rFonts w:asciiTheme="minorHAnsi" w:hAnsiTheme="minorHAnsi"/>
        </w:rPr>
        <w:t>du zewn</w:t>
      </w:r>
      <w:r w:rsidRPr="00584330">
        <w:rPr>
          <w:rFonts w:asciiTheme="minorHAnsi" w:eastAsia="TimesNewRoman" w:hAnsiTheme="minorHAnsi"/>
        </w:rPr>
        <w:t>ę</w:t>
      </w:r>
      <w:r w:rsidRPr="00584330">
        <w:rPr>
          <w:rFonts w:asciiTheme="minorHAnsi" w:hAnsiTheme="minorHAnsi"/>
        </w:rPr>
        <w:t>trznego kraw</w:t>
      </w:r>
      <w:r w:rsidRPr="00584330">
        <w:rPr>
          <w:rFonts w:asciiTheme="minorHAnsi" w:eastAsia="TimesNewRoman" w:hAnsiTheme="minorHAnsi"/>
        </w:rPr>
        <w:t>ęż</w:t>
      </w:r>
      <w:r w:rsidRPr="00584330">
        <w:rPr>
          <w:rFonts w:asciiTheme="minorHAnsi" w:hAnsiTheme="minorHAnsi"/>
        </w:rPr>
        <w:t>ników należy przeprowadzi</w:t>
      </w:r>
      <w:r w:rsidRPr="00584330">
        <w:rPr>
          <w:rFonts w:asciiTheme="minorHAnsi" w:eastAsia="TimesNewRoman" w:hAnsiTheme="minorHAnsi"/>
        </w:rPr>
        <w:t xml:space="preserve">ć </w:t>
      </w:r>
      <w:r w:rsidRPr="00584330">
        <w:rPr>
          <w:rFonts w:asciiTheme="minorHAnsi" w:hAnsiTheme="minorHAnsi"/>
        </w:rPr>
        <w:t>na podstawie ogl</w:t>
      </w:r>
      <w:r w:rsidRPr="00584330">
        <w:rPr>
          <w:rFonts w:asciiTheme="minorHAnsi" w:eastAsia="TimesNewRoman" w:hAnsiTheme="minorHAnsi"/>
        </w:rPr>
        <w:t>ę</w:t>
      </w:r>
      <w:r w:rsidRPr="00584330">
        <w:rPr>
          <w:rFonts w:asciiTheme="minorHAnsi" w:hAnsiTheme="minorHAnsi"/>
        </w:rPr>
        <w:t>dzin elementu przez pomiar i ocen</w:t>
      </w:r>
      <w:r w:rsidRPr="00584330">
        <w:rPr>
          <w:rFonts w:asciiTheme="minorHAnsi" w:eastAsia="TimesNewRoman" w:hAnsiTheme="minorHAnsi"/>
        </w:rPr>
        <w:t xml:space="preserve">ę </w:t>
      </w:r>
      <w:r w:rsidRPr="00584330">
        <w:rPr>
          <w:rFonts w:asciiTheme="minorHAnsi" w:hAnsiTheme="minorHAnsi"/>
        </w:rPr>
        <w:t>uszkodze</w:t>
      </w:r>
      <w:r w:rsidRPr="00584330">
        <w:rPr>
          <w:rFonts w:asciiTheme="minorHAnsi" w:eastAsia="TimesNewRoman" w:hAnsiTheme="minorHAnsi"/>
        </w:rPr>
        <w:t xml:space="preserve">ń </w:t>
      </w:r>
      <w:r w:rsidRPr="00584330">
        <w:rPr>
          <w:rFonts w:asciiTheme="minorHAnsi" w:hAnsiTheme="minorHAnsi"/>
        </w:rPr>
        <w:t>wyst</w:t>
      </w:r>
      <w:r w:rsidRPr="00584330">
        <w:rPr>
          <w:rFonts w:asciiTheme="minorHAnsi" w:eastAsia="TimesNewRoman" w:hAnsiTheme="minorHAnsi"/>
        </w:rPr>
        <w:t>ę</w:t>
      </w:r>
      <w:r w:rsidRPr="00584330">
        <w:rPr>
          <w:rFonts w:asciiTheme="minorHAnsi" w:hAnsiTheme="minorHAnsi"/>
        </w:rPr>
        <w:t>puj</w:t>
      </w:r>
      <w:r w:rsidRPr="00584330">
        <w:rPr>
          <w:rFonts w:asciiTheme="minorHAnsi" w:eastAsia="TimesNewRoman" w:hAnsiTheme="minorHAnsi"/>
        </w:rPr>
        <w:t>ą</w:t>
      </w:r>
      <w:r w:rsidRPr="00584330">
        <w:rPr>
          <w:rFonts w:asciiTheme="minorHAnsi" w:hAnsiTheme="minorHAnsi"/>
        </w:rPr>
        <w:t>cych na powierzchniach i kraw</w:t>
      </w:r>
      <w:r w:rsidRPr="00584330">
        <w:rPr>
          <w:rFonts w:asciiTheme="minorHAnsi" w:eastAsia="TimesNewRoman" w:hAnsiTheme="minorHAnsi"/>
        </w:rPr>
        <w:t>ę</w:t>
      </w:r>
      <w:r w:rsidRPr="00584330">
        <w:rPr>
          <w:rFonts w:asciiTheme="minorHAnsi" w:hAnsiTheme="minorHAnsi"/>
        </w:rPr>
        <w:t>dziach elementu zgodnie z wymaganiami tablicy 1 i ustaleniami PN-EN 1340.</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Badania pozostałych wyrobów i wyrobów stosowanych przy ustawianiu kraw</w:t>
      </w:r>
      <w:r w:rsidRPr="00584330">
        <w:rPr>
          <w:rFonts w:asciiTheme="minorHAnsi" w:eastAsia="TimesNewRoman" w:hAnsiTheme="minorHAnsi"/>
        </w:rPr>
        <w:t>ęż</w:t>
      </w:r>
      <w:r w:rsidRPr="00584330">
        <w:rPr>
          <w:rFonts w:asciiTheme="minorHAnsi" w:hAnsiTheme="minorHAnsi"/>
        </w:rPr>
        <w:t>ników betonowych powinny obejmowa</w:t>
      </w:r>
      <w:r w:rsidRPr="00584330">
        <w:rPr>
          <w:rFonts w:asciiTheme="minorHAnsi" w:eastAsia="TimesNewRoman" w:hAnsiTheme="minorHAnsi"/>
        </w:rPr>
        <w:t xml:space="preserve">ć </w:t>
      </w:r>
      <w:r w:rsidRPr="00584330">
        <w:rPr>
          <w:rFonts w:asciiTheme="minorHAnsi" w:hAnsiTheme="minorHAnsi"/>
        </w:rPr>
        <w:t>wła</w:t>
      </w:r>
      <w:r w:rsidRPr="00584330">
        <w:rPr>
          <w:rFonts w:asciiTheme="minorHAnsi" w:eastAsia="TimesNewRoman" w:hAnsiTheme="minorHAnsi"/>
        </w:rPr>
        <w:t>ś</w:t>
      </w:r>
      <w:r w:rsidRPr="00584330">
        <w:rPr>
          <w:rFonts w:asciiTheme="minorHAnsi" w:hAnsiTheme="minorHAnsi"/>
        </w:rPr>
        <w:t>ciwo</w:t>
      </w:r>
      <w:r w:rsidRPr="00584330">
        <w:rPr>
          <w:rFonts w:asciiTheme="minorHAnsi" w:eastAsia="TimesNewRoman" w:hAnsiTheme="minorHAnsi"/>
        </w:rPr>
        <w:t>ś</w:t>
      </w:r>
      <w:r w:rsidRPr="00584330">
        <w:rPr>
          <w:rFonts w:asciiTheme="minorHAnsi" w:hAnsiTheme="minorHAnsi"/>
        </w:rPr>
        <w:t>ci, okre</w:t>
      </w:r>
      <w:r w:rsidRPr="00584330">
        <w:rPr>
          <w:rFonts w:asciiTheme="minorHAnsi" w:eastAsia="TimesNewRoman" w:hAnsiTheme="minorHAnsi"/>
        </w:rPr>
        <w:t>ś</w:t>
      </w:r>
      <w:r w:rsidRPr="00584330">
        <w:rPr>
          <w:rFonts w:asciiTheme="minorHAnsi" w:hAnsiTheme="minorHAnsi"/>
        </w:rPr>
        <w:t>lone w normach podanych dla odpowiednich wyrobów i wyrobów w pkt. 2.</w:t>
      </w:r>
    </w:p>
    <w:p w:rsidR="004F5BEB" w:rsidRPr="00584330" w:rsidRDefault="004F5BEB" w:rsidP="004F5BEB">
      <w:pPr>
        <w:overflowPunct/>
        <w:jc w:val="left"/>
        <w:textAlignment w:val="auto"/>
        <w:rPr>
          <w:rFonts w:asciiTheme="minorHAnsi" w:hAnsiTheme="minorHAnsi"/>
          <w:b/>
          <w:bCs/>
        </w:rPr>
      </w:pPr>
      <w:r w:rsidRPr="00584330">
        <w:rPr>
          <w:rFonts w:asciiTheme="minorHAnsi" w:hAnsiTheme="minorHAnsi"/>
          <w:b/>
          <w:bCs/>
        </w:rPr>
        <w:t>6.3. Kontrole i badania w trakcie wykonywania robót</w:t>
      </w:r>
    </w:p>
    <w:p w:rsidR="004F5BEB" w:rsidRPr="00584330" w:rsidRDefault="004F5BEB" w:rsidP="004F5BEB">
      <w:pPr>
        <w:overflowPunct/>
        <w:jc w:val="left"/>
        <w:textAlignment w:val="auto"/>
        <w:rPr>
          <w:rFonts w:asciiTheme="minorHAnsi" w:eastAsia="TimesNewRoman" w:hAnsiTheme="minorHAnsi"/>
        </w:rPr>
      </w:pPr>
      <w:r w:rsidRPr="00584330">
        <w:rPr>
          <w:rFonts w:asciiTheme="minorHAnsi" w:hAnsiTheme="minorHAnsi"/>
          <w:b/>
          <w:bCs/>
        </w:rPr>
        <w:t xml:space="preserve">6.3.1. </w:t>
      </w:r>
      <w:r w:rsidRPr="00584330">
        <w:rPr>
          <w:rFonts w:asciiTheme="minorHAnsi" w:hAnsiTheme="minorHAnsi"/>
        </w:rPr>
        <w:t>Sprawdzenie koryta pod ław</w:t>
      </w:r>
      <w:r w:rsidRPr="00584330">
        <w:rPr>
          <w:rFonts w:asciiTheme="minorHAnsi" w:eastAsia="TimesNewRoman" w:hAnsiTheme="minorHAnsi"/>
        </w:rPr>
        <w:t>ę</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Należy sprawdza</w:t>
      </w:r>
      <w:r w:rsidRPr="00584330">
        <w:rPr>
          <w:rFonts w:asciiTheme="minorHAnsi" w:eastAsia="TimesNewRoman" w:hAnsiTheme="minorHAnsi"/>
        </w:rPr>
        <w:t xml:space="preserve">ć </w:t>
      </w:r>
      <w:r w:rsidRPr="00584330">
        <w:rPr>
          <w:rFonts w:asciiTheme="minorHAnsi" w:hAnsiTheme="minorHAnsi"/>
        </w:rPr>
        <w:t>wymiary koryta oraz zag</w:t>
      </w:r>
      <w:r w:rsidRPr="00584330">
        <w:rPr>
          <w:rFonts w:asciiTheme="minorHAnsi" w:eastAsia="TimesNewRoman" w:hAnsiTheme="minorHAnsi"/>
        </w:rPr>
        <w:t>ę</w:t>
      </w:r>
      <w:r w:rsidRPr="00584330">
        <w:rPr>
          <w:rFonts w:asciiTheme="minorHAnsi" w:hAnsiTheme="minorHAnsi"/>
        </w:rPr>
        <w:t>szczenie podłoża na dnie wykopu.</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Tolerancja dla szeroko</w:t>
      </w:r>
      <w:r w:rsidRPr="00584330">
        <w:rPr>
          <w:rFonts w:asciiTheme="minorHAnsi" w:eastAsia="TimesNewRoman" w:hAnsiTheme="minorHAnsi"/>
        </w:rPr>
        <w:t>ś</w:t>
      </w:r>
      <w:r w:rsidRPr="00584330">
        <w:rPr>
          <w:rFonts w:asciiTheme="minorHAnsi" w:hAnsiTheme="minorHAnsi"/>
        </w:rPr>
        <w:t>ci wykopu wynosi ± 2 cm. Zag</w:t>
      </w:r>
      <w:r w:rsidRPr="00584330">
        <w:rPr>
          <w:rFonts w:asciiTheme="minorHAnsi" w:eastAsia="TimesNewRoman" w:hAnsiTheme="minorHAnsi"/>
        </w:rPr>
        <w:t>ę</w:t>
      </w:r>
      <w:r w:rsidRPr="00584330">
        <w:rPr>
          <w:rFonts w:asciiTheme="minorHAnsi" w:hAnsiTheme="minorHAnsi"/>
        </w:rPr>
        <w:t>szczenie podłoża powinno by</w:t>
      </w:r>
      <w:r w:rsidRPr="00584330">
        <w:rPr>
          <w:rFonts w:asciiTheme="minorHAnsi" w:eastAsia="TimesNewRoman" w:hAnsiTheme="minorHAnsi"/>
        </w:rPr>
        <w:t xml:space="preserve">ć </w:t>
      </w:r>
      <w:r w:rsidRPr="00584330">
        <w:rPr>
          <w:rFonts w:asciiTheme="minorHAnsi" w:hAnsiTheme="minorHAnsi"/>
        </w:rPr>
        <w:t>zgodne z pkt. 5.2.4. – 1 badanie zag</w:t>
      </w:r>
      <w:r w:rsidRPr="00584330">
        <w:rPr>
          <w:rFonts w:asciiTheme="minorHAnsi" w:eastAsia="TimesNewRoman" w:hAnsiTheme="minorHAnsi"/>
        </w:rPr>
        <w:t>ę</w:t>
      </w:r>
      <w:r w:rsidRPr="00584330">
        <w:rPr>
          <w:rFonts w:asciiTheme="minorHAnsi" w:hAnsiTheme="minorHAnsi"/>
        </w:rPr>
        <w:t>szczenia na każde rozpocz</w:t>
      </w:r>
      <w:r w:rsidRPr="00584330">
        <w:rPr>
          <w:rFonts w:asciiTheme="minorHAnsi" w:eastAsia="TimesNewRoman" w:hAnsiTheme="minorHAnsi"/>
        </w:rPr>
        <w:t>ę</w:t>
      </w:r>
      <w:r w:rsidRPr="00584330">
        <w:rPr>
          <w:rFonts w:asciiTheme="minorHAnsi" w:hAnsiTheme="minorHAnsi"/>
        </w:rPr>
        <w:t>te 500 m kraw</w:t>
      </w:r>
      <w:r w:rsidRPr="00584330">
        <w:rPr>
          <w:rFonts w:asciiTheme="minorHAnsi" w:eastAsia="TimesNewRoman" w:hAnsiTheme="minorHAnsi"/>
        </w:rPr>
        <w:t>ęż</w:t>
      </w:r>
      <w:r w:rsidRPr="00584330">
        <w:rPr>
          <w:rFonts w:asciiTheme="minorHAnsi" w:hAnsiTheme="minorHAnsi"/>
        </w:rPr>
        <w:t>nika.</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b/>
          <w:bCs/>
        </w:rPr>
        <w:t xml:space="preserve">6.3.2. </w:t>
      </w:r>
      <w:r w:rsidRPr="00584330">
        <w:rPr>
          <w:rFonts w:asciiTheme="minorHAnsi" w:hAnsiTheme="minorHAnsi"/>
        </w:rPr>
        <w:t>Sprawdzenie ław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Przy wykonywaniu ław badaniu podlegaj</w:t>
      </w:r>
      <w:r w:rsidRPr="00584330">
        <w:rPr>
          <w:rFonts w:asciiTheme="minorHAnsi" w:eastAsia="TimesNewRoman" w:hAnsiTheme="minorHAnsi"/>
        </w:rPr>
        <w:t>ą</w:t>
      </w:r>
      <w:r w:rsidRPr="00584330">
        <w:rPr>
          <w:rFonts w:asciiTheme="minorHAnsi" w:hAnsiTheme="minorHAnsi"/>
        </w:rPr>
        <w: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a) Zgodno</w:t>
      </w:r>
      <w:r w:rsidRPr="00584330">
        <w:rPr>
          <w:rFonts w:asciiTheme="minorHAnsi" w:eastAsia="TimesNewRoman" w:hAnsiTheme="minorHAnsi"/>
        </w:rPr>
        <w:t xml:space="preserve">ść </w:t>
      </w:r>
      <w:r w:rsidRPr="00584330">
        <w:rPr>
          <w:rFonts w:asciiTheme="minorHAnsi" w:hAnsiTheme="minorHAnsi"/>
        </w:rPr>
        <w:t>profilu podłużnego górnej powierzchni ław z dokumentacj</w:t>
      </w:r>
      <w:r w:rsidRPr="00584330">
        <w:rPr>
          <w:rFonts w:asciiTheme="minorHAnsi" w:eastAsia="TimesNewRoman" w:hAnsiTheme="minorHAnsi"/>
        </w:rPr>
        <w:t xml:space="preserve">ą </w:t>
      </w:r>
      <w:r w:rsidRPr="00584330">
        <w:rPr>
          <w:rFonts w:asciiTheme="minorHAnsi" w:hAnsiTheme="minorHAnsi"/>
        </w:rPr>
        <w:t>projektow</w:t>
      </w:r>
      <w:r w:rsidRPr="00584330">
        <w:rPr>
          <w:rFonts w:asciiTheme="minorHAnsi" w:eastAsia="TimesNewRoman" w:hAnsiTheme="minorHAnsi"/>
        </w:rPr>
        <w:t>ą</w:t>
      </w:r>
      <w:r w:rsidRPr="00584330">
        <w:rPr>
          <w:rFonts w:asciiTheme="minorHAnsi" w:hAnsiTheme="minorHAnsi"/>
        </w:rPr>
        <w: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Profil podłużny górnej powierzchni ławy powinien by</w:t>
      </w:r>
      <w:r w:rsidRPr="00584330">
        <w:rPr>
          <w:rFonts w:asciiTheme="minorHAnsi" w:eastAsia="TimesNewRoman" w:hAnsiTheme="minorHAnsi"/>
        </w:rPr>
        <w:t xml:space="preserve">ć </w:t>
      </w:r>
      <w:r w:rsidRPr="00584330">
        <w:rPr>
          <w:rFonts w:asciiTheme="minorHAnsi" w:hAnsiTheme="minorHAnsi"/>
        </w:rPr>
        <w:t>zgodny z projektowan</w:t>
      </w:r>
      <w:r w:rsidRPr="00584330">
        <w:rPr>
          <w:rFonts w:asciiTheme="minorHAnsi" w:eastAsia="TimesNewRoman" w:hAnsiTheme="minorHAnsi"/>
        </w:rPr>
        <w:t xml:space="preserve">ą </w:t>
      </w:r>
      <w:r w:rsidRPr="00584330">
        <w:rPr>
          <w:rFonts w:asciiTheme="minorHAnsi" w:hAnsiTheme="minorHAnsi"/>
        </w:rPr>
        <w:t>niwelet</w:t>
      </w:r>
      <w:r w:rsidRPr="00584330">
        <w:rPr>
          <w:rFonts w:asciiTheme="minorHAnsi" w:eastAsia="TimesNewRoman" w:hAnsiTheme="minorHAnsi"/>
        </w:rPr>
        <w:t>ą</w:t>
      </w:r>
      <w:r w:rsidRPr="00584330">
        <w:rPr>
          <w:rFonts w:asciiTheme="minorHAnsi" w:hAnsiTheme="minorHAnsi"/>
        </w:rPr>
        <w:t>. Dopuszczalne odchylenia mog</w:t>
      </w:r>
      <w:r w:rsidRPr="00584330">
        <w:rPr>
          <w:rFonts w:asciiTheme="minorHAnsi" w:eastAsia="TimesNewRoman" w:hAnsiTheme="minorHAnsi"/>
        </w:rPr>
        <w:t xml:space="preserve">ą </w:t>
      </w:r>
      <w:r w:rsidRPr="00584330">
        <w:rPr>
          <w:rFonts w:asciiTheme="minorHAnsi" w:hAnsiTheme="minorHAnsi"/>
        </w:rPr>
        <w:t>wynosi</w:t>
      </w:r>
      <w:r w:rsidRPr="00584330">
        <w:rPr>
          <w:rFonts w:asciiTheme="minorHAnsi" w:eastAsia="TimesNewRoman" w:hAnsiTheme="minorHAnsi"/>
        </w:rPr>
        <w:t xml:space="preserve">ć </w:t>
      </w:r>
      <w:r w:rsidRPr="00584330">
        <w:rPr>
          <w:rFonts w:asciiTheme="minorHAnsi" w:hAnsiTheme="minorHAnsi"/>
        </w:rPr>
        <w:t>± 1 cm – pomiar co 100 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 Wymiary ław.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Wymiary ław należy sprawdzi</w:t>
      </w:r>
      <w:r w:rsidRPr="00584330">
        <w:rPr>
          <w:rFonts w:asciiTheme="minorHAnsi" w:eastAsia="TimesNewRoman" w:hAnsiTheme="minorHAnsi"/>
        </w:rPr>
        <w:t xml:space="preserve">ć </w:t>
      </w:r>
      <w:r w:rsidRPr="00584330">
        <w:rPr>
          <w:rFonts w:asciiTheme="minorHAnsi" w:hAnsiTheme="minorHAnsi"/>
        </w:rPr>
        <w:t>w dwóch dowolnie wybranych punktach na każde 100 m ławy. Tolerancje wymiarów wynosz</w:t>
      </w:r>
      <w:r w:rsidRPr="00584330">
        <w:rPr>
          <w:rFonts w:asciiTheme="minorHAnsi" w:eastAsia="TimesNewRoman" w:hAnsiTheme="minorHAnsi"/>
        </w:rPr>
        <w:t>ą</w:t>
      </w:r>
      <w:r w:rsidRPr="00584330">
        <w:rPr>
          <w:rFonts w:asciiTheme="minorHAnsi" w:hAnsiTheme="minorHAnsi"/>
        </w:rPr>
        <w: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dla wysoko</w:t>
      </w:r>
      <w:r w:rsidRPr="00584330">
        <w:rPr>
          <w:rFonts w:asciiTheme="minorHAnsi" w:eastAsia="TimesNewRoman" w:hAnsiTheme="minorHAnsi"/>
        </w:rPr>
        <w:t>ś</w:t>
      </w:r>
      <w:r w:rsidRPr="00584330">
        <w:rPr>
          <w:rFonts w:asciiTheme="minorHAnsi" w:hAnsiTheme="minorHAnsi"/>
        </w:rPr>
        <w:t>ci +10% wysoko</w:t>
      </w:r>
      <w:r w:rsidRPr="00584330">
        <w:rPr>
          <w:rFonts w:asciiTheme="minorHAnsi" w:eastAsia="TimesNewRoman" w:hAnsiTheme="minorHAnsi"/>
        </w:rPr>
        <w:t>ś</w:t>
      </w:r>
      <w:r w:rsidRPr="00584330">
        <w:rPr>
          <w:rFonts w:asciiTheme="minorHAnsi" w:hAnsiTheme="minorHAnsi"/>
        </w:rPr>
        <w:t>ci projektowanej,</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 dla szeroko</w:t>
      </w:r>
      <w:r w:rsidRPr="00584330">
        <w:rPr>
          <w:rFonts w:asciiTheme="minorHAnsi" w:eastAsia="TimesNewRoman" w:hAnsiTheme="minorHAnsi"/>
        </w:rPr>
        <w:t>ś</w:t>
      </w:r>
      <w:r w:rsidRPr="00584330">
        <w:rPr>
          <w:rFonts w:asciiTheme="minorHAnsi" w:hAnsiTheme="minorHAnsi"/>
        </w:rPr>
        <w:t>ci +10% szeroko</w:t>
      </w:r>
      <w:r w:rsidRPr="00584330">
        <w:rPr>
          <w:rFonts w:asciiTheme="minorHAnsi" w:eastAsia="TimesNewRoman" w:hAnsiTheme="minorHAnsi"/>
        </w:rPr>
        <w:t>ś</w:t>
      </w:r>
      <w:r w:rsidRPr="00584330">
        <w:rPr>
          <w:rFonts w:asciiTheme="minorHAnsi" w:hAnsiTheme="minorHAnsi"/>
        </w:rPr>
        <w:t>ci projektowanej.</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c) Równo</w:t>
      </w:r>
      <w:r w:rsidRPr="00584330">
        <w:rPr>
          <w:rFonts w:asciiTheme="minorHAnsi" w:eastAsia="TimesNewRoman" w:hAnsiTheme="minorHAnsi"/>
        </w:rPr>
        <w:t xml:space="preserve">ść </w:t>
      </w:r>
      <w:r w:rsidRPr="00584330">
        <w:rPr>
          <w:rFonts w:asciiTheme="minorHAnsi" w:hAnsiTheme="minorHAnsi"/>
        </w:rPr>
        <w:t>górnej powierzchni ław.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Równo</w:t>
      </w:r>
      <w:r w:rsidRPr="00584330">
        <w:rPr>
          <w:rFonts w:asciiTheme="minorHAnsi" w:eastAsia="TimesNewRoman" w:hAnsiTheme="minorHAnsi"/>
        </w:rPr>
        <w:t xml:space="preserve">ść </w:t>
      </w:r>
      <w:r w:rsidRPr="00584330">
        <w:rPr>
          <w:rFonts w:asciiTheme="minorHAnsi" w:hAnsiTheme="minorHAnsi"/>
        </w:rPr>
        <w:t>górnej powierzchni ławy sprawdza si</w:t>
      </w:r>
      <w:r w:rsidRPr="00584330">
        <w:rPr>
          <w:rFonts w:asciiTheme="minorHAnsi" w:eastAsia="TimesNewRoman" w:hAnsiTheme="minorHAnsi"/>
        </w:rPr>
        <w:t xml:space="preserve">ę </w:t>
      </w:r>
      <w:r w:rsidRPr="00584330">
        <w:rPr>
          <w:rFonts w:asciiTheme="minorHAnsi" w:hAnsiTheme="minorHAnsi"/>
        </w:rPr>
        <w:t>przez przyłożenie w dwóch punktach, na każde 100 m ławy, trzymetrowej łaty. Prze</w:t>
      </w:r>
      <w:r w:rsidRPr="00584330">
        <w:rPr>
          <w:rFonts w:asciiTheme="minorHAnsi" w:eastAsia="TimesNewRoman" w:hAnsiTheme="minorHAnsi"/>
        </w:rPr>
        <w:t>ś</w:t>
      </w:r>
      <w:r w:rsidRPr="00584330">
        <w:rPr>
          <w:rFonts w:asciiTheme="minorHAnsi" w:hAnsiTheme="minorHAnsi"/>
        </w:rPr>
        <w:t>wit pomi</w:t>
      </w:r>
      <w:r w:rsidRPr="00584330">
        <w:rPr>
          <w:rFonts w:asciiTheme="minorHAnsi" w:eastAsia="TimesNewRoman" w:hAnsiTheme="minorHAnsi"/>
        </w:rPr>
        <w:t>ę</w:t>
      </w:r>
      <w:r w:rsidRPr="00584330">
        <w:rPr>
          <w:rFonts w:asciiTheme="minorHAnsi" w:hAnsiTheme="minorHAnsi"/>
        </w:rPr>
        <w:t>dzy górn</w:t>
      </w:r>
      <w:r w:rsidRPr="00584330">
        <w:rPr>
          <w:rFonts w:asciiTheme="minorHAnsi" w:eastAsia="TimesNewRoman" w:hAnsiTheme="minorHAnsi"/>
        </w:rPr>
        <w:t xml:space="preserve">ą </w:t>
      </w:r>
      <w:r w:rsidRPr="00584330">
        <w:rPr>
          <w:rFonts w:asciiTheme="minorHAnsi" w:hAnsiTheme="minorHAnsi"/>
        </w:rPr>
        <w:t>powierzchni</w:t>
      </w:r>
      <w:r w:rsidRPr="00584330">
        <w:rPr>
          <w:rFonts w:asciiTheme="minorHAnsi" w:eastAsia="TimesNewRoman" w:hAnsiTheme="minorHAnsi"/>
        </w:rPr>
        <w:t xml:space="preserve">ą </w:t>
      </w:r>
      <w:r w:rsidRPr="00584330">
        <w:rPr>
          <w:rFonts w:asciiTheme="minorHAnsi" w:hAnsiTheme="minorHAnsi"/>
        </w:rPr>
        <w:t>ławy i przyłożon</w:t>
      </w:r>
      <w:r w:rsidRPr="00584330">
        <w:rPr>
          <w:rFonts w:asciiTheme="minorHAnsi" w:eastAsia="TimesNewRoman" w:hAnsiTheme="minorHAnsi"/>
        </w:rPr>
        <w:t xml:space="preserve">ą </w:t>
      </w:r>
      <w:r w:rsidRPr="00584330">
        <w:rPr>
          <w:rFonts w:asciiTheme="minorHAnsi" w:hAnsiTheme="minorHAnsi"/>
        </w:rPr>
        <w:t>łat</w:t>
      </w:r>
      <w:r w:rsidRPr="00584330">
        <w:rPr>
          <w:rFonts w:asciiTheme="minorHAnsi" w:eastAsia="TimesNewRoman" w:hAnsiTheme="minorHAnsi"/>
        </w:rPr>
        <w:t xml:space="preserve">ą </w:t>
      </w:r>
      <w:r w:rsidRPr="00584330">
        <w:rPr>
          <w:rFonts w:asciiTheme="minorHAnsi" w:hAnsiTheme="minorHAnsi"/>
        </w:rPr>
        <w:t>nie może przekracza</w:t>
      </w:r>
      <w:r w:rsidRPr="00584330">
        <w:rPr>
          <w:rFonts w:asciiTheme="minorHAnsi" w:eastAsia="TimesNewRoman" w:hAnsiTheme="minorHAnsi"/>
        </w:rPr>
        <w:t xml:space="preserve">ć </w:t>
      </w:r>
      <w:r w:rsidRPr="00584330">
        <w:rPr>
          <w:rFonts w:asciiTheme="minorHAnsi" w:hAnsiTheme="minorHAnsi"/>
        </w:rPr>
        <w:t>1 cm.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e) odchylenie linii ław od projektowanego.</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Dopuszczalne odchylenie linii ław od projektowanego w planie nie może przekracza</w:t>
      </w:r>
      <w:r w:rsidRPr="00584330">
        <w:rPr>
          <w:rFonts w:asciiTheme="minorHAnsi" w:eastAsia="TimesNewRoman" w:hAnsiTheme="minorHAnsi"/>
        </w:rPr>
        <w:t xml:space="preserve">ć </w:t>
      </w:r>
      <w:r w:rsidRPr="00584330">
        <w:rPr>
          <w:rFonts w:asciiTheme="minorHAnsi" w:hAnsiTheme="minorHAnsi"/>
        </w:rPr>
        <w:t>± 5 cm – pomiar co 100 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b/>
          <w:bCs/>
        </w:rPr>
        <w:t xml:space="preserve">6.3.4. </w:t>
      </w:r>
      <w:r w:rsidRPr="00584330">
        <w:rPr>
          <w:rFonts w:asciiTheme="minorHAnsi" w:hAnsiTheme="minorHAnsi"/>
        </w:rPr>
        <w:t>Sprawdzenie ustawienia kraw</w:t>
      </w:r>
      <w:r w:rsidRPr="00584330">
        <w:rPr>
          <w:rFonts w:asciiTheme="minorHAnsi" w:eastAsia="TimesNewRoman" w:hAnsiTheme="minorHAnsi"/>
        </w:rPr>
        <w:t>ęż</w:t>
      </w:r>
      <w:r w:rsidRPr="00584330">
        <w:rPr>
          <w:rFonts w:asciiTheme="minorHAnsi" w:hAnsiTheme="minorHAnsi"/>
        </w:rPr>
        <w:t>ników</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Przy ustawianiu kraw</w:t>
      </w:r>
      <w:r w:rsidRPr="00584330">
        <w:rPr>
          <w:rFonts w:asciiTheme="minorHAnsi" w:eastAsia="TimesNewRoman" w:hAnsiTheme="minorHAnsi"/>
        </w:rPr>
        <w:t>ęż</w:t>
      </w:r>
      <w:r w:rsidRPr="00584330">
        <w:rPr>
          <w:rFonts w:asciiTheme="minorHAnsi" w:hAnsiTheme="minorHAnsi"/>
        </w:rPr>
        <w:t>ników należy sprawdza</w:t>
      </w:r>
      <w:r w:rsidRPr="00584330">
        <w:rPr>
          <w:rFonts w:asciiTheme="minorHAnsi" w:eastAsia="TimesNewRoman" w:hAnsiTheme="minorHAnsi"/>
        </w:rPr>
        <w:t>ć</w:t>
      </w:r>
      <w:r w:rsidRPr="00584330">
        <w:rPr>
          <w:rFonts w:asciiTheme="minorHAnsi" w:hAnsiTheme="minorHAnsi"/>
        </w:rPr>
        <w:t>:</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a) dopuszczalne odchylenie niwelety górnej płaszczyzny kraw</w:t>
      </w:r>
      <w:r w:rsidRPr="00584330">
        <w:rPr>
          <w:rFonts w:asciiTheme="minorHAnsi" w:eastAsia="TimesNewRoman" w:hAnsiTheme="minorHAnsi"/>
        </w:rPr>
        <w:t>ęż</w:t>
      </w:r>
      <w:r w:rsidRPr="00584330">
        <w:rPr>
          <w:rFonts w:asciiTheme="minorHAnsi" w:hAnsiTheme="minorHAnsi"/>
        </w:rPr>
        <w:t>nika od niwelety projektowanej, które wynosi ± 1 cm – pomiar co 100 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b) równo</w:t>
      </w:r>
      <w:r w:rsidRPr="00584330">
        <w:rPr>
          <w:rFonts w:asciiTheme="minorHAnsi" w:eastAsia="TimesNewRoman" w:hAnsiTheme="minorHAnsi"/>
        </w:rPr>
        <w:t xml:space="preserve">ść </w:t>
      </w:r>
      <w:r w:rsidRPr="00584330">
        <w:rPr>
          <w:rFonts w:asciiTheme="minorHAnsi" w:hAnsiTheme="minorHAnsi"/>
        </w:rPr>
        <w:t>górnej powierzchni kraw</w:t>
      </w:r>
      <w:r w:rsidRPr="00584330">
        <w:rPr>
          <w:rFonts w:asciiTheme="minorHAnsi" w:eastAsia="TimesNewRoman" w:hAnsiTheme="minorHAnsi"/>
        </w:rPr>
        <w:t>ęż</w:t>
      </w:r>
      <w:r w:rsidRPr="00584330">
        <w:rPr>
          <w:rFonts w:asciiTheme="minorHAnsi" w:hAnsiTheme="minorHAnsi"/>
        </w:rPr>
        <w:t>ników, sprawdzane przez przyłożenie w dwóch punktach na każde 100 m kraw</w:t>
      </w:r>
      <w:r w:rsidRPr="00584330">
        <w:rPr>
          <w:rFonts w:asciiTheme="minorHAnsi" w:eastAsia="TimesNewRoman" w:hAnsiTheme="minorHAnsi"/>
        </w:rPr>
        <w:t>ęż</w:t>
      </w:r>
      <w:r w:rsidRPr="00584330">
        <w:rPr>
          <w:rFonts w:asciiTheme="minorHAnsi" w:hAnsiTheme="minorHAnsi"/>
        </w:rPr>
        <w:t>nika, trzymetrowej łaty, przy czym prze</w:t>
      </w:r>
      <w:r w:rsidRPr="00584330">
        <w:rPr>
          <w:rFonts w:asciiTheme="minorHAnsi" w:eastAsia="TimesNewRoman" w:hAnsiTheme="minorHAnsi"/>
        </w:rPr>
        <w:t>ś</w:t>
      </w:r>
      <w:r w:rsidRPr="00584330">
        <w:rPr>
          <w:rFonts w:asciiTheme="minorHAnsi" w:hAnsiTheme="minorHAnsi"/>
        </w:rPr>
        <w:t>wit pomi</w:t>
      </w:r>
      <w:r w:rsidRPr="00584330">
        <w:rPr>
          <w:rFonts w:asciiTheme="minorHAnsi" w:eastAsia="TimesNewRoman" w:hAnsiTheme="minorHAnsi"/>
        </w:rPr>
        <w:t>ę</w:t>
      </w:r>
      <w:r w:rsidRPr="00584330">
        <w:rPr>
          <w:rFonts w:asciiTheme="minorHAnsi" w:hAnsiTheme="minorHAnsi"/>
        </w:rPr>
        <w:t>dzy górn</w:t>
      </w:r>
      <w:r w:rsidRPr="00584330">
        <w:rPr>
          <w:rFonts w:asciiTheme="minorHAnsi" w:eastAsia="TimesNewRoman" w:hAnsiTheme="minorHAnsi"/>
        </w:rPr>
        <w:t xml:space="preserve">ą </w:t>
      </w:r>
      <w:r w:rsidRPr="00584330">
        <w:rPr>
          <w:rFonts w:asciiTheme="minorHAnsi" w:hAnsiTheme="minorHAnsi"/>
        </w:rPr>
        <w:t>powierzchni</w:t>
      </w:r>
      <w:r w:rsidRPr="00584330">
        <w:rPr>
          <w:rFonts w:asciiTheme="minorHAnsi" w:eastAsia="TimesNewRoman" w:hAnsiTheme="minorHAnsi"/>
        </w:rPr>
        <w:t xml:space="preserve">ą </w:t>
      </w:r>
      <w:r w:rsidRPr="00584330">
        <w:rPr>
          <w:rFonts w:asciiTheme="minorHAnsi" w:hAnsiTheme="minorHAnsi"/>
        </w:rPr>
        <w:t>kraw</w:t>
      </w:r>
      <w:r w:rsidRPr="00584330">
        <w:rPr>
          <w:rFonts w:asciiTheme="minorHAnsi" w:eastAsia="TimesNewRoman" w:hAnsiTheme="minorHAnsi"/>
        </w:rPr>
        <w:t>ęż</w:t>
      </w:r>
      <w:r w:rsidRPr="00584330">
        <w:rPr>
          <w:rFonts w:asciiTheme="minorHAnsi" w:hAnsiTheme="minorHAnsi"/>
        </w:rPr>
        <w:t>nika i przyłożon</w:t>
      </w:r>
      <w:r w:rsidRPr="00584330">
        <w:rPr>
          <w:rFonts w:asciiTheme="minorHAnsi" w:eastAsia="TimesNewRoman" w:hAnsiTheme="minorHAnsi"/>
        </w:rPr>
        <w:t xml:space="preserve">ą </w:t>
      </w:r>
      <w:r w:rsidRPr="00584330">
        <w:rPr>
          <w:rFonts w:asciiTheme="minorHAnsi" w:hAnsiTheme="minorHAnsi"/>
        </w:rPr>
        <w:t>łat</w:t>
      </w:r>
      <w:r w:rsidRPr="00584330">
        <w:rPr>
          <w:rFonts w:asciiTheme="minorHAnsi" w:eastAsia="TimesNewRoman" w:hAnsiTheme="minorHAnsi"/>
        </w:rPr>
        <w:t xml:space="preserve">ą </w:t>
      </w:r>
      <w:r w:rsidRPr="00584330">
        <w:rPr>
          <w:rFonts w:asciiTheme="minorHAnsi" w:hAnsiTheme="minorHAnsi"/>
        </w:rPr>
        <w:t>nie może przekracza</w:t>
      </w:r>
      <w:r w:rsidRPr="00584330">
        <w:rPr>
          <w:rFonts w:asciiTheme="minorHAnsi" w:eastAsia="TimesNewRoman" w:hAnsiTheme="minorHAnsi"/>
        </w:rPr>
        <w:t xml:space="preserve">ć </w:t>
      </w:r>
      <w:r w:rsidRPr="00584330">
        <w:rPr>
          <w:rFonts w:asciiTheme="minorHAnsi" w:hAnsiTheme="minorHAnsi"/>
        </w:rPr>
        <w:t>1 cm,</w:t>
      </w:r>
    </w:p>
    <w:p w:rsidR="004F5BEB" w:rsidRPr="00584330" w:rsidRDefault="004F5BEB" w:rsidP="004F5BEB">
      <w:pPr>
        <w:overflowPunct/>
        <w:jc w:val="left"/>
        <w:textAlignment w:val="auto"/>
        <w:rPr>
          <w:rFonts w:asciiTheme="minorHAnsi" w:hAnsiTheme="minorHAnsi"/>
        </w:rPr>
      </w:pPr>
      <w:r w:rsidRPr="00584330">
        <w:rPr>
          <w:rFonts w:asciiTheme="minorHAnsi" w:hAnsiTheme="minorHAnsi"/>
        </w:rPr>
        <w:t>c) dokładno</w:t>
      </w:r>
      <w:r w:rsidRPr="00584330">
        <w:rPr>
          <w:rFonts w:asciiTheme="minorHAnsi" w:eastAsia="TimesNewRoman" w:hAnsiTheme="minorHAnsi"/>
        </w:rPr>
        <w:t xml:space="preserve">ść </w:t>
      </w:r>
      <w:r w:rsidRPr="00584330">
        <w:rPr>
          <w:rFonts w:asciiTheme="minorHAnsi" w:hAnsiTheme="minorHAnsi"/>
        </w:rPr>
        <w:t>wypełnienia spoin bada si</w:t>
      </w:r>
      <w:r w:rsidRPr="00584330">
        <w:rPr>
          <w:rFonts w:asciiTheme="minorHAnsi" w:eastAsia="TimesNewRoman" w:hAnsiTheme="minorHAnsi"/>
        </w:rPr>
        <w:t xml:space="preserve">ę </w:t>
      </w:r>
      <w:r w:rsidRPr="00584330">
        <w:rPr>
          <w:rFonts w:asciiTheme="minorHAnsi" w:hAnsiTheme="minorHAnsi"/>
        </w:rPr>
        <w:t>co 10 metrów. Spoiny musz</w:t>
      </w:r>
      <w:r w:rsidRPr="00584330">
        <w:rPr>
          <w:rFonts w:asciiTheme="minorHAnsi" w:eastAsia="TimesNewRoman" w:hAnsiTheme="minorHAnsi"/>
        </w:rPr>
        <w:t xml:space="preserve">ą </w:t>
      </w:r>
      <w:r w:rsidRPr="00584330">
        <w:rPr>
          <w:rFonts w:asciiTheme="minorHAnsi" w:hAnsiTheme="minorHAnsi"/>
        </w:rPr>
        <w:t>by</w:t>
      </w:r>
      <w:r w:rsidRPr="00584330">
        <w:rPr>
          <w:rFonts w:asciiTheme="minorHAnsi" w:eastAsia="TimesNewRoman" w:hAnsiTheme="minorHAnsi"/>
        </w:rPr>
        <w:t xml:space="preserve">ć </w:t>
      </w:r>
      <w:r w:rsidRPr="00584330">
        <w:rPr>
          <w:rFonts w:asciiTheme="minorHAnsi" w:hAnsiTheme="minorHAnsi"/>
        </w:rPr>
        <w:t>wypełnione</w:t>
      </w:r>
    </w:p>
    <w:p w:rsidR="004F5BEB" w:rsidRPr="00584330" w:rsidRDefault="004F5BEB" w:rsidP="004F5BEB">
      <w:pPr>
        <w:rPr>
          <w:rFonts w:asciiTheme="minorHAnsi" w:hAnsiTheme="minorHAnsi"/>
        </w:rPr>
      </w:pPr>
      <w:r w:rsidRPr="00584330">
        <w:rPr>
          <w:rFonts w:asciiTheme="minorHAnsi" w:hAnsiTheme="minorHAnsi"/>
        </w:rPr>
        <w:lastRenderedPageBreak/>
        <w:t>całkowicie na pełn</w:t>
      </w:r>
      <w:r w:rsidRPr="00584330">
        <w:rPr>
          <w:rFonts w:asciiTheme="minorHAnsi" w:eastAsia="TimesNewRoman" w:hAnsiTheme="minorHAnsi"/>
        </w:rPr>
        <w:t xml:space="preserve">ą </w:t>
      </w:r>
      <w:r w:rsidRPr="00584330">
        <w:rPr>
          <w:rFonts w:asciiTheme="minorHAnsi" w:hAnsiTheme="minorHAnsi"/>
        </w:rPr>
        <w:t>gł</w:t>
      </w:r>
      <w:r w:rsidRPr="00584330">
        <w:rPr>
          <w:rFonts w:asciiTheme="minorHAnsi" w:eastAsia="TimesNewRoman" w:hAnsiTheme="minorHAnsi"/>
        </w:rPr>
        <w:t>ę</w:t>
      </w:r>
      <w:r w:rsidRPr="00584330">
        <w:rPr>
          <w:rFonts w:asciiTheme="minorHAnsi" w:hAnsiTheme="minorHAnsi"/>
        </w:rPr>
        <w:t>boko</w:t>
      </w:r>
      <w:r w:rsidRPr="00584330">
        <w:rPr>
          <w:rFonts w:asciiTheme="minorHAnsi" w:eastAsia="TimesNewRoman" w:hAnsiTheme="minorHAnsi"/>
        </w:rPr>
        <w:t>ść</w:t>
      </w:r>
      <w:r w:rsidRPr="00584330">
        <w:rPr>
          <w:rFonts w:asciiTheme="minorHAnsi" w:hAnsiTheme="minorHAnsi"/>
        </w:rPr>
        <w:t>.</w:t>
      </w:r>
    </w:p>
    <w:p w:rsidR="004F5BEB" w:rsidRPr="00584330" w:rsidRDefault="004F5BEB" w:rsidP="004F5BEB">
      <w:pPr>
        <w:pStyle w:val="Nagwek3"/>
        <w:rPr>
          <w:rFonts w:asciiTheme="minorHAnsi" w:hAnsiTheme="minorHAnsi"/>
        </w:rPr>
      </w:pPr>
      <w:bookmarkStart w:id="1176" w:name="_Toc428169263"/>
      <w:bookmarkStart w:id="1177" w:name="_Toc428323653"/>
      <w:bookmarkStart w:id="1178" w:name="_Toc428759427"/>
      <w:r w:rsidRPr="00584330">
        <w:rPr>
          <w:rFonts w:asciiTheme="minorHAnsi" w:hAnsiTheme="minorHAnsi"/>
        </w:rPr>
        <w:t>7. OBMIAR ROBÓT</w:t>
      </w:r>
      <w:bookmarkEnd w:id="1176"/>
      <w:bookmarkEnd w:id="1177"/>
      <w:bookmarkEnd w:id="1178"/>
    </w:p>
    <w:p w:rsidR="00A07C50" w:rsidRPr="00203191" w:rsidRDefault="00A07C50" w:rsidP="00A07C50">
      <w:pPr>
        <w:pStyle w:val="Nagwek4"/>
        <w:rPr>
          <w:rFonts w:asciiTheme="minorHAnsi" w:hAnsiTheme="minorHAnsi"/>
        </w:rPr>
      </w:pPr>
      <w:r w:rsidRPr="00203191">
        <w:rPr>
          <w:rFonts w:asciiTheme="minorHAnsi" w:hAnsiTheme="minorHAnsi"/>
        </w:rPr>
        <w:t>7.1. Ogólne zasady obmiaru robót</w:t>
      </w:r>
    </w:p>
    <w:p w:rsidR="00A07C50" w:rsidRPr="00203191" w:rsidRDefault="00A07C50" w:rsidP="00A07C50">
      <w:pPr>
        <w:rPr>
          <w:rFonts w:asciiTheme="minorHAnsi" w:hAnsiTheme="minorHAnsi"/>
        </w:rPr>
      </w:pPr>
      <w:r w:rsidRPr="00203191">
        <w:rPr>
          <w:rFonts w:asciiTheme="minorHAnsi" w:hAnsiTheme="minorHAnsi"/>
        </w:rPr>
        <w:t>Ogólne zasady obmiaru robót podano w SSTWiORB D-M-00.00.00 „Wymagania ogólne” pkt 7.</w:t>
      </w:r>
    </w:p>
    <w:p w:rsidR="00A07C50" w:rsidRPr="00203191" w:rsidRDefault="00A07C50" w:rsidP="00A07C50">
      <w:pPr>
        <w:pStyle w:val="Nagwek4"/>
        <w:rPr>
          <w:rFonts w:asciiTheme="minorHAnsi" w:hAnsiTheme="minorHAnsi"/>
        </w:rPr>
      </w:pPr>
      <w:r w:rsidRPr="00203191">
        <w:rPr>
          <w:rFonts w:asciiTheme="minorHAnsi" w:hAnsiTheme="minorHAnsi"/>
        </w:rPr>
        <w:t>7.2. Jednostka obmiarowa</w:t>
      </w:r>
    </w:p>
    <w:p w:rsidR="00A07C50" w:rsidRPr="00203191" w:rsidRDefault="00A07C50" w:rsidP="00A07C50">
      <w:pPr>
        <w:rPr>
          <w:rFonts w:asciiTheme="minorHAnsi" w:hAnsiTheme="minorHAnsi"/>
        </w:rPr>
      </w:pPr>
      <w:r w:rsidRPr="00203191">
        <w:rPr>
          <w:rFonts w:asciiTheme="minorHAnsi" w:hAnsiTheme="minorHAnsi"/>
        </w:rPr>
        <w:t>Jednostką obmiarową jest m (metr) ustawionego krawężnika betonowego.</w:t>
      </w:r>
    </w:p>
    <w:p w:rsidR="004F5BEB" w:rsidRPr="00584330" w:rsidRDefault="004F5BEB" w:rsidP="004F5BEB">
      <w:pPr>
        <w:pStyle w:val="Nagwek3"/>
        <w:rPr>
          <w:rFonts w:asciiTheme="minorHAnsi" w:hAnsiTheme="minorHAnsi"/>
        </w:rPr>
      </w:pPr>
      <w:bookmarkStart w:id="1179" w:name="_Toc428169264"/>
      <w:bookmarkStart w:id="1180" w:name="_Toc428323654"/>
      <w:bookmarkStart w:id="1181" w:name="_Toc428759428"/>
      <w:r w:rsidRPr="00584330">
        <w:rPr>
          <w:rFonts w:asciiTheme="minorHAnsi" w:hAnsiTheme="minorHAnsi"/>
        </w:rPr>
        <w:t>8. ODBIÓR ROBÓT</w:t>
      </w:r>
      <w:bookmarkEnd w:id="1179"/>
      <w:bookmarkEnd w:id="1180"/>
      <w:bookmarkEnd w:id="1181"/>
    </w:p>
    <w:p w:rsidR="004F5BEB" w:rsidRPr="00584330" w:rsidRDefault="004F5BEB" w:rsidP="004F5BEB">
      <w:pPr>
        <w:pStyle w:val="Nagwek4"/>
        <w:rPr>
          <w:rFonts w:asciiTheme="minorHAnsi" w:hAnsiTheme="minorHAnsi"/>
        </w:rPr>
      </w:pPr>
      <w:r w:rsidRPr="00584330">
        <w:rPr>
          <w:rFonts w:asciiTheme="minorHAnsi" w:hAnsiTheme="minorHAnsi"/>
        </w:rPr>
        <w:t>8.1. Ogólne zasady odbioru robót</w:t>
      </w:r>
    </w:p>
    <w:p w:rsidR="004F5BEB" w:rsidRPr="00584330" w:rsidRDefault="004F5BEB" w:rsidP="004F5BEB">
      <w:pPr>
        <w:rPr>
          <w:rFonts w:asciiTheme="minorHAnsi" w:hAnsiTheme="minorHAnsi"/>
        </w:rPr>
      </w:pPr>
      <w:r w:rsidRPr="00584330">
        <w:rPr>
          <w:rFonts w:asciiTheme="minorHAnsi" w:hAnsiTheme="minorHAnsi"/>
        </w:rPr>
        <w:t>Ogólne zasady odbioru robót podano w STWiORB D-M-00.00.00 „Wymagania ogólne” pkt 8.</w:t>
      </w:r>
    </w:p>
    <w:p w:rsidR="004F5BEB" w:rsidRPr="00584330" w:rsidRDefault="004F5BEB" w:rsidP="004F5BEB">
      <w:pPr>
        <w:rPr>
          <w:rFonts w:asciiTheme="minorHAnsi" w:hAnsiTheme="minorHAnsi"/>
        </w:rPr>
      </w:pPr>
      <w:r w:rsidRPr="00584330">
        <w:rPr>
          <w:rFonts w:asciiTheme="minorHAnsi" w:hAnsiTheme="minorHAnsi"/>
        </w:rPr>
        <w:t>Roboty uznaje się za wykonane zgodnie z dokumentacją projektową, STWiORB i wymaganiami Inżyniera, jeżeli wszystkie pomiary i badania z zachowaniem tolerancji wg pkt 6 dały wyniki pozytywne.</w:t>
      </w:r>
    </w:p>
    <w:p w:rsidR="004F5BEB" w:rsidRPr="00584330" w:rsidRDefault="004F5BEB" w:rsidP="004F5BEB">
      <w:pPr>
        <w:pStyle w:val="Nagwek4"/>
        <w:rPr>
          <w:rFonts w:asciiTheme="minorHAnsi" w:hAnsiTheme="minorHAnsi"/>
        </w:rPr>
      </w:pPr>
      <w:r w:rsidRPr="00584330">
        <w:rPr>
          <w:rFonts w:asciiTheme="minorHAnsi" w:hAnsiTheme="minorHAnsi"/>
        </w:rPr>
        <w:t>8.2. Odbiór robót zanikających i ulegających zakryciu</w:t>
      </w:r>
    </w:p>
    <w:p w:rsidR="004F5BEB" w:rsidRPr="00584330" w:rsidRDefault="004F5BEB" w:rsidP="004F5BEB">
      <w:pPr>
        <w:rPr>
          <w:rFonts w:asciiTheme="minorHAnsi" w:hAnsiTheme="minorHAnsi"/>
        </w:rPr>
      </w:pPr>
      <w:r w:rsidRPr="00584330">
        <w:rPr>
          <w:rFonts w:asciiTheme="minorHAnsi" w:hAnsiTheme="minorHAnsi"/>
        </w:rPr>
        <w:t>Odbiorowi robót zanikających i ulegających zakryciu podlegają:</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wykonanie koryta pod ławę,</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wykonanie ławy,</w:t>
      </w:r>
    </w:p>
    <w:p w:rsidR="004F5BEB" w:rsidRPr="00584330" w:rsidRDefault="004F5BEB" w:rsidP="00973D29">
      <w:pPr>
        <w:numPr>
          <w:ilvl w:val="0"/>
          <w:numId w:val="38"/>
        </w:numPr>
        <w:ind w:left="284" w:hanging="284"/>
        <w:rPr>
          <w:rFonts w:asciiTheme="minorHAnsi" w:hAnsiTheme="minorHAnsi"/>
        </w:rPr>
      </w:pPr>
      <w:r w:rsidRPr="00584330">
        <w:rPr>
          <w:rFonts w:asciiTheme="minorHAnsi" w:hAnsiTheme="minorHAnsi"/>
        </w:rPr>
        <w:t>wykonanie podsypki.</w:t>
      </w:r>
    </w:p>
    <w:p w:rsidR="004F5BEB" w:rsidRPr="00584330" w:rsidRDefault="004F5BEB" w:rsidP="004F5BEB">
      <w:pPr>
        <w:pStyle w:val="Nagwek3"/>
        <w:rPr>
          <w:rFonts w:asciiTheme="minorHAnsi" w:hAnsiTheme="minorHAnsi"/>
        </w:rPr>
      </w:pPr>
      <w:bookmarkStart w:id="1182" w:name="_Toc428169265"/>
      <w:bookmarkStart w:id="1183" w:name="_Toc428323655"/>
      <w:bookmarkStart w:id="1184" w:name="_Toc428759429"/>
      <w:r w:rsidRPr="00584330">
        <w:rPr>
          <w:rFonts w:asciiTheme="minorHAnsi" w:hAnsiTheme="minorHAnsi"/>
        </w:rPr>
        <w:t>9. PODSTAWA PŁATNOŚCI</w:t>
      </w:r>
      <w:bookmarkEnd w:id="1182"/>
      <w:bookmarkEnd w:id="1183"/>
      <w:bookmarkEnd w:id="1184"/>
    </w:p>
    <w:p w:rsidR="00A07C50" w:rsidRPr="00203191" w:rsidRDefault="00A07C50" w:rsidP="00A07C50">
      <w:pPr>
        <w:pStyle w:val="Nagwek4"/>
        <w:rPr>
          <w:rFonts w:asciiTheme="minorHAnsi" w:hAnsiTheme="minorHAnsi"/>
        </w:rPr>
      </w:pPr>
      <w:bookmarkStart w:id="1185" w:name="_Toc428759430"/>
      <w:r w:rsidRPr="00203191">
        <w:rPr>
          <w:rFonts w:asciiTheme="minorHAnsi" w:hAnsiTheme="minorHAnsi"/>
        </w:rPr>
        <w:t>9.1. Ogólne ustalenia dotyczące podstawy płatności</w:t>
      </w:r>
    </w:p>
    <w:p w:rsidR="00A07C50" w:rsidRPr="00203191" w:rsidRDefault="00A07C50" w:rsidP="00A07C50">
      <w:pPr>
        <w:rPr>
          <w:rFonts w:asciiTheme="minorHAnsi" w:hAnsiTheme="minorHAnsi"/>
        </w:rPr>
      </w:pPr>
      <w:r w:rsidRPr="00203191">
        <w:rPr>
          <w:rFonts w:asciiTheme="minorHAnsi" w:hAnsiTheme="minorHAnsi"/>
        </w:rPr>
        <w:t>Ogólne ustalenia dotyczące podstawy płatności podano w SSTWiORB D-M-00.00.00 „Wymagania ogólne” pkt 9.</w:t>
      </w:r>
    </w:p>
    <w:p w:rsidR="00A07C50" w:rsidRPr="00203191" w:rsidRDefault="00A07C50" w:rsidP="00A07C50">
      <w:pPr>
        <w:pStyle w:val="Nagwek4"/>
        <w:rPr>
          <w:rFonts w:asciiTheme="minorHAnsi" w:hAnsiTheme="minorHAnsi"/>
        </w:rPr>
      </w:pPr>
      <w:r w:rsidRPr="00203191">
        <w:rPr>
          <w:rFonts w:asciiTheme="minorHAnsi" w:hAnsiTheme="minorHAnsi"/>
        </w:rPr>
        <w:t>9.2. Cena jednostki obmiarowej</w:t>
      </w:r>
    </w:p>
    <w:p w:rsidR="00A07C50" w:rsidRPr="00203191" w:rsidRDefault="00A07C50" w:rsidP="00A07C50">
      <w:pPr>
        <w:rPr>
          <w:rFonts w:asciiTheme="minorHAnsi" w:hAnsiTheme="minorHAnsi"/>
        </w:rPr>
      </w:pPr>
      <w:r w:rsidRPr="00203191">
        <w:rPr>
          <w:rFonts w:asciiTheme="minorHAnsi" w:hAnsiTheme="minorHAnsi"/>
        </w:rPr>
        <w:t>Cena wykonania 1 m krawężnika betonowego obejmuje:</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prace pomiarowe i roboty przygotowawcze,</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dostarczenie materiałów na miejsce wbudowania,</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wykonanie koryta pod ławę,</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wykonanie szalunku,</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wykonanie ławy,</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wykonanie podsypki,</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ustawienie krawężników na podsypce cementowo-piaskowej,</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wypełnienie spoin krawężników zaprawą,</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zalanie spoin masą zalewową,</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zasypanie zewnętrznej ściany krawężnika gruntem i ubicie,</w:t>
      </w:r>
    </w:p>
    <w:p w:rsidR="00A07C50" w:rsidRPr="00203191" w:rsidRDefault="00A07C50" w:rsidP="00A07C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przeprowadzenie badań i pomiarów wymaganych w specyfikacji technicznej.</w:t>
      </w:r>
    </w:p>
    <w:p w:rsidR="004F5BEB" w:rsidRPr="00584330" w:rsidRDefault="004F5BEB" w:rsidP="004F5BEB">
      <w:pPr>
        <w:tabs>
          <w:tab w:val="left" w:pos="0"/>
        </w:tabs>
        <w:rPr>
          <w:rFonts w:asciiTheme="minorHAnsi" w:hAnsiTheme="minorHAnsi"/>
        </w:rPr>
      </w:pPr>
    </w:p>
    <w:p w:rsidR="004F5BEB" w:rsidRPr="00584330" w:rsidRDefault="004F5BEB" w:rsidP="004F5BEB">
      <w:pPr>
        <w:pStyle w:val="Nagwek3"/>
        <w:rPr>
          <w:rFonts w:asciiTheme="minorHAnsi" w:hAnsiTheme="minorHAnsi"/>
        </w:rPr>
      </w:pPr>
      <w:r w:rsidRPr="00584330">
        <w:rPr>
          <w:rFonts w:asciiTheme="minorHAnsi" w:hAnsiTheme="minorHAnsi"/>
        </w:rPr>
        <w:t>10. PRZEPISY ZWIĄZANE</w:t>
      </w:r>
      <w:bookmarkEnd w:id="1185"/>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PN-EN 1340 Kraw</w:t>
      </w:r>
      <w:r w:rsidRPr="00584330">
        <w:rPr>
          <w:rFonts w:asciiTheme="minorHAnsi" w:eastAsia="TimesNewRoman" w:hAnsiTheme="minorHAnsi"/>
        </w:rPr>
        <w:t>ęż</w:t>
      </w:r>
      <w:r w:rsidRPr="00584330">
        <w:rPr>
          <w:rFonts w:asciiTheme="minorHAnsi" w:hAnsiTheme="minorHAnsi"/>
        </w:rPr>
        <w:t>niki betonowe. Wymagania i metody bada</w:t>
      </w:r>
      <w:r w:rsidRPr="00584330">
        <w:rPr>
          <w:rFonts w:asciiTheme="minorHAnsi" w:eastAsia="TimesNewRoman" w:hAnsiTheme="minorHAnsi"/>
        </w:rPr>
        <w:t>ń</w:t>
      </w:r>
      <w:r w:rsidRPr="00584330">
        <w:rPr>
          <w:rFonts w:asciiTheme="minorHAnsi" w:hAnsiTheme="minorHAnsi"/>
        </w:rPr>
        <w:t>.</w:t>
      </w:r>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PN-EN 206-1 Beton.</w:t>
      </w:r>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PN-EN 197-1 Cement. Skład, wymagania i kryteria zgodno</w:t>
      </w:r>
      <w:r w:rsidRPr="00584330">
        <w:rPr>
          <w:rFonts w:asciiTheme="minorHAnsi" w:eastAsia="TimesNewRoman" w:hAnsiTheme="minorHAnsi"/>
        </w:rPr>
        <w:t>ś</w:t>
      </w:r>
      <w:r w:rsidRPr="00584330">
        <w:rPr>
          <w:rFonts w:asciiTheme="minorHAnsi" w:hAnsiTheme="minorHAnsi"/>
        </w:rPr>
        <w:t>ci dotycz</w:t>
      </w:r>
      <w:r w:rsidRPr="00584330">
        <w:rPr>
          <w:rFonts w:asciiTheme="minorHAnsi" w:eastAsia="TimesNewRoman" w:hAnsiTheme="minorHAnsi"/>
        </w:rPr>
        <w:t>ą</w:t>
      </w:r>
      <w:r w:rsidRPr="00584330">
        <w:rPr>
          <w:rFonts w:asciiTheme="minorHAnsi" w:hAnsiTheme="minorHAnsi"/>
        </w:rPr>
        <w:t>ce cementów powszechnego użytku.</w:t>
      </w:r>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PN-EN 13139 Kruszywa do zaprawy.</w:t>
      </w:r>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PN-EN 1008 Woda zarobowa do betonu.</w:t>
      </w:r>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BN-64/8845-02 Kraw</w:t>
      </w:r>
      <w:r w:rsidRPr="00584330">
        <w:rPr>
          <w:rFonts w:asciiTheme="minorHAnsi" w:eastAsia="TimesNewRoman" w:hAnsiTheme="minorHAnsi"/>
        </w:rPr>
        <w:t>ęż</w:t>
      </w:r>
      <w:r w:rsidRPr="00584330">
        <w:rPr>
          <w:rFonts w:asciiTheme="minorHAnsi" w:hAnsiTheme="minorHAnsi"/>
        </w:rPr>
        <w:t>niki uliczne. Warunki techniczne ustawienia i odbioru.</w:t>
      </w:r>
    </w:p>
    <w:p w:rsidR="004F5BEB" w:rsidRPr="00584330"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lastRenderedPageBreak/>
        <w:t>Katalog Szczegółów Drogowych Ulic, Placów i Parków Miejskich – Centrum Techniki Budownictwa Komunalnego, Warszawa 1987</w:t>
      </w:r>
    </w:p>
    <w:p w:rsidR="004F5BEB" w:rsidRDefault="004F5BEB" w:rsidP="00790883">
      <w:pPr>
        <w:numPr>
          <w:ilvl w:val="0"/>
          <w:numId w:val="51"/>
        </w:numPr>
        <w:overflowPunct/>
        <w:jc w:val="left"/>
        <w:textAlignment w:val="auto"/>
        <w:rPr>
          <w:rFonts w:asciiTheme="minorHAnsi" w:hAnsiTheme="minorHAnsi"/>
        </w:rPr>
      </w:pPr>
      <w:r w:rsidRPr="00584330">
        <w:rPr>
          <w:rFonts w:asciiTheme="minorHAnsi" w:hAnsiTheme="minorHAnsi"/>
        </w:rPr>
        <w:t>Katalog Powtarzalnych Elementów Drogowych – Centralne Biuro Projektowo – Badawcze Dróg i Mostów, Transprojekt, Warszawa 1979</w:t>
      </w:r>
    </w:p>
    <w:p w:rsidR="00A07C50" w:rsidRDefault="00A07C50" w:rsidP="00A07C50">
      <w:pPr>
        <w:overflowPunct/>
        <w:jc w:val="left"/>
        <w:textAlignment w:val="auto"/>
        <w:rPr>
          <w:rFonts w:asciiTheme="minorHAnsi" w:hAnsiTheme="minorHAnsi"/>
        </w:rPr>
      </w:pPr>
    </w:p>
    <w:p w:rsidR="00A07C50" w:rsidRDefault="00A07C50" w:rsidP="00A07C50">
      <w:pPr>
        <w:overflowPunct/>
        <w:jc w:val="left"/>
        <w:textAlignment w:val="auto"/>
        <w:rPr>
          <w:rFonts w:asciiTheme="minorHAnsi" w:hAnsiTheme="minorHAnsi"/>
        </w:rPr>
      </w:pPr>
    </w:p>
    <w:p w:rsidR="00A07C50" w:rsidRDefault="00A07C50" w:rsidP="00A07C50">
      <w:pPr>
        <w:overflowPunct/>
        <w:jc w:val="left"/>
        <w:textAlignment w:val="auto"/>
        <w:rPr>
          <w:rFonts w:asciiTheme="minorHAnsi" w:hAnsiTheme="minorHAnsi"/>
        </w:rPr>
      </w:pPr>
    </w:p>
    <w:p w:rsidR="00A07C50" w:rsidRDefault="00A07C50" w:rsidP="00A07C50">
      <w:pPr>
        <w:overflowPunct/>
        <w:jc w:val="left"/>
        <w:textAlignment w:val="auto"/>
        <w:rPr>
          <w:rFonts w:asciiTheme="minorHAnsi" w:hAnsiTheme="minorHAnsi"/>
        </w:rPr>
      </w:pPr>
    </w:p>
    <w:p w:rsidR="00A07C50" w:rsidRDefault="00A07C50" w:rsidP="00A07C50">
      <w:pPr>
        <w:overflowPunct/>
        <w:jc w:val="left"/>
        <w:textAlignment w:val="auto"/>
        <w:rPr>
          <w:rFonts w:asciiTheme="minorHAnsi" w:hAnsiTheme="minorHAnsi"/>
        </w:rPr>
      </w:pPr>
    </w:p>
    <w:p w:rsidR="00A07C50" w:rsidRDefault="00A07C50" w:rsidP="00A07C50">
      <w:pPr>
        <w:overflowPunct/>
        <w:jc w:val="left"/>
        <w:textAlignment w:val="auto"/>
        <w:rPr>
          <w:rFonts w:asciiTheme="minorHAnsi" w:hAnsiTheme="minorHAnsi"/>
        </w:rPr>
      </w:pPr>
    </w:p>
    <w:p w:rsidR="00A07C50" w:rsidRPr="00A07C50" w:rsidRDefault="00A07C50" w:rsidP="00A07C50">
      <w:pPr>
        <w:pStyle w:val="Nagwek2"/>
      </w:pPr>
      <w:bookmarkStart w:id="1186" w:name="_Toc285044241"/>
      <w:r w:rsidRPr="00A07C50">
        <w:lastRenderedPageBreak/>
        <w:t>SZCZEGÓŁOWA SPECYFIKACJA TECHNICZNA WYKONANIA I ODBIORU ROBÓT BUDOWLANYCH</w:t>
      </w:r>
      <w:bookmarkEnd w:id="1186"/>
    </w:p>
    <w:p w:rsidR="00A07C50" w:rsidRPr="00A07C50" w:rsidRDefault="00A07C50" w:rsidP="00A07C50">
      <w:pPr>
        <w:pStyle w:val="Nagwek1"/>
      </w:pPr>
      <w:bookmarkStart w:id="1187" w:name="_Toc285044242"/>
      <w:bookmarkStart w:id="1188" w:name="_Toc296923112"/>
      <w:bookmarkStart w:id="1189" w:name="_Toc333441679"/>
      <w:bookmarkStart w:id="1190" w:name="_Toc333657256"/>
      <w:bookmarkStart w:id="1191" w:name="_Toc334095441"/>
      <w:bookmarkStart w:id="1192" w:name="_Toc352837500"/>
      <w:bookmarkStart w:id="1193" w:name="_Toc358038016"/>
      <w:bookmarkStart w:id="1194" w:name="_Toc459929678"/>
      <w:r w:rsidRPr="00A07C50">
        <w:t>D-08.03.01 BETONOWE OBRZEŻA CHODNIKOWE</w:t>
      </w:r>
      <w:bookmarkEnd w:id="1187"/>
      <w:bookmarkEnd w:id="1188"/>
      <w:bookmarkEnd w:id="1189"/>
      <w:bookmarkEnd w:id="1190"/>
      <w:bookmarkEnd w:id="1191"/>
      <w:bookmarkEnd w:id="1192"/>
      <w:bookmarkEnd w:id="1193"/>
      <w:bookmarkEnd w:id="1194"/>
    </w:p>
    <w:p w:rsidR="00A07C50" w:rsidRPr="00EF1952" w:rsidRDefault="00A07C50" w:rsidP="00EF1952">
      <w:pPr>
        <w:pStyle w:val="Nagwek3"/>
      </w:pPr>
      <w:bookmarkStart w:id="1195" w:name="_Toc426531382"/>
      <w:r w:rsidRPr="00EF1952">
        <w:t>1. WSTĘP</w:t>
      </w:r>
      <w:bookmarkEnd w:id="1195"/>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1.1. Przedmiot SSTWiORB</w:t>
      </w:r>
    </w:p>
    <w:p w:rsidR="00A07C50" w:rsidRPr="00203191" w:rsidRDefault="00A07C50" w:rsidP="00A07C50">
      <w:pPr>
        <w:tabs>
          <w:tab w:val="left" w:pos="630"/>
          <w:tab w:val="left" w:pos="9914"/>
        </w:tabs>
        <w:rPr>
          <w:rFonts w:asciiTheme="minorHAnsi" w:hAnsiTheme="minorHAnsi"/>
        </w:rPr>
      </w:pPr>
      <w:r w:rsidRPr="00203191">
        <w:rPr>
          <w:rFonts w:asciiTheme="minorHAnsi" w:hAnsiTheme="minorHAnsi"/>
        </w:rPr>
        <w:t>Przedmiotem niniejszej specyfikacji technicznej wykonania i odbioru robót budowlanych (SSTWiORB) są wymagania dotyczące wykonania i odbioru robót związanych z ustawieniem betonowego obrzeża chodnikowego.</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1.2. Zakres stosowania SSTWiORB</w:t>
      </w:r>
    </w:p>
    <w:p w:rsidR="00A07C50" w:rsidRPr="00584330" w:rsidRDefault="00A07C50" w:rsidP="00A07C50">
      <w:pPr>
        <w:rPr>
          <w:rFonts w:asciiTheme="minorHAnsi" w:hAnsiTheme="minorHAnsi" w:cs="Calibri"/>
        </w:rPr>
      </w:pPr>
      <w:r w:rsidRPr="00584330">
        <w:rPr>
          <w:rFonts w:asciiTheme="minorHAnsi" w:hAnsiTheme="minorHAnsi" w:cs="Calibri"/>
        </w:rPr>
        <w:t xml:space="preserve">Specyfikacja techniczna stanowi dokument przetargowy i kontraktowy przy realizacji  zadania </w:t>
      </w:r>
      <w:r>
        <w:rPr>
          <w:rFonts w:ascii="Calibri" w:hAnsi="Calibri" w:cs="Calibri"/>
        </w:rPr>
        <w:t>„</w:t>
      </w:r>
      <w:r w:rsidRPr="00F57D49">
        <w:rPr>
          <w:rFonts w:asciiTheme="minorHAnsi" w:hAnsiTheme="minorHAnsi"/>
        </w:rPr>
        <w:t>Budowa parkingu wraz z drogą manewrową przy ul. Armii Krajowej w Wałbrzychu zlokalizowanego na dz. nr ew. 113, 116/1, obr. 20 Stary Zdrój (przy budynkach mieszkalnych nr 46 i 54)"</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1.3. Zakres robót objętych SSTWiORB</w:t>
      </w:r>
    </w:p>
    <w:p w:rsidR="00A07C50" w:rsidRPr="00203191" w:rsidRDefault="00A07C50" w:rsidP="00A07C50">
      <w:pPr>
        <w:tabs>
          <w:tab w:val="left" w:pos="630"/>
          <w:tab w:val="left" w:pos="9914"/>
        </w:tabs>
        <w:rPr>
          <w:rFonts w:asciiTheme="minorHAnsi" w:hAnsiTheme="minorHAnsi"/>
        </w:rPr>
      </w:pPr>
      <w:r w:rsidRPr="00203191">
        <w:rPr>
          <w:rFonts w:asciiTheme="minorHAnsi" w:hAnsiTheme="minorHAnsi"/>
        </w:rPr>
        <w:t>Ustalenia zawarte w niniejszej specyfikacji dotyczą zasad prowadzenia robót związanych z ustawieniem betonowego obrzeża chodnikowego.</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1.4. Określenia podstawowe</w:t>
      </w:r>
    </w:p>
    <w:p w:rsidR="00A07C50" w:rsidRPr="00203191" w:rsidRDefault="00A07C50" w:rsidP="00A07C50">
      <w:pPr>
        <w:tabs>
          <w:tab w:val="left" w:pos="567"/>
          <w:tab w:val="left" w:pos="9914"/>
        </w:tabs>
        <w:rPr>
          <w:rFonts w:asciiTheme="minorHAnsi" w:hAnsiTheme="minorHAnsi"/>
        </w:rPr>
      </w:pPr>
      <w:r w:rsidRPr="00203191">
        <w:rPr>
          <w:rFonts w:asciiTheme="minorHAnsi" w:hAnsiTheme="minorHAnsi"/>
          <w:b/>
          <w:i/>
        </w:rPr>
        <w:t>1.4.1.</w:t>
      </w:r>
      <w:r w:rsidRPr="00203191">
        <w:rPr>
          <w:rFonts w:asciiTheme="minorHAnsi" w:hAnsiTheme="minorHAnsi"/>
          <w:b/>
        </w:rPr>
        <w:t xml:space="preserve"> </w:t>
      </w:r>
      <w:r w:rsidRPr="00203191">
        <w:rPr>
          <w:rFonts w:asciiTheme="minorHAnsi" w:hAnsiTheme="minorHAnsi"/>
        </w:rPr>
        <w:t>Obrzeża chodnikowe - prefabrykowane belki betonowe rozgraniczające jednostronnie lub dwustronnie ciągi komunikacyjne od terenów nie przeznaczonych do komunikacji.</w:t>
      </w:r>
    </w:p>
    <w:p w:rsidR="00A07C50" w:rsidRPr="00203191" w:rsidRDefault="00A07C50" w:rsidP="00A07C50">
      <w:pPr>
        <w:tabs>
          <w:tab w:val="left" w:pos="567"/>
          <w:tab w:val="left" w:pos="9914"/>
        </w:tabs>
        <w:rPr>
          <w:rFonts w:asciiTheme="minorHAnsi" w:hAnsiTheme="minorHAnsi"/>
        </w:rPr>
      </w:pPr>
      <w:r w:rsidRPr="00203191">
        <w:rPr>
          <w:rFonts w:asciiTheme="minorHAnsi" w:hAnsiTheme="minorHAnsi"/>
          <w:b/>
          <w:i/>
        </w:rPr>
        <w:t>1.4.2.</w:t>
      </w:r>
      <w:r w:rsidRPr="00203191">
        <w:rPr>
          <w:rFonts w:asciiTheme="minorHAnsi" w:hAnsiTheme="minorHAnsi"/>
          <w:b/>
        </w:rPr>
        <w:t xml:space="preserve"> </w:t>
      </w:r>
      <w:r w:rsidRPr="00203191">
        <w:rPr>
          <w:rFonts w:asciiTheme="minorHAnsi" w:hAnsiTheme="minorHAnsi"/>
        </w:rPr>
        <w:t>Pozostałe określenia podstawowe są zgodne z obowiązującymi, odpowiednimi polskimi normami  i definicjami podanymi w SSTWiORB D-M-00.00.00 „Wymagania ogólne” pkt 1.4.</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1.5. Ogólne wymagania dotyczące robót</w:t>
      </w:r>
    </w:p>
    <w:p w:rsidR="00A07C50" w:rsidRPr="00203191" w:rsidRDefault="00A07C50" w:rsidP="00A07C50">
      <w:pPr>
        <w:tabs>
          <w:tab w:val="left" w:pos="630"/>
          <w:tab w:val="left" w:pos="9914"/>
        </w:tabs>
        <w:rPr>
          <w:rFonts w:asciiTheme="minorHAnsi" w:hAnsiTheme="minorHAnsi"/>
        </w:rPr>
      </w:pPr>
      <w:r w:rsidRPr="00203191">
        <w:rPr>
          <w:rFonts w:asciiTheme="minorHAnsi" w:hAnsiTheme="minorHAnsi"/>
        </w:rPr>
        <w:t>Ogólne wymagania dotyczące robót podano w SSTWiORB D-M-00.00.00 „Wymagania ogólne” pkt 1.5.</w:t>
      </w:r>
    </w:p>
    <w:p w:rsidR="00A07C50" w:rsidRPr="00EF1952" w:rsidRDefault="00A07C50" w:rsidP="00EF1952">
      <w:pPr>
        <w:pStyle w:val="Nagwek3"/>
      </w:pPr>
      <w:bookmarkStart w:id="1196" w:name="_Toc425567015"/>
      <w:bookmarkStart w:id="1197" w:name="_Toc426531383"/>
      <w:r w:rsidRPr="00EF1952">
        <w:t>2. MATERIAŁY</w:t>
      </w:r>
      <w:bookmarkEnd w:id="1196"/>
      <w:bookmarkEnd w:id="1197"/>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2.1. Ogólne wymagania dotyczące materiałów</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wymagania dotyczące materiałów, ich pozyskiwania i składowania podano w SSTWiORB D-M-00.00.00 „Wymagania ogólne” pkt 2.</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2.2. Stosowane materiały</w:t>
      </w:r>
    </w:p>
    <w:p w:rsidR="00A07C50" w:rsidRPr="00203191" w:rsidRDefault="00A07C50" w:rsidP="00A07C50">
      <w:pPr>
        <w:tabs>
          <w:tab w:val="left" w:pos="9914"/>
        </w:tabs>
        <w:rPr>
          <w:rFonts w:asciiTheme="minorHAnsi" w:hAnsiTheme="minorHAnsi"/>
        </w:rPr>
      </w:pPr>
      <w:r w:rsidRPr="00203191">
        <w:rPr>
          <w:rFonts w:asciiTheme="minorHAnsi" w:hAnsiTheme="minorHAnsi"/>
        </w:rPr>
        <w:t>Materiałami stosowanymi są:</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obrzeża odpowiadające wymaganiom PN-EN 1340:2004,</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beton do wykonania ław,</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cement wg PN-EN-197-1:2002,</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piasek do zapraw wg PN-EN 12620:2004.</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2.3. Betonowe obrzeża chodnikowe</w:t>
      </w:r>
    </w:p>
    <w:p w:rsidR="00A07C50" w:rsidRPr="00203191" w:rsidRDefault="00A07C50" w:rsidP="00A07C50">
      <w:pPr>
        <w:tabs>
          <w:tab w:val="left" w:pos="9914"/>
        </w:tabs>
        <w:rPr>
          <w:rFonts w:asciiTheme="minorHAnsi" w:hAnsiTheme="minorHAnsi"/>
        </w:rPr>
      </w:pPr>
      <w:r w:rsidRPr="00203191">
        <w:rPr>
          <w:rFonts w:asciiTheme="minorHAnsi" w:hAnsiTheme="minorHAnsi"/>
        </w:rPr>
        <w:t>Obrzeża betonowe 8/30/100 winny odpowiadać PN-EN 1340:2004</w:t>
      </w:r>
    </w:p>
    <w:p w:rsidR="00A07C50" w:rsidRPr="00203191" w:rsidRDefault="00A07C50" w:rsidP="00A07C50">
      <w:pPr>
        <w:numPr>
          <w:ilvl w:val="12"/>
          <w:numId w:val="0"/>
        </w:numPr>
        <w:tabs>
          <w:tab w:val="left" w:pos="9914"/>
        </w:tabs>
        <w:rPr>
          <w:rFonts w:asciiTheme="minorHAnsi" w:hAnsiTheme="minorHAnsi"/>
        </w:rPr>
      </w:pPr>
      <w:r w:rsidRPr="00203191">
        <w:rPr>
          <w:rFonts w:asciiTheme="minorHAnsi" w:hAnsiTheme="minorHAnsi"/>
        </w:rPr>
        <w:t>Deklarowane cechy techniczne krawężników winny być następujące:</w:t>
      </w:r>
    </w:p>
    <w:p w:rsidR="00A07C50" w:rsidRPr="00203191" w:rsidRDefault="00A07C50" w:rsidP="00790883">
      <w:pPr>
        <w:numPr>
          <w:ilvl w:val="0"/>
          <w:numId w:val="80"/>
        </w:numPr>
        <w:tabs>
          <w:tab w:val="left" w:pos="9914"/>
        </w:tabs>
        <w:rPr>
          <w:rFonts w:asciiTheme="minorHAnsi" w:hAnsiTheme="minorHAnsi"/>
        </w:rPr>
      </w:pPr>
      <w:r w:rsidRPr="00203191">
        <w:rPr>
          <w:rFonts w:asciiTheme="minorHAnsi" w:hAnsiTheme="minorHAnsi"/>
        </w:rPr>
        <w:t>odporność na poślizg – zadowalająca</w:t>
      </w:r>
    </w:p>
    <w:p w:rsidR="00A07C50" w:rsidRPr="00203191" w:rsidRDefault="00A07C50" w:rsidP="00790883">
      <w:pPr>
        <w:numPr>
          <w:ilvl w:val="0"/>
          <w:numId w:val="80"/>
        </w:numPr>
        <w:tabs>
          <w:tab w:val="left" w:pos="9914"/>
        </w:tabs>
        <w:rPr>
          <w:rFonts w:asciiTheme="minorHAnsi" w:hAnsiTheme="minorHAnsi"/>
        </w:rPr>
      </w:pPr>
      <w:r w:rsidRPr="00203191">
        <w:rPr>
          <w:rFonts w:asciiTheme="minorHAnsi" w:hAnsiTheme="minorHAnsi"/>
        </w:rPr>
        <w:t>wytrzymałość na zginanie – S</w:t>
      </w:r>
    </w:p>
    <w:p w:rsidR="00A07C50" w:rsidRPr="00203191" w:rsidRDefault="00A07C50" w:rsidP="00790883">
      <w:pPr>
        <w:numPr>
          <w:ilvl w:val="0"/>
          <w:numId w:val="80"/>
        </w:numPr>
        <w:tabs>
          <w:tab w:val="left" w:pos="9914"/>
        </w:tabs>
        <w:rPr>
          <w:rFonts w:asciiTheme="minorHAnsi" w:hAnsiTheme="minorHAnsi"/>
        </w:rPr>
      </w:pPr>
      <w:r w:rsidRPr="00203191">
        <w:rPr>
          <w:rFonts w:asciiTheme="minorHAnsi" w:hAnsiTheme="minorHAnsi"/>
        </w:rPr>
        <w:t>odporność na warunki atmosferyczne – B</w:t>
      </w:r>
    </w:p>
    <w:p w:rsidR="00A07C50" w:rsidRPr="00203191" w:rsidRDefault="00A07C50" w:rsidP="00790883">
      <w:pPr>
        <w:numPr>
          <w:ilvl w:val="0"/>
          <w:numId w:val="80"/>
        </w:numPr>
        <w:tabs>
          <w:tab w:val="left" w:pos="9914"/>
        </w:tabs>
        <w:rPr>
          <w:rFonts w:asciiTheme="minorHAnsi" w:hAnsiTheme="minorHAnsi"/>
        </w:rPr>
      </w:pPr>
      <w:r w:rsidRPr="00203191">
        <w:rPr>
          <w:rFonts w:asciiTheme="minorHAnsi" w:hAnsiTheme="minorHAnsi"/>
        </w:rPr>
        <w:t>odporność na ścieranie – H</w:t>
      </w:r>
    </w:p>
    <w:p w:rsidR="00A07C50" w:rsidRPr="00203191" w:rsidRDefault="00A07C50" w:rsidP="00790883">
      <w:pPr>
        <w:numPr>
          <w:ilvl w:val="0"/>
          <w:numId w:val="80"/>
        </w:numPr>
        <w:tabs>
          <w:tab w:val="left" w:pos="9914"/>
        </w:tabs>
        <w:rPr>
          <w:rFonts w:asciiTheme="minorHAnsi" w:hAnsiTheme="minorHAnsi"/>
        </w:rPr>
      </w:pPr>
      <w:r w:rsidRPr="00203191">
        <w:rPr>
          <w:rFonts w:asciiTheme="minorHAnsi" w:hAnsiTheme="minorHAnsi"/>
        </w:rPr>
        <w:t>odporność na ogień – A1</w:t>
      </w:r>
    </w:p>
    <w:p w:rsidR="00A07C50" w:rsidRPr="00203191" w:rsidRDefault="00A07C50" w:rsidP="00790883">
      <w:pPr>
        <w:numPr>
          <w:ilvl w:val="0"/>
          <w:numId w:val="80"/>
        </w:numPr>
        <w:tabs>
          <w:tab w:val="left" w:pos="9914"/>
        </w:tabs>
        <w:rPr>
          <w:rFonts w:asciiTheme="minorHAnsi" w:hAnsiTheme="minorHAnsi"/>
        </w:rPr>
      </w:pPr>
      <w:r w:rsidRPr="00203191">
        <w:rPr>
          <w:rFonts w:asciiTheme="minorHAnsi" w:hAnsiTheme="minorHAnsi"/>
        </w:rPr>
        <w:lastRenderedPageBreak/>
        <w:t>trwałość - zadowalająca</w:t>
      </w:r>
    </w:p>
    <w:p w:rsidR="00A07C50" w:rsidRPr="00203191" w:rsidRDefault="00A07C50" w:rsidP="00A07C50">
      <w:pPr>
        <w:numPr>
          <w:ilvl w:val="12"/>
          <w:numId w:val="0"/>
        </w:numPr>
        <w:tabs>
          <w:tab w:val="left" w:pos="9914"/>
        </w:tabs>
        <w:rPr>
          <w:rFonts w:asciiTheme="minorHAnsi" w:hAnsiTheme="minorHAnsi"/>
        </w:rPr>
      </w:pPr>
      <w:r w:rsidRPr="00203191">
        <w:rPr>
          <w:rFonts w:asciiTheme="minorHAnsi" w:hAnsiTheme="minorHAnsi"/>
        </w:rPr>
        <w:t>Dopuszczalne odchyłki obrzeży betonowych wynoszą</w:t>
      </w:r>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Dla długości obrzeża – </w:t>
      </w:r>
      <w:smartTag w:uri="urn:schemas-microsoft-com:office:smarttags" w:element="metricconverter">
        <w:smartTagPr>
          <w:attr w:name="ProductID" w:val="8 mm"/>
        </w:smartTagPr>
        <w:r w:rsidRPr="00203191">
          <w:rPr>
            <w:rFonts w:asciiTheme="minorHAnsi" w:hAnsiTheme="minorHAnsi"/>
          </w:rPr>
          <w:t>8 mm</w:t>
        </w:r>
      </w:smartTag>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Dla szerokości i wysokości obrzeża – </w:t>
      </w:r>
      <w:smartTag w:uri="urn:schemas-microsoft-com:office:smarttags" w:element="metricconverter">
        <w:smartTagPr>
          <w:attr w:name="ProductID" w:val="3 mm"/>
        </w:smartTagPr>
        <w:r w:rsidRPr="00203191">
          <w:rPr>
            <w:rFonts w:asciiTheme="minorHAnsi" w:hAnsiTheme="minorHAnsi"/>
          </w:rPr>
          <w:t>3 mm</w:t>
        </w:r>
      </w:smartTag>
    </w:p>
    <w:p w:rsidR="00A07C50" w:rsidRPr="00203191" w:rsidRDefault="00A07C50" w:rsidP="00A07C50">
      <w:pPr>
        <w:tabs>
          <w:tab w:val="left" w:pos="9914"/>
        </w:tabs>
        <w:rPr>
          <w:rFonts w:asciiTheme="minorHAnsi" w:hAnsiTheme="minorHAnsi"/>
        </w:rPr>
      </w:pPr>
      <w:r w:rsidRPr="00203191">
        <w:rPr>
          <w:rFonts w:asciiTheme="minorHAnsi" w:hAnsiTheme="minorHAnsi"/>
        </w:rPr>
        <w:t>Powierzchnie obrzeży powinny być bez rys, pęknięć i ubytków betonu, o fakturze z formy lub zatartej. Krawędzie elementów powinny być równe i proste.</w:t>
      </w:r>
    </w:p>
    <w:p w:rsidR="00A07C50" w:rsidRPr="00203191" w:rsidRDefault="00A07C50" w:rsidP="00A07C50">
      <w:pPr>
        <w:tabs>
          <w:tab w:val="left" w:pos="9914"/>
        </w:tabs>
        <w:rPr>
          <w:rFonts w:asciiTheme="minorHAnsi" w:hAnsiTheme="minorHAnsi"/>
        </w:rPr>
      </w:pPr>
      <w:r w:rsidRPr="00203191">
        <w:rPr>
          <w:rFonts w:asciiTheme="minorHAnsi" w:hAnsiTheme="minorHAnsi"/>
        </w:rPr>
        <w:t>Betonowe obrzeża chodnikowe mogą być przechowywane na składowiskach otwartych, posegregowane według rodzajów i gatunków.</w:t>
      </w:r>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Betonowe obrzeża chodnikowe należy układać z zastosowaniem podkładek i przekładek drewnianych o wymiarach co najmniej: grubość </w:t>
      </w:r>
      <w:smartTag w:uri="urn:schemas-microsoft-com:office:smarttags" w:element="metricconverter">
        <w:smartTagPr>
          <w:attr w:name="ProductID" w:val="2,5 cm"/>
        </w:smartTagPr>
        <w:r w:rsidRPr="00203191">
          <w:rPr>
            <w:rFonts w:asciiTheme="minorHAnsi" w:hAnsiTheme="minorHAnsi"/>
          </w:rPr>
          <w:t>2,5 cm</w:t>
        </w:r>
      </w:smartTag>
      <w:r w:rsidRPr="00203191">
        <w:rPr>
          <w:rFonts w:asciiTheme="minorHAnsi" w:hAnsiTheme="minorHAnsi"/>
        </w:rPr>
        <w:t xml:space="preserve">, szerokość </w:t>
      </w:r>
      <w:smartTag w:uri="urn:schemas-microsoft-com:office:smarttags" w:element="metricconverter">
        <w:smartTagPr>
          <w:attr w:name="ProductID" w:val="5 cm"/>
        </w:smartTagPr>
        <w:r w:rsidRPr="00203191">
          <w:rPr>
            <w:rFonts w:asciiTheme="minorHAnsi" w:hAnsiTheme="minorHAnsi"/>
          </w:rPr>
          <w:t>5 cm</w:t>
        </w:r>
      </w:smartTag>
      <w:r w:rsidRPr="00203191">
        <w:rPr>
          <w:rFonts w:asciiTheme="minorHAnsi" w:hAnsiTheme="minorHAnsi"/>
        </w:rPr>
        <w:t xml:space="preserve">, długość minimum </w:t>
      </w:r>
      <w:smartTag w:uri="urn:schemas-microsoft-com:office:smarttags" w:element="metricconverter">
        <w:smartTagPr>
          <w:attr w:name="ProductID" w:val="5 cm"/>
        </w:smartTagPr>
        <w:r w:rsidRPr="00203191">
          <w:rPr>
            <w:rFonts w:asciiTheme="minorHAnsi" w:hAnsiTheme="minorHAnsi"/>
          </w:rPr>
          <w:t>5 cm</w:t>
        </w:r>
      </w:smartTag>
      <w:r w:rsidRPr="00203191">
        <w:rPr>
          <w:rFonts w:asciiTheme="minorHAnsi" w:hAnsiTheme="minorHAnsi"/>
        </w:rPr>
        <w:t xml:space="preserve"> większa niż szerokość obrzeża.</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2.4. Materiały na podsypkę i do zapraw</w:t>
      </w:r>
    </w:p>
    <w:p w:rsidR="00A07C50" w:rsidRPr="00203191" w:rsidRDefault="00A07C50" w:rsidP="00A07C50">
      <w:pPr>
        <w:tabs>
          <w:tab w:val="left" w:pos="9914"/>
        </w:tabs>
        <w:rPr>
          <w:rFonts w:asciiTheme="minorHAnsi" w:hAnsiTheme="minorHAnsi"/>
        </w:rPr>
      </w:pPr>
      <w:r w:rsidRPr="00203191">
        <w:rPr>
          <w:rFonts w:asciiTheme="minorHAnsi" w:hAnsiTheme="minorHAnsi"/>
        </w:rPr>
        <w:t>Piasek na podsypkę cementowo-piaskową i do zapraw powinien odpowiadać wymaganiom PN-EN-12620:2004.</w:t>
      </w:r>
    </w:p>
    <w:p w:rsidR="00A07C50" w:rsidRPr="00203191" w:rsidRDefault="00A07C50" w:rsidP="00A07C50">
      <w:pPr>
        <w:tabs>
          <w:tab w:val="left" w:pos="9914"/>
        </w:tabs>
        <w:rPr>
          <w:rFonts w:asciiTheme="minorHAnsi" w:hAnsiTheme="minorHAnsi"/>
        </w:rPr>
      </w:pPr>
      <w:r w:rsidRPr="00203191">
        <w:rPr>
          <w:rFonts w:asciiTheme="minorHAnsi" w:hAnsiTheme="minorHAnsi"/>
        </w:rPr>
        <w:t>Cement na podsypkę i do zaprawy cementowo-piaskowej powinien być cementem portlandzkim CEM I klasy nie mniejszej niż „32,5”, odpowiadający wymaganiom PN-EN-197-1:2002.</w:t>
      </w:r>
    </w:p>
    <w:p w:rsidR="00A07C50" w:rsidRPr="00203191" w:rsidRDefault="00A07C50" w:rsidP="00A07C50">
      <w:pPr>
        <w:tabs>
          <w:tab w:val="left" w:pos="9914"/>
        </w:tabs>
        <w:rPr>
          <w:rFonts w:asciiTheme="minorHAnsi" w:hAnsiTheme="minorHAnsi"/>
        </w:rPr>
      </w:pPr>
      <w:r w:rsidRPr="00203191">
        <w:rPr>
          <w:rFonts w:asciiTheme="minorHAnsi" w:hAnsiTheme="minorHAnsi"/>
        </w:rPr>
        <w:t>Woda powinna odpowiadać wymaganiom PN-EN-1008:2004.</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2.5. Materiały na ławy</w:t>
      </w:r>
    </w:p>
    <w:p w:rsidR="00A07C50" w:rsidRPr="00203191" w:rsidRDefault="00A07C50" w:rsidP="00A07C50">
      <w:pPr>
        <w:tabs>
          <w:tab w:val="left" w:pos="9914"/>
        </w:tabs>
        <w:ind w:left="-283" w:firstLine="283"/>
        <w:rPr>
          <w:rFonts w:asciiTheme="minorHAnsi" w:hAnsiTheme="minorHAnsi"/>
        </w:rPr>
      </w:pPr>
      <w:r w:rsidRPr="00203191">
        <w:rPr>
          <w:rFonts w:asciiTheme="minorHAnsi" w:hAnsiTheme="minorHAnsi"/>
        </w:rPr>
        <w:t>Do wykonania ław pod krawężniki należy stosować, beton klasy B 15 wg PN-B-06250:1988</w:t>
      </w:r>
    </w:p>
    <w:p w:rsidR="00A07C50" w:rsidRPr="00EF1952" w:rsidRDefault="00A07C50" w:rsidP="00EF1952">
      <w:pPr>
        <w:pStyle w:val="Nagwek3"/>
      </w:pPr>
      <w:bookmarkStart w:id="1198" w:name="_Toc426531384"/>
      <w:r w:rsidRPr="00EF1952">
        <w:t>3. SPRZĘT</w:t>
      </w:r>
      <w:bookmarkEnd w:id="1198"/>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3.1. Ogólne wymagania dotyczące sprzętu</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wymagania dotyczące sprzętu podano w SSTWiORB D-M-00.00.00 „Wymagania ogólne” pkt 3.</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3.2. Sprzęt do ustawiania obrzeży</w:t>
      </w:r>
    </w:p>
    <w:p w:rsidR="00A07C50" w:rsidRPr="00203191" w:rsidRDefault="00A07C50" w:rsidP="00A07C50">
      <w:pPr>
        <w:tabs>
          <w:tab w:val="left" w:pos="9914"/>
        </w:tabs>
        <w:rPr>
          <w:rFonts w:asciiTheme="minorHAnsi" w:hAnsiTheme="minorHAnsi"/>
        </w:rPr>
      </w:pPr>
      <w:r w:rsidRPr="00203191">
        <w:rPr>
          <w:rFonts w:asciiTheme="minorHAnsi" w:hAnsiTheme="minorHAnsi"/>
        </w:rPr>
        <w:t>Roboty wykonuje się ręcznie przy zastosowaniu drobnego sprzętu pomocniczego.</w:t>
      </w:r>
    </w:p>
    <w:p w:rsidR="00A07C50" w:rsidRPr="00EF1952" w:rsidRDefault="00A07C50" w:rsidP="00EF1952">
      <w:pPr>
        <w:pStyle w:val="Nagwek3"/>
      </w:pPr>
      <w:bookmarkStart w:id="1199" w:name="_Toc426531385"/>
      <w:r w:rsidRPr="00EF1952">
        <w:t>4. TRANSPORT</w:t>
      </w:r>
      <w:bookmarkEnd w:id="1199"/>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4.1. Ogólne wymagania dotyczące transportu</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wymagania dotyczące transportu podano w SSTWiORB D-M-00.00.00 „Wymagania ogólne” pkt 4.</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4.2. Transport obrzeży betonowych</w:t>
      </w:r>
    </w:p>
    <w:p w:rsidR="00A07C50" w:rsidRPr="00203191" w:rsidRDefault="00A07C50" w:rsidP="00A07C50">
      <w:pPr>
        <w:tabs>
          <w:tab w:val="left" w:pos="9914"/>
        </w:tabs>
        <w:rPr>
          <w:rFonts w:asciiTheme="minorHAnsi" w:hAnsiTheme="minorHAnsi"/>
        </w:rPr>
      </w:pPr>
      <w:r w:rsidRPr="00203191">
        <w:rPr>
          <w:rFonts w:asciiTheme="minorHAnsi" w:hAnsiTheme="minorHAnsi"/>
        </w:rPr>
        <w:t>Betonowe obrzeża chodnikowe mogą być przewożone dowolnymi środkami transportu po osiągnięciu przez beton wytrzymałości minimum 0,7 wytrzymałości projektowanej.</w:t>
      </w:r>
    </w:p>
    <w:p w:rsidR="00A07C50" w:rsidRPr="00203191" w:rsidRDefault="00A07C50" w:rsidP="00A07C50">
      <w:pPr>
        <w:tabs>
          <w:tab w:val="left" w:pos="9914"/>
        </w:tabs>
        <w:rPr>
          <w:rFonts w:asciiTheme="minorHAnsi" w:hAnsiTheme="minorHAnsi"/>
        </w:rPr>
      </w:pPr>
      <w:r w:rsidRPr="00203191">
        <w:rPr>
          <w:rFonts w:asciiTheme="minorHAnsi" w:hAnsiTheme="minorHAnsi"/>
        </w:rPr>
        <w:t>Obrzeża powinny być zabezpieczone przed przemieszczeniem się i uszkodzeniami w czasie transportu.</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4.3. Transport pozostałych materiałów</w:t>
      </w:r>
    </w:p>
    <w:p w:rsidR="00A07C50" w:rsidRPr="00203191" w:rsidRDefault="00A07C50" w:rsidP="00A07C50">
      <w:pPr>
        <w:tabs>
          <w:tab w:val="left" w:pos="9914"/>
        </w:tabs>
        <w:rPr>
          <w:rFonts w:asciiTheme="minorHAnsi" w:hAnsiTheme="minorHAnsi"/>
        </w:rPr>
      </w:pPr>
      <w:r w:rsidRPr="00203191">
        <w:rPr>
          <w:rFonts w:asciiTheme="minorHAnsi" w:hAnsiTheme="minorHAnsi"/>
        </w:rPr>
        <w:t>Transport pozostałych materiałów podano w SSTWiORB D-08.01.01 „Krawężniki betonowe”.</w:t>
      </w:r>
    </w:p>
    <w:p w:rsidR="00A07C50" w:rsidRPr="00EF1952" w:rsidRDefault="00A07C50" w:rsidP="00EF1952">
      <w:pPr>
        <w:pStyle w:val="Nagwek3"/>
      </w:pPr>
      <w:bookmarkStart w:id="1200" w:name="_Toc426531386"/>
      <w:r w:rsidRPr="00EF1952">
        <w:t>5. WYKONANIE ROBÓT</w:t>
      </w:r>
      <w:bookmarkEnd w:id="1200"/>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5.1. Ogólne zasady wykonania robót</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zasady wykonania robót podano w SSTWiORB D-M-00.00.00 „Wymagania ogólne” pkt 5.</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5.2. Wykonanie koryta</w:t>
      </w:r>
    </w:p>
    <w:p w:rsidR="00A07C50" w:rsidRPr="00203191" w:rsidRDefault="00A07C50" w:rsidP="00A07C50">
      <w:pPr>
        <w:tabs>
          <w:tab w:val="left" w:pos="9914"/>
        </w:tabs>
        <w:rPr>
          <w:rFonts w:asciiTheme="minorHAnsi" w:hAnsiTheme="minorHAnsi"/>
        </w:rPr>
      </w:pPr>
      <w:r w:rsidRPr="00203191">
        <w:rPr>
          <w:rFonts w:asciiTheme="minorHAnsi" w:hAnsiTheme="minorHAnsi"/>
        </w:rPr>
        <w:t>Koryto pod ławę należy wykonywać zgodnie z PN-B-06050.</w:t>
      </w:r>
    </w:p>
    <w:p w:rsidR="00A07C50" w:rsidRPr="00203191" w:rsidRDefault="00A07C50" w:rsidP="00A07C50">
      <w:pPr>
        <w:tabs>
          <w:tab w:val="left" w:pos="9914"/>
        </w:tabs>
        <w:rPr>
          <w:rFonts w:asciiTheme="minorHAnsi" w:hAnsiTheme="minorHAnsi"/>
        </w:rPr>
      </w:pPr>
      <w:r w:rsidRPr="00203191">
        <w:rPr>
          <w:rFonts w:asciiTheme="minorHAnsi" w:hAnsiTheme="minorHAnsi"/>
        </w:rPr>
        <w:t>Wymiary wykopu powinny odpowiadać wymiarom ławy w planie z uwzględnieniem w szerokości dna wykopu ew. konstrukcji szalunku.</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lastRenderedPageBreak/>
        <w:t>5.3. Ława</w:t>
      </w:r>
    </w:p>
    <w:p w:rsidR="00A07C50" w:rsidRPr="00203191" w:rsidRDefault="00A07C50" w:rsidP="00A07C50">
      <w:pPr>
        <w:tabs>
          <w:tab w:val="left" w:pos="9914"/>
        </w:tabs>
        <w:rPr>
          <w:rFonts w:asciiTheme="minorHAnsi" w:hAnsiTheme="minorHAnsi"/>
        </w:rPr>
      </w:pPr>
      <w:r w:rsidRPr="00203191">
        <w:rPr>
          <w:rFonts w:asciiTheme="minorHAnsi" w:hAnsiTheme="minorHAnsi"/>
        </w:rPr>
        <w:t>Wykonanie ław powinno być zgodne z BN-64/8845-02.</w:t>
      </w:r>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Ławy betonowe z oporem wykonuje się w szalowaniu. Beton rozścielony w szalowaniu lub bezpośrednio w korycie powinien być wyrównywany warstwami. Betonowanie ław należy wykonywać zgodnie z wymaganiami PN-B-06250:1988, przy czym należy stosować co </w:t>
      </w:r>
      <w:smartTag w:uri="urn:schemas-microsoft-com:office:smarttags" w:element="metricconverter">
        <w:smartTagPr>
          <w:attr w:name="ProductID" w:val="50 m"/>
        </w:smartTagPr>
        <w:r w:rsidRPr="00203191">
          <w:rPr>
            <w:rFonts w:asciiTheme="minorHAnsi" w:hAnsiTheme="minorHAnsi"/>
          </w:rPr>
          <w:t>50 m</w:t>
        </w:r>
      </w:smartTag>
      <w:r w:rsidRPr="00203191">
        <w:rPr>
          <w:rFonts w:asciiTheme="minorHAnsi" w:hAnsiTheme="minorHAnsi"/>
        </w:rPr>
        <w:t xml:space="preserve"> szczeliny dylatacyjne wypełnione bitumiczną masą zalewową.</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5.4. Ustawienie betonowych obrzeży chodnikowych</w:t>
      </w:r>
    </w:p>
    <w:p w:rsidR="00A07C50" w:rsidRPr="00203191" w:rsidRDefault="00A07C50" w:rsidP="00A07C50">
      <w:pPr>
        <w:tabs>
          <w:tab w:val="left" w:pos="9914"/>
        </w:tabs>
        <w:rPr>
          <w:rFonts w:asciiTheme="minorHAnsi" w:hAnsiTheme="minorHAnsi"/>
        </w:rPr>
      </w:pPr>
      <w:r w:rsidRPr="00203191">
        <w:rPr>
          <w:rFonts w:asciiTheme="minorHAnsi" w:hAnsiTheme="minorHAnsi"/>
        </w:rPr>
        <w:t>Betonowe obrzeża chodnikowe należy ustawiać na wykonanym podłożu w miejscu i ze światłem (odległością górnej powierzchni obrzeża od ciągu komunikacyjnego) zgodnym z ustaleniami dokumentacji projektowej.</w:t>
      </w:r>
    </w:p>
    <w:p w:rsidR="00A07C50" w:rsidRPr="00203191" w:rsidRDefault="00A07C50" w:rsidP="00A07C50">
      <w:pPr>
        <w:tabs>
          <w:tab w:val="left" w:pos="9914"/>
        </w:tabs>
        <w:rPr>
          <w:rFonts w:asciiTheme="minorHAnsi" w:hAnsiTheme="minorHAnsi"/>
        </w:rPr>
      </w:pPr>
      <w:r w:rsidRPr="00203191">
        <w:rPr>
          <w:rFonts w:asciiTheme="minorHAnsi" w:hAnsiTheme="minorHAnsi"/>
        </w:rPr>
        <w:t>Zewnętrzna ściana obrzeża powinna być obsypana piaskiem, żwirem lub miejscowym gruntem przepuszczalnym, starannie ubitym.</w:t>
      </w:r>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Spoiny nie powinny przekraczać szerokości </w:t>
      </w:r>
      <w:smartTag w:uri="urn:schemas-microsoft-com:office:smarttags" w:element="metricconverter">
        <w:smartTagPr>
          <w:attr w:name="ProductID" w:val="1 cm"/>
        </w:smartTagPr>
        <w:r w:rsidRPr="00203191">
          <w:rPr>
            <w:rFonts w:asciiTheme="minorHAnsi" w:hAnsiTheme="minorHAnsi"/>
          </w:rPr>
          <w:t>1 cm</w:t>
        </w:r>
      </w:smartTag>
      <w:r w:rsidRPr="00203191">
        <w:rPr>
          <w:rFonts w:asciiTheme="minorHAnsi" w:hAnsiTheme="minorHAnsi"/>
        </w:rPr>
        <w:t>. Należy wypełnić je piaskiem lub zaprawą cementowo-piaskową w stosunku 1:2. Spoiny przed zalaniem należy oczyścić i zmyć wodą. Spoiny muszą być wypełnione całkowicie na pełną głębokość.</w:t>
      </w:r>
    </w:p>
    <w:p w:rsidR="00A07C50" w:rsidRPr="00EF1952" w:rsidRDefault="00A07C50" w:rsidP="00EF1952">
      <w:pPr>
        <w:pStyle w:val="Nagwek3"/>
      </w:pPr>
      <w:bookmarkStart w:id="1201" w:name="_Toc426531387"/>
      <w:r w:rsidRPr="00EF1952">
        <w:t>6. KONTROLA JAKOŚCI ROBÓT</w:t>
      </w:r>
      <w:bookmarkEnd w:id="1201"/>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6.1. Ogólne zasady kontroli jakości robót</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zasady kontroli jakości robót podano w SSTWiORB D-M-00.00.00 „Wymagania ogólne” pkt 6.</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6.2. Badania przed przystąpieniem do robót</w:t>
      </w:r>
    </w:p>
    <w:p w:rsidR="00A07C50" w:rsidRPr="00203191" w:rsidRDefault="00A07C50" w:rsidP="00A07C50">
      <w:pPr>
        <w:tabs>
          <w:tab w:val="left" w:pos="9914"/>
        </w:tabs>
        <w:rPr>
          <w:rFonts w:asciiTheme="minorHAnsi" w:hAnsiTheme="minorHAnsi"/>
        </w:rPr>
      </w:pPr>
      <w:r w:rsidRPr="00203191">
        <w:rPr>
          <w:rFonts w:asciiTheme="minorHAnsi" w:hAnsiTheme="minorHAnsi"/>
        </w:rPr>
        <w:t>Przed przystąpieniem do robót Wykonawca powinien wykonać badania materiałów przeznaczonych do ustawienia betonowych obrzeży chodnikowych i przedstawić wyniki tych badań Inżynierowi/Kierownikowi projektu do akceptacji.</w:t>
      </w:r>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Sprawdzenie kształtu i wymiarów elementów należy przeprowadzić z dokładnością do </w:t>
      </w:r>
      <w:smartTag w:uri="urn:schemas-microsoft-com:office:smarttags" w:element="metricconverter">
        <w:smartTagPr>
          <w:attr w:name="ProductID" w:val="1 mm"/>
        </w:smartTagPr>
        <w:r w:rsidRPr="00203191">
          <w:rPr>
            <w:rFonts w:asciiTheme="minorHAnsi" w:hAnsiTheme="minorHAnsi"/>
          </w:rPr>
          <w:t>1 mm</w:t>
        </w:r>
      </w:smartTag>
      <w:r w:rsidRPr="00203191">
        <w:rPr>
          <w:rFonts w:asciiTheme="minorHAnsi" w:hAnsiTheme="minorHAnsi"/>
        </w:rPr>
        <w:t xml:space="preserve"> przy użyciu suwmiarki oraz przymiaru stalowego lub taśmy, zgodnie z wymaganiami tablicy 1 i 2. 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203191">
          <w:rPr>
            <w:rFonts w:asciiTheme="minorHAnsi" w:hAnsiTheme="minorHAnsi"/>
          </w:rPr>
          <w:t>1 mm</w:t>
        </w:r>
      </w:smartTag>
      <w:r w:rsidRPr="00203191">
        <w:rPr>
          <w:rFonts w:asciiTheme="minorHAnsi" w:hAnsiTheme="minorHAnsi"/>
        </w:rPr>
        <w:t>.</w:t>
      </w:r>
    </w:p>
    <w:p w:rsidR="00A07C50" w:rsidRPr="00203191" w:rsidRDefault="00A07C50" w:rsidP="00A07C50">
      <w:pPr>
        <w:tabs>
          <w:tab w:val="left" w:pos="9914"/>
        </w:tabs>
        <w:rPr>
          <w:rFonts w:asciiTheme="minorHAnsi" w:hAnsiTheme="minorHAnsi"/>
        </w:rPr>
      </w:pPr>
      <w:r w:rsidRPr="00203191">
        <w:rPr>
          <w:rFonts w:asciiTheme="minorHAnsi" w:hAnsiTheme="minorHAnsi"/>
        </w:rPr>
        <w:t>Badania pozostałych materiałów powinny obejmować wszystkie właściwości określone w normach podanych dla odpowiednich materiałów wymienionych w pkt 2.</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6.3. Badania w czasie robót</w:t>
      </w:r>
    </w:p>
    <w:p w:rsidR="00A07C50" w:rsidRPr="00203191" w:rsidRDefault="00A07C50" w:rsidP="00A07C50">
      <w:pPr>
        <w:tabs>
          <w:tab w:val="left" w:pos="9914"/>
        </w:tabs>
        <w:rPr>
          <w:rFonts w:asciiTheme="minorHAnsi" w:hAnsiTheme="minorHAnsi"/>
        </w:rPr>
      </w:pPr>
      <w:r w:rsidRPr="00203191">
        <w:rPr>
          <w:rFonts w:asciiTheme="minorHAnsi" w:hAnsiTheme="minorHAnsi"/>
        </w:rPr>
        <w:t>W czasie robót należy sprawdzać wykonanie:</w:t>
      </w:r>
    </w:p>
    <w:p w:rsidR="00A07C50" w:rsidRPr="00203191" w:rsidRDefault="00A07C50" w:rsidP="00790883">
      <w:pPr>
        <w:numPr>
          <w:ilvl w:val="0"/>
          <w:numId w:val="79"/>
        </w:numPr>
        <w:tabs>
          <w:tab w:val="left" w:pos="9914"/>
        </w:tabs>
        <w:ind w:left="284" w:hanging="284"/>
        <w:rPr>
          <w:rFonts w:asciiTheme="minorHAnsi" w:hAnsiTheme="minorHAnsi"/>
        </w:rPr>
      </w:pPr>
      <w:r w:rsidRPr="00203191">
        <w:rPr>
          <w:rFonts w:asciiTheme="minorHAnsi" w:hAnsiTheme="minorHAnsi"/>
        </w:rPr>
        <w:t>koryta pod ławę - zgodnie z wymaganiami pkt 5.2,</w:t>
      </w:r>
    </w:p>
    <w:p w:rsidR="00A07C50" w:rsidRPr="00203191" w:rsidRDefault="00A07C50" w:rsidP="00790883">
      <w:pPr>
        <w:numPr>
          <w:ilvl w:val="0"/>
          <w:numId w:val="79"/>
        </w:numPr>
        <w:tabs>
          <w:tab w:val="left" w:pos="9914"/>
        </w:tabs>
        <w:ind w:left="284" w:hanging="284"/>
        <w:rPr>
          <w:rFonts w:asciiTheme="minorHAnsi" w:hAnsiTheme="minorHAnsi"/>
        </w:rPr>
      </w:pPr>
      <w:r w:rsidRPr="00203191">
        <w:rPr>
          <w:rFonts w:asciiTheme="minorHAnsi" w:hAnsiTheme="minorHAnsi"/>
        </w:rPr>
        <w:t>ławy - zgodnie z wymaganiami pkt 5.3,</w:t>
      </w:r>
    </w:p>
    <w:p w:rsidR="00A07C50" w:rsidRPr="00203191" w:rsidRDefault="00A07C50" w:rsidP="00790883">
      <w:pPr>
        <w:numPr>
          <w:ilvl w:val="0"/>
          <w:numId w:val="79"/>
        </w:numPr>
        <w:tabs>
          <w:tab w:val="left" w:pos="9914"/>
        </w:tabs>
        <w:ind w:left="284" w:hanging="284"/>
        <w:rPr>
          <w:rFonts w:asciiTheme="minorHAnsi" w:hAnsiTheme="minorHAnsi"/>
        </w:rPr>
      </w:pPr>
      <w:r w:rsidRPr="00203191">
        <w:rPr>
          <w:rFonts w:asciiTheme="minorHAnsi" w:hAnsiTheme="minorHAnsi"/>
        </w:rPr>
        <w:t>ustawienia betonowego obrzeża chodnikowego - zgodnie z wymaganiami pkt 5.4, przy dopuszczalnych odchyleniach:</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 xml:space="preserve">linii obrzeża w planie, które może wynosić </w:t>
      </w:r>
      <w:r>
        <w:rPr>
          <w:rFonts w:asciiTheme="minorHAnsi" w:hAnsiTheme="minorHAnsi"/>
        </w:rPr>
        <w:t>±</w:t>
      </w:r>
      <w:r w:rsidRPr="00203191">
        <w:rPr>
          <w:rFonts w:asciiTheme="minorHAnsi" w:hAnsiTheme="minorHAnsi"/>
        </w:rPr>
        <w:t xml:space="preserve"> </w:t>
      </w:r>
      <w:smartTag w:uri="urn:schemas-microsoft-com:office:smarttags" w:element="metricconverter">
        <w:smartTagPr>
          <w:attr w:name="ProductID" w:val="2 cm"/>
        </w:smartTagPr>
        <w:r w:rsidRPr="00203191">
          <w:rPr>
            <w:rFonts w:asciiTheme="minorHAnsi" w:hAnsiTheme="minorHAnsi"/>
          </w:rPr>
          <w:t>2 cm</w:t>
        </w:r>
      </w:smartTag>
      <w:r w:rsidRPr="00203191">
        <w:rPr>
          <w:rFonts w:asciiTheme="minorHAnsi" w:hAnsiTheme="minorHAnsi"/>
        </w:rPr>
        <w:t xml:space="preserve"> na każde </w:t>
      </w:r>
      <w:smartTag w:uri="urn:schemas-microsoft-com:office:smarttags" w:element="metricconverter">
        <w:smartTagPr>
          <w:attr w:name="ProductID" w:val="100 m"/>
        </w:smartTagPr>
        <w:r w:rsidRPr="00203191">
          <w:rPr>
            <w:rFonts w:asciiTheme="minorHAnsi" w:hAnsiTheme="minorHAnsi"/>
          </w:rPr>
          <w:t>100 m</w:t>
        </w:r>
      </w:smartTag>
      <w:r w:rsidRPr="00203191">
        <w:rPr>
          <w:rFonts w:asciiTheme="minorHAnsi" w:hAnsiTheme="minorHAnsi"/>
        </w:rPr>
        <w:t xml:space="preserve"> długości obrzeża,</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 xml:space="preserve">niwelety górnej płaszczyzny obrzeża , które może wynosić </w:t>
      </w:r>
      <w:r>
        <w:rPr>
          <w:rFonts w:asciiTheme="minorHAnsi" w:hAnsiTheme="minorHAnsi"/>
        </w:rPr>
        <w:t>±</w:t>
      </w:r>
      <w:r w:rsidRPr="00203191">
        <w:rPr>
          <w:rFonts w:asciiTheme="minorHAnsi" w:hAnsiTheme="minorHAnsi"/>
        </w:rPr>
        <w:t xml:space="preserve">1 cm na każde </w:t>
      </w:r>
      <w:smartTag w:uri="urn:schemas-microsoft-com:office:smarttags" w:element="metricconverter">
        <w:smartTagPr>
          <w:attr w:name="ProductID" w:val="100 m"/>
        </w:smartTagPr>
        <w:r w:rsidRPr="00203191">
          <w:rPr>
            <w:rFonts w:asciiTheme="minorHAnsi" w:hAnsiTheme="minorHAnsi"/>
          </w:rPr>
          <w:t>100 m</w:t>
        </w:r>
      </w:smartTag>
      <w:r w:rsidRPr="00203191">
        <w:rPr>
          <w:rFonts w:asciiTheme="minorHAnsi" w:hAnsiTheme="minorHAnsi"/>
        </w:rPr>
        <w:t xml:space="preserve"> długości obrzeża,</w:t>
      </w:r>
    </w:p>
    <w:p w:rsidR="00A07C50" w:rsidRPr="00203191" w:rsidRDefault="00A07C50" w:rsidP="00A07C50">
      <w:pPr>
        <w:numPr>
          <w:ilvl w:val="0"/>
          <w:numId w:val="38"/>
        </w:numPr>
        <w:tabs>
          <w:tab w:val="left" w:pos="9914"/>
        </w:tabs>
        <w:ind w:left="284" w:hanging="284"/>
        <w:rPr>
          <w:rFonts w:asciiTheme="minorHAnsi" w:hAnsiTheme="minorHAnsi"/>
        </w:rPr>
      </w:pPr>
      <w:r w:rsidRPr="00203191">
        <w:rPr>
          <w:rFonts w:asciiTheme="minorHAnsi" w:hAnsiTheme="minorHAnsi"/>
        </w:rPr>
        <w:t xml:space="preserve">wypełnienia spoin, sprawdzane co </w:t>
      </w:r>
      <w:smartTag w:uri="urn:schemas-microsoft-com:office:smarttags" w:element="metricconverter">
        <w:smartTagPr>
          <w:attr w:name="ProductID" w:val="10 metr￳w"/>
        </w:smartTagPr>
        <w:r w:rsidRPr="00203191">
          <w:rPr>
            <w:rFonts w:asciiTheme="minorHAnsi" w:hAnsiTheme="minorHAnsi"/>
          </w:rPr>
          <w:t>10 metrów</w:t>
        </w:r>
      </w:smartTag>
      <w:r w:rsidRPr="00203191">
        <w:rPr>
          <w:rFonts w:asciiTheme="minorHAnsi" w:hAnsiTheme="minorHAnsi"/>
        </w:rPr>
        <w:t>, które powinno wykazywać całkowite wypełnienie badanej spoiny na pełną głębokość.</w:t>
      </w:r>
    </w:p>
    <w:p w:rsidR="00A07C50" w:rsidRPr="00EF1952" w:rsidRDefault="00A07C50" w:rsidP="00EF1952">
      <w:pPr>
        <w:pStyle w:val="Nagwek3"/>
      </w:pPr>
      <w:bookmarkStart w:id="1202" w:name="_Toc426531388"/>
      <w:r w:rsidRPr="00EF1952">
        <w:t>7. OBMIAR ROBÓT</w:t>
      </w:r>
      <w:bookmarkEnd w:id="1202"/>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7.1. Ogólne zasady obmiaru robót</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zasady obmiaru robót podano w SSTWiORB D-M-00.00.00 „Wymagania ogólne” pkt 7.</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7.2. Jednostka obmiarowa</w:t>
      </w:r>
    </w:p>
    <w:p w:rsidR="00A07C50" w:rsidRPr="00203191" w:rsidRDefault="00A07C50" w:rsidP="00A07C50">
      <w:pPr>
        <w:tabs>
          <w:tab w:val="left" w:pos="9914"/>
        </w:tabs>
        <w:rPr>
          <w:rFonts w:asciiTheme="minorHAnsi" w:hAnsiTheme="minorHAnsi"/>
        </w:rPr>
      </w:pPr>
      <w:r w:rsidRPr="00203191">
        <w:rPr>
          <w:rFonts w:asciiTheme="minorHAnsi" w:hAnsiTheme="minorHAnsi"/>
        </w:rPr>
        <w:t>Jednostką obmiarową jest m (metr) ustawionego betonowego obrzeża chodnikowego.</w:t>
      </w:r>
    </w:p>
    <w:p w:rsidR="00A07C50" w:rsidRPr="00EF1952" w:rsidRDefault="00A07C50" w:rsidP="00EF1952">
      <w:pPr>
        <w:pStyle w:val="Nagwek3"/>
      </w:pPr>
      <w:bookmarkStart w:id="1203" w:name="_Toc426435744"/>
      <w:bookmarkStart w:id="1204" w:name="_Toc426531389"/>
      <w:r w:rsidRPr="00EF1952">
        <w:lastRenderedPageBreak/>
        <w:t>8. ODBIÓR ROBÓT</w:t>
      </w:r>
      <w:bookmarkEnd w:id="1203"/>
      <w:bookmarkEnd w:id="1204"/>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8.1. Ogólne zasady odbioru robót</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zasady odbioru robót podano w SSTWiORB D-M-00.00.00 „Wymagania ogólne” pkt 8.</w:t>
      </w:r>
    </w:p>
    <w:p w:rsidR="00A07C50" w:rsidRPr="00203191" w:rsidRDefault="00A07C50" w:rsidP="00A07C50">
      <w:pPr>
        <w:tabs>
          <w:tab w:val="left" w:pos="9914"/>
        </w:tabs>
        <w:rPr>
          <w:rFonts w:asciiTheme="minorHAnsi" w:hAnsiTheme="minorHAnsi"/>
        </w:rPr>
      </w:pPr>
      <w:r w:rsidRPr="00203191">
        <w:rPr>
          <w:rFonts w:asciiTheme="minorHAnsi" w:hAnsiTheme="minorHAnsi"/>
        </w:rPr>
        <w:t>Roboty uznaje się za wykonane zgodnie z dokumentacją projektową, SSTWiORB i wymaganiami Inżyniera/Kierownika projektu, jeżeli wszystkie pomiary i badania z zachowaniem tolerancji wg pkt 6 dały wyniki pozytywne.</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8.2. Odbiór robót zanikających i ulegających zakryciu</w:t>
      </w:r>
    </w:p>
    <w:p w:rsidR="00A07C50" w:rsidRPr="00203191" w:rsidRDefault="00A07C50" w:rsidP="00A07C50">
      <w:pPr>
        <w:tabs>
          <w:tab w:val="left" w:pos="9914"/>
        </w:tabs>
        <w:rPr>
          <w:rFonts w:asciiTheme="minorHAnsi" w:hAnsiTheme="minorHAnsi"/>
        </w:rPr>
      </w:pPr>
      <w:r w:rsidRPr="00203191">
        <w:rPr>
          <w:rFonts w:asciiTheme="minorHAnsi" w:hAnsiTheme="minorHAnsi"/>
        </w:rPr>
        <w:t>Odbiorowi robót zanikających i ulegających zakryciu podlegają:</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wykonane koryto,</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wykonana ława.</w:t>
      </w:r>
    </w:p>
    <w:p w:rsidR="00A07C50" w:rsidRPr="00EF1952" w:rsidRDefault="00A07C50" w:rsidP="00EF1952">
      <w:pPr>
        <w:pStyle w:val="Nagwek3"/>
      </w:pPr>
      <w:bookmarkStart w:id="1205" w:name="_Toc426435745"/>
      <w:bookmarkStart w:id="1206" w:name="_Toc426531390"/>
      <w:r w:rsidRPr="00EF1952">
        <w:t>9. PODSTAWA PŁATNOŚCI</w:t>
      </w:r>
      <w:bookmarkEnd w:id="1205"/>
      <w:bookmarkEnd w:id="1206"/>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9.1. Ogólne ustalenia dotyczące podstawy płatności</w:t>
      </w:r>
    </w:p>
    <w:p w:rsidR="00A07C50" w:rsidRPr="00203191" w:rsidRDefault="00A07C50" w:rsidP="00A07C50">
      <w:pPr>
        <w:tabs>
          <w:tab w:val="left" w:pos="9914"/>
        </w:tabs>
        <w:rPr>
          <w:rFonts w:asciiTheme="minorHAnsi" w:hAnsiTheme="minorHAnsi"/>
        </w:rPr>
      </w:pPr>
      <w:r w:rsidRPr="00203191">
        <w:rPr>
          <w:rFonts w:asciiTheme="minorHAnsi" w:hAnsiTheme="minorHAnsi"/>
        </w:rPr>
        <w:t>Ogólne ustalenia dotyczące podstawy płatności podano w SSTWiORB D-M-00.00.00 „Wymagania ogólne” pkt 9.</w:t>
      </w:r>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9.2. Cena jednostki obmiarowej</w:t>
      </w:r>
    </w:p>
    <w:p w:rsidR="00A07C50" w:rsidRPr="00203191" w:rsidRDefault="00A07C50" w:rsidP="00A07C50">
      <w:pPr>
        <w:tabs>
          <w:tab w:val="left" w:pos="9914"/>
        </w:tabs>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
        </w:smartTagPr>
        <w:r w:rsidRPr="00203191">
          <w:rPr>
            <w:rFonts w:asciiTheme="minorHAnsi" w:hAnsiTheme="minorHAnsi"/>
          </w:rPr>
          <w:t>1 m</w:t>
        </w:r>
      </w:smartTag>
      <w:r w:rsidRPr="00203191">
        <w:rPr>
          <w:rFonts w:asciiTheme="minorHAnsi" w:hAnsiTheme="minorHAnsi"/>
        </w:rPr>
        <w:t xml:space="preserve"> betonowego obrzeża chodnikowego obejmuje:</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prace pomiarowe i roboty przygotowawcze,</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dostarczenie materiałów,</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wykonanie koryta,</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wykonanie ławy,</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ustawienie obrzeża,</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wypełnienie spoin,</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obsypanie zewnętrznej ściany obrzeża,</w:t>
      </w:r>
    </w:p>
    <w:p w:rsidR="00A07C50" w:rsidRPr="00203191" w:rsidRDefault="00A07C50" w:rsidP="00A07C50">
      <w:pPr>
        <w:numPr>
          <w:ilvl w:val="0"/>
          <w:numId w:val="38"/>
        </w:numPr>
        <w:tabs>
          <w:tab w:val="left" w:pos="9914"/>
        </w:tabs>
        <w:rPr>
          <w:rFonts w:asciiTheme="minorHAnsi" w:hAnsiTheme="minorHAnsi"/>
        </w:rPr>
      </w:pPr>
      <w:r w:rsidRPr="00203191">
        <w:rPr>
          <w:rFonts w:asciiTheme="minorHAnsi" w:hAnsiTheme="minorHAnsi"/>
        </w:rPr>
        <w:t>wykonanie badań i pomiarów wymaganych w specyfikacji technicznej.</w:t>
      </w:r>
    </w:p>
    <w:p w:rsidR="00A07C50" w:rsidRPr="00EF1952" w:rsidRDefault="00A07C50" w:rsidP="00EF1952">
      <w:pPr>
        <w:pStyle w:val="Nagwek3"/>
      </w:pPr>
      <w:bookmarkStart w:id="1207" w:name="_Toc426531391"/>
      <w:r w:rsidRPr="00EF1952">
        <w:t>10. PRZEPISY ZWIĄZANE</w:t>
      </w:r>
      <w:bookmarkEnd w:id="1207"/>
    </w:p>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t>10.1 Normy</w:t>
      </w:r>
    </w:p>
    <w:p w:rsidR="00A07C50" w:rsidRPr="00203191" w:rsidRDefault="00A07C50" w:rsidP="00A07C50">
      <w:pPr>
        <w:tabs>
          <w:tab w:val="left" w:pos="9914"/>
        </w:tabs>
        <w:rPr>
          <w:rFonts w:asciiTheme="minorHAnsi" w:hAnsiTheme="minorHAnsi"/>
        </w:rPr>
      </w:pPr>
    </w:p>
    <w:tbl>
      <w:tblPr>
        <w:tblW w:w="0" w:type="auto"/>
        <w:tblLayout w:type="fixed"/>
        <w:tblCellMar>
          <w:left w:w="70" w:type="dxa"/>
          <w:right w:w="70" w:type="dxa"/>
        </w:tblCellMar>
        <w:tblLook w:val="0000"/>
      </w:tblPr>
      <w:tblGrid>
        <w:gridCol w:w="637"/>
        <w:gridCol w:w="1701"/>
        <w:gridCol w:w="7441"/>
      </w:tblGrid>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1.</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PN-B-06050:1968</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Roboty ziemne budowlane</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2.</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PN-B-06250:1988</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Beton zwykły</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3.</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PN-B-06251:1963</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Roboty betonowe i żelbetowe</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4.</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PN-EN 12620:2004</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Kruszywa do betonu</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5.</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PN-B-10021:1980</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Prefabrykaty budowlane z betonu. Metody pomiaru cech geometrycznych</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6.</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PN-B-11111:1996</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Kruszywa mineralne. Kruszywa naturalne do nawierzchni drogowych. Żwir i mieszanka</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7.</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PN-B-11112:1996</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Kruszywa mineralne. Kruszywo łamane do nawierzchni drogowych</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8.</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PN-B-11113:1996</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Kruszywa mineralne. Kruszywa naturalne do nawierzchni drogowych. Piasek</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 xml:space="preserve"> 9.</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PN-B-197-1:2002</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Cement. Część I. Skład, wymagania i kryteria zgodności cementów powszechnego użytku</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10.</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PN-EN 1008:2004</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Woda zarobowa do betonu. Specyfikacja pobierania próbek, badanie i ocena przydatności wody zarobowej do betonu, w tym wody odzyskanej z procesów produkcji betonu</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11</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PN-EN 1340:2004</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Krawężniki betonowe Wymagania i metody badań</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12.</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BN-88/6731-08</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Cement. Transport i przechowywanie</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13.</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BN-74/6771-04</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Drogi samochodowe. Masa zalewowa</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14.</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BN-80/6775-03/01</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Prefabrykaty budowlane z betonu. Elementy nawierzchni dróg, ulic, parkingów i torowisk tramwajowych. Wspólne wymagania i badania</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15.</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BN-80/6775-03/04</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Prefabrykaty budowlane z betonu. Elementy nawierzchni dróg, ulic, parkingów i torowisk tramwajowych. Krawężniki i obrzeża chodnikowe</w:t>
            </w:r>
          </w:p>
        </w:tc>
      </w:tr>
      <w:tr w:rsidR="00A07C50" w:rsidRPr="00203191" w:rsidTr="00D109A9">
        <w:tc>
          <w:tcPr>
            <w:tcW w:w="637" w:type="dxa"/>
          </w:tcPr>
          <w:p w:rsidR="00A07C50" w:rsidRPr="00203191" w:rsidRDefault="00A07C50" w:rsidP="00D109A9">
            <w:pPr>
              <w:tabs>
                <w:tab w:val="left" w:pos="9914"/>
              </w:tabs>
              <w:rPr>
                <w:rFonts w:asciiTheme="minorHAnsi" w:hAnsiTheme="minorHAnsi"/>
              </w:rPr>
            </w:pPr>
            <w:r w:rsidRPr="00203191">
              <w:rPr>
                <w:rFonts w:asciiTheme="minorHAnsi" w:hAnsiTheme="minorHAnsi"/>
              </w:rPr>
              <w:t>16.</w:t>
            </w:r>
          </w:p>
        </w:tc>
        <w:tc>
          <w:tcPr>
            <w:tcW w:w="170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BN-64/8845-02</w:t>
            </w:r>
          </w:p>
        </w:tc>
        <w:tc>
          <w:tcPr>
            <w:tcW w:w="7441" w:type="dxa"/>
          </w:tcPr>
          <w:p w:rsidR="00A07C50" w:rsidRPr="00203191" w:rsidRDefault="00A07C50" w:rsidP="00D109A9">
            <w:pPr>
              <w:tabs>
                <w:tab w:val="left" w:pos="9914"/>
              </w:tabs>
              <w:rPr>
                <w:rFonts w:asciiTheme="minorHAnsi" w:hAnsiTheme="minorHAnsi"/>
              </w:rPr>
            </w:pPr>
            <w:r w:rsidRPr="00203191">
              <w:rPr>
                <w:rFonts w:asciiTheme="minorHAnsi" w:hAnsiTheme="minorHAnsi"/>
              </w:rPr>
              <w:t>Krawężniki uliczne. Warunki techniczne ustawiania i odbioru.</w:t>
            </w:r>
          </w:p>
        </w:tc>
      </w:tr>
    </w:tbl>
    <w:p w:rsidR="00A07C50" w:rsidRPr="00203191" w:rsidRDefault="00A07C50" w:rsidP="00A07C50">
      <w:pPr>
        <w:pStyle w:val="Nagwek4"/>
        <w:tabs>
          <w:tab w:val="left" w:pos="9914"/>
        </w:tabs>
        <w:rPr>
          <w:rFonts w:asciiTheme="minorHAnsi" w:hAnsiTheme="minorHAnsi"/>
        </w:rPr>
      </w:pPr>
      <w:r w:rsidRPr="00203191">
        <w:rPr>
          <w:rFonts w:asciiTheme="minorHAnsi" w:hAnsiTheme="minorHAnsi"/>
        </w:rPr>
        <w:lastRenderedPageBreak/>
        <w:t>10.2. Inne dokumenty</w:t>
      </w:r>
    </w:p>
    <w:p w:rsidR="00A07C50" w:rsidRPr="00203191" w:rsidRDefault="00A07C50" w:rsidP="00790883">
      <w:pPr>
        <w:numPr>
          <w:ilvl w:val="0"/>
          <w:numId w:val="81"/>
        </w:numPr>
        <w:tabs>
          <w:tab w:val="left" w:pos="9914"/>
        </w:tabs>
        <w:rPr>
          <w:rFonts w:asciiTheme="minorHAnsi" w:hAnsiTheme="minorHAnsi"/>
        </w:rPr>
      </w:pPr>
      <w:r w:rsidRPr="00203191">
        <w:rPr>
          <w:rFonts w:asciiTheme="minorHAnsi" w:hAnsiTheme="minorHAnsi"/>
        </w:rPr>
        <w:t>Katalog powtarzalnych elementów drogowych (KPED), Transprojekt - Warszawa, 1979 i 1982 r.</w:t>
      </w:r>
    </w:p>
    <w:p w:rsidR="00A07C50" w:rsidRPr="00584330" w:rsidRDefault="00A07C50" w:rsidP="00A07C50">
      <w:pPr>
        <w:overflowPunct/>
        <w:jc w:val="left"/>
        <w:textAlignment w:val="auto"/>
        <w:rPr>
          <w:rFonts w:asciiTheme="minorHAnsi" w:hAnsiTheme="minorHAnsi"/>
        </w:rPr>
      </w:pPr>
    </w:p>
    <w:p w:rsidR="00413511" w:rsidRPr="00584330" w:rsidRDefault="00A95FEE" w:rsidP="00584330">
      <w:pPr>
        <w:pStyle w:val="Nagwek2"/>
      </w:pPr>
      <w:r w:rsidRPr="00584330">
        <w:lastRenderedPageBreak/>
        <w:t>SPECYFIKACJE TECHNICZNE</w:t>
      </w:r>
      <w:r w:rsidR="008A101C" w:rsidRPr="00584330">
        <w:t xml:space="preserve"> WYK</w:t>
      </w:r>
      <w:r w:rsidR="00413511" w:rsidRPr="00584330">
        <w:t>ONYWANIA I ODBIORU ROBÓT BUDOWLANYCH</w:t>
      </w:r>
    </w:p>
    <w:p w:rsidR="00413511" w:rsidRPr="00584330" w:rsidRDefault="00413511" w:rsidP="00584330">
      <w:pPr>
        <w:pStyle w:val="Nagwek1"/>
      </w:pPr>
      <w:bookmarkStart w:id="1208" w:name="_Toc352837502"/>
      <w:bookmarkStart w:id="1209" w:name="_Toc369334418"/>
      <w:bookmarkStart w:id="1210" w:name="_Toc427178285"/>
      <w:bookmarkStart w:id="1211" w:name="_Toc459929679"/>
      <w:r w:rsidRPr="00584330">
        <w:t>D-09.01.01 ZIELEŃ  DROGOWA</w:t>
      </w:r>
      <w:bookmarkStart w:id="1212" w:name="_Toc428677173"/>
      <w:bookmarkStart w:id="1213" w:name="_Toc235080356"/>
      <w:bookmarkEnd w:id="1208"/>
      <w:bookmarkEnd w:id="1209"/>
      <w:bookmarkEnd w:id="1210"/>
      <w:bookmarkEnd w:id="1211"/>
    </w:p>
    <w:p w:rsidR="00413511" w:rsidRPr="00413511" w:rsidRDefault="00413511" w:rsidP="00EF1952">
      <w:pPr>
        <w:pStyle w:val="Nagwek3"/>
      </w:pPr>
      <w:r w:rsidRPr="00A8518B">
        <w:t>1. WSTĘP</w:t>
      </w:r>
      <w:bookmarkEnd w:id="1212"/>
      <w:bookmarkEnd w:id="1213"/>
      <w:r w:rsidRPr="00413511">
        <w:t xml:space="preserve"> </w:t>
      </w:r>
    </w:p>
    <w:p w:rsidR="00413511" w:rsidRPr="00A8518B" w:rsidRDefault="00413511" w:rsidP="00413511">
      <w:pPr>
        <w:pStyle w:val="Nagwek4"/>
        <w:tabs>
          <w:tab w:val="left" w:pos="9914"/>
        </w:tabs>
        <w:rPr>
          <w:rFonts w:asciiTheme="minorHAnsi" w:hAnsiTheme="minorHAnsi" w:cs="Calibri"/>
        </w:rPr>
      </w:pPr>
      <w:bookmarkStart w:id="1214" w:name="_Toc235080357"/>
      <w:r w:rsidRPr="00A8518B">
        <w:rPr>
          <w:rFonts w:asciiTheme="minorHAnsi" w:hAnsiTheme="minorHAnsi" w:cs="Calibri"/>
        </w:rPr>
        <w:t xml:space="preserve">1.1. Przedmiot </w:t>
      </w:r>
      <w:bookmarkEnd w:id="1214"/>
      <w:r w:rsidR="005B48CA">
        <w:rPr>
          <w:rFonts w:asciiTheme="minorHAnsi" w:hAnsiTheme="minorHAnsi" w:cs="Calibri"/>
        </w:rPr>
        <w:t>STWiORB</w:t>
      </w:r>
    </w:p>
    <w:p w:rsidR="00413511" w:rsidRPr="00A8518B" w:rsidRDefault="00A46FA8" w:rsidP="00413511">
      <w:pPr>
        <w:rPr>
          <w:rFonts w:asciiTheme="minorHAnsi" w:hAnsiTheme="minorHAnsi" w:cs="Calibri"/>
        </w:rPr>
      </w:pPr>
      <w:r>
        <w:rPr>
          <w:rFonts w:asciiTheme="minorHAnsi" w:hAnsiTheme="minorHAnsi" w:cs="Calibri"/>
        </w:rPr>
        <w:t xml:space="preserve">Przedmiotem </w:t>
      </w:r>
      <w:r w:rsidR="00ED6D29">
        <w:rPr>
          <w:rFonts w:asciiTheme="minorHAnsi" w:hAnsiTheme="minorHAnsi" w:cs="Calibri"/>
        </w:rPr>
        <w:t>niniejszej</w:t>
      </w:r>
      <w:r>
        <w:rPr>
          <w:rFonts w:asciiTheme="minorHAnsi" w:hAnsiTheme="minorHAnsi" w:cs="Calibri"/>
        </w:rPr>
        <w:t xml:space="preserve"> </w:t>
      </w:r>
      <w:r w:rsidR="00ED6D29">
        <w:rPr>
          <w:rFonts w:asciiTheme="minorHAnsi" w:hAnsiTheme="minorHAnsi" w:cs="Calibri"/>
        </w:rPr>
        <w:t>specyfikacji</w:t>
      </w:r>
      <w:r w:rsidR="00413511" w:rsidRPr="00A8518B">
        <w:rPr>
          <w:rFonts w:asciiTheme="minorHAnsi" w:hAnsiTheme="minorHAnsi" w:cs="Calibri"/>
        </w:rPr>
        <w:t xml:space="preserve"> (</w:t>
      </w:r>
      <w:r w:rsidR="005B48CA">
        <w:rPr>
          <w:rFonts w:asciiTheme="minorHAnsi" w:hAnsiTheme="minorHAnsi" w:cs="Calibri"/>
        </w:rPr>
        <w:t>STWiORB</w:t>
      </w:r>
      <w:r w:rsidR="00413511" w:rsidRPr="00A8518B">
        <w:rPr>
          <w:rFonts w:asciiTheme="minorHAnsi" w:hAnsiTheme="minorHAnsi" w:cs="Calibri"/>
        </w:rPr>
        <w:t>) są wymagania dotyczące wykonania i odbioru robót związanych z założeniem i pielęgnacją zieleni drogowej.</w:t>
      </w:r>
    </w:p>
    <w:p w:rsidR="00413511" w:rsidRPr="00A8518B" w:rsidRDefault="00413511" w:rsidP="00413511">
      <w:pPr>
        <w:pStyle w:val="Nagwek4"/>
        <w:tabs>
          <w:tab w:val="left" w:pos="9914"/>
        </w:tabs>
        <w:rPr>
          <w:rFonts w:asciiTheme="minorHAnsi" w:hAnsiTheme="minorHAnsi" w:cs="Calibri"/>
        </w:rPr>
      </w:pPr>
      <w:bookmarkStart w:id="1215" w:name="_Toc235080359"/>
      <w:r w:rsidRPr="00A8518B">
        <w:rPr>
          <w:rFonts w:asciiTheme="minorHAnsi" w:hAnsiTheme="minorHAnsi" w:cs="Calibri"/>
        </w:rPr>
        <w:t xml:space="preserve">1.2. Zakres stosowania </w:t>
      </w:r>
      <w:r w:rsidR="005B48CA">
        <w:rPr>
          <w:rFonts w:asciiTheme="minorHAnsi" w:hAnsiTheme="minorHAnsi" w:cs="Calibri"/>
        </w:rPr>
        <w:t>STWiORB</w:t>
      </w:r>
    </w:p>
    <w:p w:rsidR="00413511" w:rsidRPr="00A8518B" w:rsidRDefault="00FE60E3" w:rsidP="00413511">
      <w:pPr>
        <w:rPr>
          <w:rFonts w:asciiTheme="minorHAnsi" w:hAnsiTheme="minorHAnsi" w:cs="Calibri"/>
        </w:rPr>
      </w:pPr>
      <w:r>
        <w:rPr>
          <w:rFonts w:asciiTheme="minorHAnsi" w:hAnsiTheme="minorHAnsi" w:cs="Calibri"/>
        </w:rPr>
        <w:t>Specyfikacja techniczna</w:t>
      </w:r>
      <w:r w:rsidR="00413511" w:rsidRPr="00A8518B">
        <w:rPr>
          <w:rFonts w:asciiTheme="minorHAnsi" w:hAnsiTheme="minorHAnsi" w:cs="Calibri"/>
        </w:rPr>
        <w:t xml:space="preserve"> stanowi dokument przetargowy i kontraktowy przy realizacji  zadania </w:t>
      </w:r>
      <w:r w:rsidR="00B26FFB">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r w:rsidR="00413511" w:rsidRPr="00A8518B">
        <w:rPr>
          <w:rFonts w:asciiTheme="minorHAnsi" w:hAnsiTheme="minorHAnsi" w:cs="Calibri"/>
        </w:rPr>
        <w:t xml:space="preserve"> </w:t>
      </w:r>
    </w:p>
    <w:p w:rsidR="00413511" w:rsidRPr="00A8518B" w:rsidRDefault="00413511" w:rsidP="00A46FA8">
      <w:pPr>
        <w:pStyle w:val="Nagwek4"/>
        <w:tabs>
          <w:tab w:val="left" w:pos="2925"/>
        </w:tabs>
        <w:rPr>
          <w:rFonts w:asciiTheme="minorHAnsi" w:hAnsiTheme="minorHAnsi" w:cs="Calibri"/>
        </w:rPr>
      </w:pPr>
      <w:r w:rsidRPr="00A8518B">
        <w:rPr>
          <w:rFonts w:asciiTheme="minorHAnsi" w:hAnsiTheme="minorHAnsi" w:cs="Calibri"/>
        </w:rPr>
        <w:t xml:space="preserve">1.3. Zakres robót objętych </w:t>
      </w:r>
      <w:bookmarkEnd w:id="1215"/>
      <w:r w:rsidR="00A46FA8">
        <w:rPr>
          <w:rFonts w:asciiTheme="minorHAnsi" w:hAnsiTheme="minorHAnsi" w:cs="Calibri"/>
        </w:rPr>
        <w:t>wytycznymi</w:t>
      </w:r>
      <w:r w:rsidR="00A46FA8">
        <w:rPr>
          <w:rFonts w:asciiTheme="minorHAnsi" w:hAnsiTheme="minorHAnsi" w:cs="Calibri"/>
        </w:rPr>
        <w:tab/>
      </w:r>
    </w:p>
    <w:p w:rsidR="00413511" w:rsidRPr="00A8518B" w:rsidRDefault="00A46FA8" w:rsidP="00413511">
      <w:pPr>
        <w:rPr>
          <w:rFonts w:asciiTheme="minorHAnsi" w:hAnsiTheme="minorHAnsi" w:cs="Calibri"/>
        </w:rPr>
      </w:pPr>
      <w:r>
        <w:rPr>
          <w:rFonts w:asciiTheme="minorHAnsi" w:hAnsiTheme="minorHAnsi" w:cs="Calibri"/>
        </w:rPr>
        <w:t xml:space="preserve">Ustalenia zawarte w </w:t>
      </w:r>
      <w:r w:rsidR="00ED6D29">
        <w:rPr>
          <w:rFonts w:asciiTheme="minorHAnsi" w:hAnsiTheme="minorHAnsi" w:cs="Calibri"/>
        </w:rPr>
        <w:t>niniejszej</w:t>
      </w:r>
      <w:r w:rsidR="00413511" w:rsidRPr="00A8518B">
        <w:rPr>
          <w:rFonts w:asciiTheme="minorHAnsi" w:hAnsiTheme="minorHAnsi" w:cs="Calibri"/>
        </w:rPr>
        <w:t xml:space="preserve"> </w:t>
      </w:r>
      <w:r w:rsidR="00ED6D29">
        <w:rPr>
          <w:rFonts w:asciiTheme="minorHAnsi" w:hAnsiTheme="minorHAnsi" w:cs="Calibri"/>
        </w:rPr>
        <w:t>specyfikacji</w:t>
      </w:r>
      <w:r>
        <w:rPr>
          <w:rFonts w:asciiTheme="minorHAnsi" w:hAnsiTheme="minorHAnsi" w:cs="Calibri"/>
        </w:rPr>
        <w:t xml:space="preserve"> </w:t>
      </w:r>
      <w:r w:rsidR="00413511" w:rsidRPr="00A8518B">
        <w:rPr>
          <w:rFonts w:asciiTheme="minorHAnsi" w:hAnsiTheme="minorHAnsi" w:cs="Calibri"/>
        </w:rPr>
        <w:t>dotyczą zasad prowadzenia robót związanych z:</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zakładaniem i pielęgnacją trawników na terenie płaskim i na skarpach,</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sadzeniem drzew i krzewów na terenie płaskim i na skarpach,</w:t>
      </w:r>
    </w:p>
    <w:p w:rsidR="00413511" w:rsidRPr="00A8518B" w:rsidRDefault="00413511" w:rsidP="00413511">
      <w:pPr>
        <w:pStyle w:val="Nagwek4"/>
        <w:tabs>
          <w:tab w:val="left" w:pos="9914"/>
        </w:tabs>
        <w:rPr>
          <w:rFonts w:asciiTheme="minorHAnsi" w:hAnsiTheme="minorHAnsi" w:cs="Calibri"/>
        </w:rPr>
      </w:pPr>
      <w:bookmarkStart w:id="1216" w:name="_Toc235080360"/>
      <w:r w:rsidRPr="00A8518B">
        <w:rPr>
          <w:rFonts w:asciiTheme="minorHAnsi" w:hAnsiTheme="minorHAnsi" w:cs="Calibri"/>
        </w:rPr>
        <w:t>1.4. Określenia podstawowe</w:t>
      </w:r>
      <w:bookmarkEnd w:id="1216"/>
    </w:p>
    <w:p w:rsidR="00413511" w:rsidRPr="00A8518B" w:rsidRDefault="00413511" w:rsidP="00413511">
      <w:pPr>
        <w:rPr>
          <w:rFonts w:asciiTheme="minorHAnsi" w:hAnsiTheme="minorHAnsi" w:cs="Calibri"/>
        </w:rPr>
      </w:pPr>
      <w:r w:rsidRPr="00A8518B">
        <w:rPr>
          <w:rFonts w:asciiTheme="minorHAnsi" w:hAnsiTheme="minorHAnsi" w:cs="Calibri"/>
          <w:b/>
          <w:bCs/>
          <w:i/>
          <w:iCs/>
        </w:rPr>
        <w:t>1.4.1.</w:t>
      </w:r>
      <w:r w:rsidRPr="00A8518B">
        <w:rPr>
          <w:rFonts w:asciiTheme="minorHAnsi" w:hAnsiTheme="minorHAnsi" w:cs="Calibri"/>
          <w:b/>
          <w:bCs/>
        </w:rPr>
        <w:t xml:space="preserve"> </w:t>
      </w:r>
      <w:r w:rsidRPr="00A8518B">
        <w:rPr>
          <w:rFonts w:asciiTheme="minorHAnsi" w:hAnsiTheme="minorHAnsi" w:cs="Calibri"/>
        </w:rPr>
        <w:t>Ziemia urodzajna - ziemia posiadająca właściwości zapewniające roślinom prawidłowy rozwój.</w:t>
      </w:r>
    </w:p>
    <w:p w:rsidR="00413511" w:rsidRPr="00A8518B" w:rsidRDefault="00413511" w:rsidP="00413511">
      <w:pPr>
        <w:spacing w:before="120"/>
        <w:rPr>
          <w:rFonts w:asciiTheme="minorHAnsi" w:hAnsiTheme="minorHAnsi" w:cs="Calibri"/>
        </w:rPr>
      </w:pPr>
      <w:r w:rsidRPr="00A8518B">
        <w:rPr>
          <w:rFonts w:asciiTheme="minorHAnsi" w:hAnsiTheme="minorHAnsi" w:cs="Calibri"/>
          <w:b/>
          <w:bCs/>
          <w:i/>
          <w:iCs/>
        </w:rPr>
        <w:t>1.4.2.</w:t>
      </w:r>
      <w:r w:rsidRPr="00A8518B">
        <w:rPr>
          <w:rFonts w:asciiTheme="minorHAnsi" w:hAnsiTheme="minorHAnsi" w:cs="Calibri"/>
          <w:b/>
          <w:bCs/>
        </w:rPr>
        <w:t xml:space="preserve"> </w:t>
      </w:r>
      <w:r w:rsidRPr="00A8518B">
        <w:rPr>
          <w:rFonts w:asciiTheme="minorHAnsi" w:hAnsiTheme="minorHAnsi" w:cs="Calibri"/>
        </w:rPr>
        <w:t>Materiał roślinny - sadzonki drzew, krzewów, kwiatów jednorocznych i wieloletnich.</w:t>
      </w:r>
    </w:p>
    <w:p w:rsidR="00413511" w:rsidRPr="00A8518B" w:rsidRDefault="00413511" w:rsidP="00413511">
      <w:pPr>
        <w:spacing w:before="120"/>
        <w:rPr>
          <w:rFonts w:asciiTheme="minorHAnsi" w:hAnsiTheme="minorHAnsi" w:cs="Calibri"/>
        </w:rPr>
      </w:pPr>
      <w:r w:rsidRPr="00A8518B">
        <w:rPr>
          <w:rFonts w:asciiTheme="minorHAnsi" w:hAnsiTheme="minorHAnsi" w:cs="Calibri"/>
          <w:b/>
          <w:bCs/>
          <w:i/>
          <w:iCs/>
        </w:rPr>
        <w:t>1.4.3.</w:t>
      </w:r>
      <w:r w:rsidRPr="00A8518B">
        <w:rPr>
          <w:rFonts w:asciiTheme="minorHAnsi" w:hAnsiTheme="minorHAnsi" w:cs="Calibri"/>
          <w:b/>
          <w:bCs/>
        </w:rPr>
        <w:t xml:space="preserve"> </w:t>
      </w:r>
      <w:r w:rsidRPr="00A8518B">
        <w:rPr>
          <w:rFonts w:asciiTheme="minorHAnsi" w:hAnsiTheme="minorHAnsi" w:cs="Calibri"/>
        </w:rPr>
        <w:t>Bryła korzeniowa - uformowana przez szkółkowanie bryła ziemi z przerastającymi ją korzeniami rośliny.</w:t>
      </w:r>
    </w:p>
    <w:p w:rsidR="00413511" w:rsidRPr="00A8518B" w:rsidRDefault="00413511" w:rsidP="00413511">
      <w:pPr>
        <w:spacing w:before="120"/>
        <w:rPr>
          <w:rFonts w:asciiTheme="minorHAnsi" w:hAnsiTheme="minorHAnsi" w:cs="Calibri"/>
        </w:rPr>
      </w:pPr>
      <w:r w:rsidRPr="00A8518B">
        <w:rPr>
          <w:rFonts w:asciiTheme="minorHAnsi" w:hAnsiTheme="minorHAnsi" w:cs="Calibri"/>
          <w:b/>
          <w:bCs/>
          <w:i/>
          <w:iCs/>
        </w:rPr>
        <w:t>1.4.4.</w:t>
      </w:r>
      <w:r w:rsidRPr="00A8518B">
        <w:rPr>
          <w:rFonts w:asciiTheme="minorHAnsi" w:hAnsiTheme="minorHAnsi" w:cs="Calibri"/>
          <w:b/>
          <w:bCs/>
        </w:rPr>
        <w:t xml:space="preserve"> </w:t>
      </w:r>
      <w:r w:rsidRPr="00A8518B">
        <w:rPr>
          <w:rFonts w:asciiTheme="minorHAnsi" w:hAnsiTheme="minorHAnsi" w:cs="Calibri"/>
        </w:rPr>
        <w:t>Forma naturalna - forma drzew do zadrzewień zgodna z naturalnymi cechami wzrostu.</w:t>
      </w:r>
    </w:p>
    <w:p w:rsidR="00413511" w:rsidRPr="00A8518B" w:rsidRDefault="00413511" w:rsidP="00413511">
      <w:pPr>
        <w:spacing w:before="120"/>
        <w:rPr>
          <w:rFonts w:asciiTheme="minorHAnsi" w:hAnsiTheme="minorHAnsi" w:cs="Calibri"/>
        </w:rPr>
      </w:pPr>
      <w:r w:rsidRPr="00A8518B">
        <w:rPr>
          <w:rFonts w:asciiTheme="minorHAnsi" w:hAnsiTheme="minorHAnsi" w:cs="Calibri"/>
          <w:b/>
          <w:bCs/>
          <w:i/>
          <w:iCs/>
        </w:rPr>
        <w:t>1.4.5.</w:t>
      </w:r>
      <w:r w:rsidRPr="00A8518B">
        <w:rPr>
          <w:rFonts w:asciiTheme="minorHAnsi" w:hAnsiTheme="minorHAnsi" w:cs="Calibri"/>
          <w:b/>
          <w:bCs/>
        </w:rPr>
        <w:t xml:space="preserve"> </w:t>
      </w:r>
      <w:r w:rsidRPr="00A8518B">
        <w:rPr>
          <w:rFonts w:asciiTheme="minorHAnsi" w:hAnsiTheme="minorHAnsi" w:cs="Calibri"/>
        </w:rPr>
        <w:t xml:space="preserve">Pozostałe określenia podstawowe są zgodne z obowiązującymi, odpowiednimi polskimi normami i z definicjami podanymi w </w:t>
      </w:r>
      <w:r w:rsidR="005B48CA">
        <w:rPr>
          <w:rFonts w:asciiTheme="minorHAnsi" w:hAnsiTheme="minorHAnsi" w:cs="Calibri"/>
        </w:rPr>
        <w:t>STWiORB</w:t>
      </w:r>
      <w:r w:rsidRPr="00A8518B">
        <w:rPr>
          <w:rFonts w:asciiTheme="minorHAnsi" w:hAnsiTheme="minorHAnsi" w:cs="Calibri"/>
        </w:rPr>
        <w:t xml:space="preserve"> D-M-00.00.00 „Wymagania ogólne” pkt 1.4.</w:t>
      </w:r>
    </w:p>
    <w:p w:rsidR="00413511" w:rsidRPr="00A8518B" w:rsidRDefault="00413511" w:rsidP="00413511">
      <w:pPr>
        <w:pStyle w:val="Nagwek4"/>
        <w:tabs>
          <w:tab w:val="left" w:pos="9914"/>
        </w:tabs>
        <w:rPr>
          <w:rFonts w:asciiTheme="minorHAnsi" w:hAnsiTheme="minorHAnsi" w:cs="Calibri"/>
        </w:rPr>
      </w:pPr>
      <w:bookmarkStart w:id="1217" w:name="_Toc235080361"/>
      <w:r w:rsidRPr="00A8518B">
        <w:rPr>
          <w:rFonts w:asciiTheme="minorHAnsi" w:hAnsiTheme="minorHAnsi" w:cs="Calibri"/>
        </w:rPr>
        <w:t>1.5. Ogólne wymagania dotyczące robót</w:t>
      </w:r>
      <w:bookmarkEnd w:id="1217"/>
    </w:p>
    <w:p w:rsidR="00413511" w:rsidRPr="00A8518B" w:rsidRDefault="00413511" w:rsidP="00413511">
      <w:pPr>
        <w:rPr>
          <w:rFonts w:asciiTheme="minorHAnsi" w:hAnsiTheme="minorHAnsi" w:cs="Calibri"/>
        </w:rPr>
      </w:pPr>
      <w:r w:rsidRPr="00A8518B">
        <w:rPr>
          <w:rFonts w:asciiTheme="minorHAnsi" w:hAnsiTheme="minorHAnsi" w:cs="Calibri"/>
        </w:rPr>
        <w:t xml:space="preserve">Ogólne wymagania dotyczące robót podano w </w:t>
      </w:r>
      <w:r w:rsidR="005B48CA">
        <w:rPr>
          <w:rFonts w:asciiTheme="minorHAnsi" w:hAnsiTheme="minorHAnsi" w:cs="Calibri"/>
        </w:rPr>
        <w:t>STWiORB</w:t>
      </w:r>
      <w:r w:rsidRPr="00A8518B">
        <w:rPr>
          <w:rFonts w:asciiTheme="minorHAnsi" w:hAnsiTheme="minorHAnsi" w:cs="Calibri"/>
        </w:rPr>
        <w:t xml:space="preserve"> D-M-00.00.00 „Wymagania ogólne” pkt 1.5.</w:t>
      </w:r>
    </w:p>
    <w:p w:rsidR="00413511" w:rsidRPr="00EF1952" w:rsidRDefault="00413511" w:rsidP="00EF1952">
      <w:pPr>
        <w:pStyle w:val="Nagwek3"/>
      </w:pPr>
      <w:bookmarkStart w:id="1218" w:name="_Toc428677174"/>
      <w:bookmarkStart w:id="1219" w:name="_Toc235080362"/>
      <w:r w:rsidRPr="00EF1952">
        <w:t xml:space="preserve">2. </w:t>
      </w:r>
      <w:r w:rsidR="00A95FEE" w:rsidRPr="00EF1952">
        <w:t>WYROBY BUDOWLANE</w:t>
      </w:r>
      <w:bookmarkEnd w:id="1218"/>
      <w:bookmarkEnd w:id="1219"/>
    </w:p>
    <w:p w:rsidR="00413511" w:rsidRPr="00A8518B" w:rsidRDefault="00413511" w:rsidP="00413511">
      <w:pPr>
        <w:pStyle w:val="Nagwek4"/>
        <w:tabs>
          <w:tab w:val="left" w:pos="9914"/>
        </w:tabs>
        <w:rPr>
          <w:rFonts w:asciiTheme="minorHAnsi" w:hAnsiTheme="minorHAnsi" w:cs="Calibri"/>
        </w:rPr>
      </w:pPr>
      <w:bookmarkStart w:id="1220" w:name="_Toc235080363"/>
      <w:r w:rsidRPr="00A8518B">
        <w:rPr>
          <w:rFonts w:asciiTheme="minorHAnsi" w:hAnsiTheme="minorHAnsi" w:cs="Calibri"/>
        </w:rPr>
        <w:t>2.1. Ogólne wymagania dotyczące materiałów</w:t>
      </w:r>
      <w:bookmarkEnd w:id="1220"/>
    </w:p>
    <w:p w:rsidR="00413511" w:rsidRPr="00A8518B" w:rsidRDefault="00413511" w:rsidP="00413511">
      <w:pPr>
        <w:spacing w:before="120"/>
        <w:rPr>
          <w:rFonts w:asciiTheme="minorHAnsi" w:hAnsiTheme="minorHAnsi" w:cs="Calibri"/>
        </w:rPr>
      </w:pPr>
      <w:r w:rsidRPr="00A8518B">
        <w:rPr>
          <w:rFonts w:asciiTheme="minorHAnsi" w:hAnsiTheme="minorHAnsi" w:cs="Calibri"/>
        </w:rPr>
        <w:t xml:space="preserve">Ogólne wymagania dotyczące materiałów, ich pozyskiwania i składowania, podano w  </w:t>
      </w:r>
      <w:r w:rsidR="005B48CA">
        <w:rPr>
          <w:rFonts w:asciiTheme="minorHAnsi" w:hAnsiTheme="minorHAnsi" w:cs="Calibri"/>
        </w:rPr>
        <w:t>STWiORB</w:t>
      </w:r>
      <w:r w:rsidRPr="00A8518B">
        <w:rPr>
          <w:rFonts w:asciiTheme="minorHAnsi" w:hAnsiTheme="minorHAnsi" w:cs="Calibri"/>
        </w:rPr>
        <w:t xml:space="preserve"> D-M-00.00.00 „Wymagania ogólne” pkt 2.</w:t>
      </w:r>
    </w:p>
    <w:p w:rsidR="00413511" w:rsidRPr="00A8518B" w:rsidRDefault="00413511" w:rsidP="00413511">
      <w:pPr>
        <w:pStyle w:val="Nagwek4"/>
        <w:tabs>
          <w:tab w:val="left" w:pos="9914"/>
        </w:tabs>
        <w:rPr>
          <w:rFonts w:asciiTheme="minorHAnsi" w:hAnsiTheme="minorHAnsi" w:cs="Calibri"/>
        </w:rPr>
      </w:pPr>
      <w:bookmarkStart w:id="1221" w:name="_Toc235080364"/>
      <w:r w:rsidRPr="00A8518B">
        <w:rPr>
          <w:rFonts w:asciiTheme="minorHAnsi" w:hAnsiTheme="minorHAnsi" w:cs="Calibri"/>
        </w:rPr>
        <w:t>2.2. Ziemia urodzajna</w:t>
      </w:r>
      <w:bookmarkEnd w:id="1221"/>
    </w:p>
    <w:p w:rsidR="00413511" w:rsidRPr="00A8518B" w:rsidRDefault="00413511" w:rsidP="00413511">
      <w:pPr>
        <w:rPr>
          <w:rFonts w:asciiTheme="minorHAnsi" w:hAnsiTheme="minorHAnsi" w:cs="Calibri"/>
        </w:rPr>
      </w:pPr>
      <w:r w:rsidRPr="00A8518B">
        <w:rPr>
          <w:rFonts w:asciiTheme="minorHAnsi" w:hAnsiTheme="minorHAnsi" w:cs="Calibri"/>
        </w:rPr>
        <w:t>Ziemia urodzajna, w zależności od miejsca pozyskania, powinna posiadać następujące charakterystyki:</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ziemia rodzima - powinna być zdjęta przed rozpoczęciem robót budowlanych i zmagazynowana w pryzmach nie przekraczających 2 m wysokości,</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ziemia pozyskana w innym miejscu i dostarczona na plac budowy - nie może być zagruzowana, przerośnięta korzeniami, zasolona lub zanieczyszczona chemicznie.</w:t>
      </w:r>
    </w:p>
    <w:p w:rsidR="00413511" w:rsidRPr="00A8518B" w:rsidRDefault="00413511" w:rsidP="00413511">
      <w:pPr>
        <w:pStyle w:val="Nagwek4"/>
        <w:tabs>
          <w:tab w:val="left" w:pos="9914"/>
        </w:tabs>
        <w:rPr>
          <w:rFonts w:asciiTheme="minorHAnsi" w:hAnsiTheme="minorHAnsi" w:cs="Calibri"/>
        </w:rPr>
      </w:pPr>
      <w:bookmarkStart w:id="1222" w:name="_Toc235080365"/>
      <w:r w:rsidRPr="00A8518B">
        <w:rPr>
          <w:rFonts w:asciiTheme="minorHAnsi" w:hAnsiTheme="minorHAnsi" w:cs="Calibri"/>
        </w:rPr>
        <w:t>2.3. Ziemia kompostowa</w:t>
      </w:r>
      <w:bookmarkEnd w:id="1222"/>
    </w:p>
    <w:p w:rsidR="00413511" w:rsidRPr="00A8518B" w:rsidRDefault="00413511" w:rsidP="00413511">
      <w:pPr>
        <w:rPr>
          <w:rFonts w:asciiTheme="minorHAnsi" w:hAnsiTheme="minorHAnsi" w:cs="Calibri"/>
        </w:rPr>
      </w:pPr>
      <w:r w:rsidRPr="00A8518B">
        <w:rPr>
          <w:rFonts w:asciiTheme="minorHAnsi" w:hAnsiTheme="minorHAnsi" w:cs="Calibri"/>
        </w:rPr>
        <w:t xml:space="preserve">Do nawożenia gleby mogą być stosowane komposty, powstające w wyniku rozkładu różnych odpadków roślinnych i zwierzęcych (np. torfu, fekaliów, kory drzewnej, chwastów, plewów), przy kompostowaniu ich na otwartym </w:t>
      </w:r>
      <w:r w:rsidRPr="00A8518B">
        <w:rPr>
          <w:rFonts w:asciiTheme="minorHAnsi" w:hAnsiTheme="minorHAnsi" w:cs="Calibri"/>
        </w:rPr>
        <w:lastRenderedPageBreak/>
        <w:t>powietrzu w pryzmach, w sposób i w warunkach zapewniających utrzymanie wymaganych cech i wskaźników jakości kompostu.</w:t>
      </w:r>
    </w:p>
    <w:p w:rsidR="00413511" w:rsidRPr="00A8518B" w:rsidRDefault="00413511" w:rsidP="00413511">
      <w:pPr>
        <w:pStyle w:val="Nagwek4"/>
        <w:tabs>
          <w:tab w:val="left" w:pos="9914"/>
        </w:tabs>
        <w:rPr>
          <w:rFonts w:asciiTheme="minorHAnsi" w:hAnsiTheme="minorHAnsi" w:cs="Calibri"/>
        </w:rPr>
      </w:pPr>
      <w:bookmarkStart w:id="1223" w:name="_Toc235080367"/>
      <w:r w:rsidRPr="00A8518B">
        <w:rPr>
          <w:rFonts w:asciiTheme="minorHAnsi" w:hAnsiTheme="minorHAnsi" w:cs="Calibri"/>
        </w:rPr>
        <w:t>2.4. Nasiona traw</w:t>
      </w:r>
      <w:bookmarkEnd w:id="1223"/>
    </w:p>
    <w:p w:rsidR="00413511" w:rsidRPr="00A8518B" w:rsidRDefault="00413511" w:rsidP="00413511">
      <w:pPr>
        <w:rPr>
          <w:rFonts w:asciiTheme="minorHAnsi" w:hAnsiTheme="minorHAnsi" w:cs="Calibri"/>
        </w:rPr>
      </w:pPr>
      <w:r w:rsidRPr="00A8518B">
        <w:rPr>
          <w:rFonts w:asciiTheme="minorHAnsi" w:hAnsiTheme="minorHAnsi" w:cs="Calibri"/>
        </w:rPr>
        <w:t>Nasiona traw najczęściej występują w postaci gotowych mieszanek z nasion różnych gatunków.</w:t>
      </w:r>
    </w:p>
    <w:p w:rsidR="00413511" w:rsidRPr="00A8518B" w:rsidRDefault="00413511" w:rsidP="00413511">
      <w:pPr>
        <w:rPr>
          <w:rFonts w:asciiTheme="minorHAnsi" w:hAnsiTheme="minorHAnsi" w:cs="Calibri"/>
        </w:rPr>
      </w:pPr>
      <w:r w:rsidRPr="00A8518B">
        <w:rPr>
          <w:rFonts w:asciiTheme="minorHAnsi" w:hAnsiTheme="minorHAnsi" w:cs="Calibri"/>
        </w:rPr>
        <w:t>Gotowa mieszanka traw powinna mieć oznaczony procentowy skład gatunkowy, klasę, numer normy wg której została wyprodukowana, zdolność kiełkowania.</w:t>
      </w:r>
    </w:p>
    <w:p w:rsidR="00413511" w:rsidRPr="00A8518B" w:rsidRDefault="00413511" w:rsidP="00413511">
      <w:pPr>
        <w:pStyle w:val="Nagwek4"/>
        <w:tabs>
          <w:tab w:val="left" w:pos="9914"/>
        </w:tabs>
        <w:rPr>
          <w:rFonts w:asciiTheme="minorHAnsi" w:hAnsiTheme="minorHAnsi" w:cs="Calibri"/>
        </w:rPr>
      </w:pPr>
      <w:bookmarkStart w:id="1224" w:name="_Toc235080368"/>
      <w:r w:rsidRPr="00A8518B">
        <w:rPr>
          <w:rFonts w:asciiTheme="minorHAnsi" w:hAnsiTheme="minorHAnsi" w:cs="Calibri"/>
        </w:rPr>
        <w:t>2.5. Nawozy mineralne</w:t>
      </w:r>
      <w:bookmarkEnd w:id="1224"/>
    </w:p>
    <w:p w:rsidR="00413511" w:rsidRPr="00A8518B" w:rsidRDefault="00413511" w:rsidP="00413511">
      <w:pPr>
        <w:rPr>
          <w:rFonts w:asciiTheme="minorHAnsi" w:hAnsiTheme="minorHAnsi" w:cs="Calibri"/>
        </w:rPr>
      </w:pPr>
      <w:r w:rsidRPr="00A8518B">
        <w:rPr>
          <w:rFonts w:asciiTheme="minorHAnsi" w:hAnsiTheme="minorHAnsi" w:cs="Calibri"/>
        </w:rPr>
        <w:t>Nawozy mineralne powinny być w opakowaniu, z podanym składem chemicznym (zawartość azotu, fosforu, potasu - N.P.). Nawozy należy zabezpieczyć przed zawilgoceniem i zbryleniem w czasie transportu i przechowywania.</w:t>
      </w:r>
    </w:p>
    <w:p w:rsidR="00413511" w:rsidRPr="00A8518B" w:rsidRDefault="00413511" w:rsidP="00413511">
      <w:pPr>
        <w:rPr>
          <w:rFonts w:asciiTheme="minorHAnsi" w:hAnsiTheme="minorHAnsi" w:cs="Calibri"/>
        </w:rPr>
      </w:pPr>
    </w:p>
    <w:p w:rsidR="00413511" w:rsidRPr="00A8518B" w:rsidRDefault="00413511" w:rsidP="00413511">
      <w:pPr>
        <w:pStyle w:val="Nagwek4"/>
        <w:tabs>
          <w:tab w:val="left" w:pos="9914"/>
        </w:tabs>
        <w:rPr>
          <w:rFonts w:asciiTheme="minorHAnsi" w:hAnsiTheme="minorHAnsi" w:cs="Calibri"/>
        </w:rPr>
      </w:pPr>
      <w:r w:rsidRPr="00A8518B">
        <w:rPr>
          <w:rFonts w:asciiTheme="minorHAnsi" w:hAnsiTheme="minorHAnsi" w:cs="Calibri"/>
        </w:rPr>
        <w:t xml:space="preserve">2.6. </w:t>
      </w:r>
      <w:r w:rsidR="00A07C50">
        <w:rPr>
          <w:rFonts w:asciiTheme="minorHAnsi" w:hAnsiTheme="minorHAnsi" w:cs="Calibri"/>
        </w:rPr>
        <w:t>Trawa z rolki</w:t>
      </w:r>
    </w:p>
    <w:p w:rsidR="00413511" w:rsidRPr="00A8518B" w:rsidRDefault="00A07C50" w:rsidP="00413511">
      <w:pPr>
        <w:rPr>
          <w:rFonts w:asciiTheme="minorHAnsi" w:hAnsiTheme="minorHAnsi"/>
        </w:rPr>
      </w:pPr>
      <w:r>
        <w:rPr>
          <w:rFonts w:asciiTheme="minorHAnsi" w:hAnsiTheme="minorHAnsi"/>
        </w:rPr>
        <w:t>Trawa z rolki</w:t>
      </w:r>
      <w:r w:rsidR="00413511" w:rsidRPr="00A8518B">
        <w:rPr>
          <w:rFonts w:asciiTheme="minorHAnsi" w:hAnsiTheme="minorHAnsi"/>
        </w:rPr>
        <w:t xml:space="preserve"> powinn</w:t>
      </w:r>
      <w:r>
        <w:rPr>
          <w:rFonts w:asciiTheme="minorHAnsi" w:hAnsiTheme="minorHAnsi"/>
        </w:rPr>
        <w:t>a</w:t>
      </w:r>
      <w:r w:rsidR="00413511" w:rsidRPr="00A8518B">
        <w:rPr>
          <w:rFonts w:asciiTheme="minorHAnsi" w:hAnsiTheme="minorHAnsi"/>
        </w:rPr>
        <w:t xml:space="preserve"> być kupione w licencjonowanych punktach szkółkarskich, zdrow</w:t>
      </w:r>
      <w:r>
        <w:rPr>
          <w:rFonts w:asciiTheme="minorHAnsi" w:hAnsiTheme="minorHAnsi"/>
        </w:rPr>
        <w:t>a</w:t>
      </w:r>
      <w:r w:rsidR="00413511" w:rsidRPr="00A8518B">
        <w:rPr>
          <w:rFonts w:asciiTheme="minorHAnsi" w:hAnsiTheme="minorHAnsi"/>
        </w:rPr>
        <w:t>, nie porażon</w:t>
      </w:r>
      <w:r>
        <w:rPr>
          <w:rFonts w:asciiTheme="minorHAnsi" w:hAnsiTheme="minorHAnsi"/>
        </w:rPr>
        <w:t>a</w:t>
      </w:r>
      <w:r w:rsidR="00413511" w:rsidRPr="00A8518B">
        <w:rPr>
          <w:rFonts w:asciiTheme="minorHAnsi" w:hAnsiTheme="minorHAnsi"/>
        </w:rPr>
        <w:t xml:space="preserve"> chorobami ani szkodnikami, z dobrze rozwiniętą częścią</w:t>
      </w:r>
      <w:r>
        <w:rPr>
          <w:rFonts w:asciiTheme="minorHAnsi" w:hAnsiTheme="minorHAnsi"/>
        </w:rPr>
        <w:t xml:space="preserve"> naziemną oraz bryłą korzeniową, bez braków i zażółknięć.</w:t>
      </w:r>
    </w:p>
    <w:p w:rsidR="00413511" w:rsidRPr="00A8518B" w:rsidRDefault="00413511" w:rsidP="00413511">
      <w:pPr>
        <w:rPr>
          <w:rFonts w:asciiTheme="minorHAnsi" w:hAnsiTheme="minorHAnsi" w:cs="Calibri"/>
        </w:rPr>
      </w:pPr>
    </w:p>
    <w:p w:rsidR="00413511" w:rsidRPr="00EF1952" w:rsidRDefault="00413511" w:rsidP="00EF1952">
      <w:pPr>
        <w:pStyle w:val="Nagwek3"/>
      </w:pPr>
      <w:bookmarkStart w:id="1225" w:name="_Toc428677175"/>
      <w:bookmarkStart w:id="1226" w:name="_Toc235080369"/>
      <w:r w:rsidRPr="00EF1952">
        <w:t>3. sprzęt</w:t>
      </w:r>
      <w:bookmarkEnd w:id="1225"/>
      <w:bookmarkEnd w:id="1226"/>
    </w:p>
    <w:p w:rsidR="00413511" w:rsidRPr="00A8518B" w:rsidRDefault="00413511" w:rsidP="00413511">
      <w:pPr>
        <w:pStyle w:val="Nagwek4"/>
        <w:tabs>
          <w:tab w:val="left" w:pos="9914"/>
        </w:tabs>
        <w:rPr>
          <w:rFonts w:asciiTheme="minorHAnsi" w:hAnsiTheme="minorHAnsi" w:cs="Calibri"/>
        </w:rPr>
      </w:pPr>
      <w:bookmarkStart w:id="1227" w:name="_Toc235080370"/>
      <w:r w:rsidRPr="00A8518B">
        <w:rPr>
          <w:rFonts w:asciiTheme="minorHAnsi" w:hAnsiTheme="minorHAnsi" w:cs="Calibri"/>
        </w:rPr>
        <w:t>3.1. Ogólne wymagania dotyczące sprzętu</w:t>
      </w:r>
      <w:bookmarkEnd w:id="1227"/>
    </w:p>
    <w:p w:rsidR="00413511" w:rsidRPr="00A8518B" w:rsidRDefault="00413511" w:rsidP="00413511">
      <w:pPr>
        <w:rPr>
          <w:rFonts w:asciiTheme="minorHAnsi" w:hAnsiTheme="minorHAnsi" w:cs="Calibri"/>
        </w:rPr>
      </w:pPr>
      <w:r w:rsidRPr="00A8518B">
        <w:rPr>
          <w:rFonts w:asciiTheme="minorHAnsi" w:hAnsiTheme="minorHAnsi" w:cs="Calibri"/>
        </w:rPr>
        <w:t xml:space="preserve">Ogólne wymagania dotyczące sprzętu podano w </w:t>
      </w:r>
      <w:r w:rsidR="005B48CA">
        <w:rPr>
          <w:rFonts w:asciiTheme="minorHAnsi" w:hAnsiTheme="minorHAnsi" w:cs="Calibri"/>
        </w:rPr>
        <w:t>STWiORB</w:t>
      </w:r>
      <w:r w:rsidRPr="00A8518B">
        <w:rPr>
          <w:rFonts w:asciiTheme="minorHAnsi" w:hAnsiTheme="minorHAnsi" w:cs="Calibri"/>
        </w:rPr>
        <w:t xml:space="preserve"> D-M-00.00.00 „Wymagania ogólne” pkt 3.</w:t>
      </w:r>
    </w:p>
    <w:p w:rsidR="00413511" w:rsidRPr="00A8518B" w:rsidRDefault="00413511" w:rsidP="00413511">
      <w:pPr>
        <w:pStyle w:val="Nagwek4"/>
        <w:tabs>
          <w:tab w:val="left" w:pos="9914"/>
        </w:tabs>
        <w:rPr>
          <w:rFonts w:asciiTheme="minorHAnsi" w:hAnsiTheme="minorHAnsi" w:cs="Calibri"/>
        </w:rPr>
      </w:pPr>
      <w:bookmarkStart w:id="1228" w:name="_Toc235080371"/>
      <w:r w:rsidRPr="00A8518B">
        <w:rPr>
          <w:rFonts w:asciiTheme="minorHAnsi" w:hAnsiTheme="minorHAnsi" w:cs="Calibri"/>
        </w:rPr>
        <w:t>3.2. Sprzęt stosowany do wykonania zieleni drogowej</w:t>
      </w:r>
      <w:bookmarkEnd w:id="1228"/>
    </w:p>
    <w:p w:rsidR="00413511" w:rsidRPr="00A8518B" w:rsidRDefault="00413511" w:rsidP="00413511">
      <w:pPr>
        <w:rPr>
          <w:rFonts w:asciiTheme="minorHAnsi" w:hAnsiTheme="minorHAnsi" w:cs="Calibri"/>
        </w:rPr>
      </w:pPr>
      <w:r w:rsidRPr="00A8518B">
        <w:rPr>
          <w:rFonts w:asciiTheme="minorHAnsi" w:hAnsiTheme="minorHAnsi" w:cs="Calibri"/>
        </w:rPr>
        <w:t>Wykonawca przystępujący do wykonania zieleni drogowej powinien wykazać się możliwością korzystania z następującego sprzętu:</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glebogryzarek, pługów, kultywatorów, bron do uprawy gleby,</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wału kolczatki oraz wału gładkiego do zakładania trawników,</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kosiarki mechanicznej do pielęgnacji trawników,</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sprzętu do pozyskiwania ziemi urodzajnej (np. spycharki gąsiennicowej, koparki),</w:t>
      </w:r>
    </w:p>
    <w:p w:rsidR="00413511" w:rsidRPr="00EF1952" w:rsidRDefault="00413511" w:rsidP="00EF1952">
      <w:pPr>
        <w:pStyle w:val="Nagwek3"/>
      </w:pPr>
      <w:r w:rsidRPr="00EF1952">
        <w:t xml:space="preserve">4. </w:t>
      </w:r>
      <w:bookmarkStart w:id="1229" w:name="_Toc428677176"/>
      <w:bookmarkStart w:id="1230" w:name="_Toc235080372"/>
      <w:r w:rsidRPr="00EF1952">
        <w:t>transport</w:t>
      </w:r>
      <w:bookmarkStart w:id="1231" w:name="_Toc235080374"/>
      <w:bookmarkEnd w:id="1229"/>
      <w:bookmarkEnd w:id="1230"/>
    </w:p>
    <w:p w:rsidR="00413511" w:rsidRPr="00A8518B" w:rsidRDefault="00413511" w:rsidP="00413511">
      <w:pPr>
        <w:pStyle w:val="Nagwek3"/>
        <w:tabs>
          <w:tab w:val="left" w:pos="9914"/>
        </w:tabs>
        <w:rPr>
          <w:rFonts w:asciiTheme="minorHAnsi" w:hAnsiTheme="minorHAnsi" w:cs="Calibri"/>
          <w:b w:val="0"/>
          <w:bCs w:val="0"/>
          <w:caps w:val="0"/>
        </w:rPr>
      </w:pPr>
      <w:r w:rsidRPr="00A8518B">
        <w:rPr>
          <w:rFonts w:asciiTheme="minorHAnsi" w:hAnsiTheme="minorHAnsi" w:cs="Calibri"/>
          <w:b w:val="0"/>
          <w:bCs w:val="0"/>
          <w:caps w:val="0"/>
        </w:rPr>
        <w:t xml:space="preserve">Ogólne wymagania dotyczące transportu podano w </w:t>
      </w:r>
      <w:r w:rsidR="005B48CA">
        <w:rPr>
          <w:rFonts w:asciiTheme="minorHAnsi" w:hAnsiTheme="minorHAnsi" w:cs="Calibri"/>
          <w:b w:val="0"/>
          <w:bCs w:val="0"/>
          <w:caps w:val="0"/>
        </w:rPr>
        <w:t>STWiORB</w:t>
      </w:r>
      <w:r w:rsidRPr="00A8518B">
        <w:rPr>
          <w:rFonts w:asciiTheme="minorHAnsi" w:hAnsiTheme="minorHAnsi" w:cs="Calibri"/>
          <w:b w:val="0"/>
          <w:bCs w:val="0"/>
          <w:caps w:val="0"/>
        </w:rPr>
        <w:t xml:space="preserve"> D-M-00.00.00 „Wymagania ogólne” pkt 4.</w:t>
      </w:r>
      <w:bookmarkEnd w:id="1231"/>
    </w:p>
    <w:p w:rsidR="00413511" w:rsidRPr="00EF1952" w:rsidRDefault="00413511" w:rsidP="00EF1952">
      <w:pPr>
        <w:pStyle w:val="Nagwek3"/>
      </w:pPr>
      <w:bookmarkStart w:id="1232" w:name="_Toc428677177"/>
      <w:bookmarkStart w:id="1233" w:name="_Toc235080377"/>
      <w:r w:rsidRPr="00EF1952">
        <w:t>5. wykonanie robót</w:t>
      </w:r>
      <w:bookmarkEnd w:id="1232"/>
      <w:bookmarkEnd w:id="1233"/>
    </w:p>
    <w:p w:rsidR="00413511" w:rsidRPr="00A8518B" w:rsidRDefault="00413511" w:rsidP="00413511">
      <w:pPr>
        <w:pStyle w:val="Nagwek4"/>
        <w:tabs>
          <w:tab w:val="left" w:pos="9914"/>
        </w:tabs>
        <w:rPr>
          <w:rFonts w:asciiTheme="minorHAnsi" w:hAnsiTheme="minorHAnsi" w:cs="Calibri"/>
        </w:rPr>
      </w:pPr>
      <w:bookmarkStart w:id="1234" w:name="_Toc235080378"/>
      <w:r w:rsidRPr="00A8518B">
        <w:rPr>
          <w:rFonts w:asciiTheme="minorHAnsi" w:hAnsiTheme="minorHAnsi" w:cs="Calibri"/>
        </w:rPr>
        <w:t>5.1. Ogólne zasady wykonania robót</w:t>
      </w:r>
      <w:bookmarkStart w:id="1235" w:name="_Toc235080379"/>
      <w:bookmarkEnd w:id="1234"/>
    </w:p>
    <w:p w:rsidR="00413511" w:rsidRPr="00A8518B" w:rsidRDefault="00413511" w:rsidP="00413511">
      <w:pPr>
        <w:pStyle w:val="Nagwek4"/>
        <w:tabs>
          <w:tab w:val="left" w:pos="9914"/>
        </w:tabs>
        <w:rPr>
          <w:rFonts w:asciiTheme="minorHAnsi" w:hAnsiTheme="minorHAnsi" w:cs="Calibri"/>
          <w:b w:val="0"/>
          <w:bCs w:val="0"/>
        </w:rPr>
      </w:pPr>
      <w:r w:rsidRPr="00A8518B">
        <w:rPr>
          <w:rFonts w:asciiTheme="minorHAnsi" w:hAnsiTheme="minorHAnsi" w:cs="Calibri"/>
          <w:b w:val="0"/>
          <w:bCs w:val="0"/>
        </w:rPr>
        <w:t xml:space="preserve">Ogólne zasady wykonania robót podano w </w:t>
      </w:r>
      <w:r w:rsidR="005B48CA">
        <w:rPr>
          <w:rFonts w:asciiTheme="minorHAnsi" w:hAnsiTheme="minorHAnsi" w:cs="Calibri"/>
          <w:b w:val="0"/>
          <w:bCs w:val="0"/>
        </w:rPr>
        <w:t>STWiORB</w:t>
      </w:r>
      <w:r w:rsidRPr="00A8518B">
        <w:rPr>
          <w:rFonts w:asciiTheme="minorHAnsi" w:hAnsiTheme="minorHAnsi" w:cs="Calibri"/>
          <w:b w:val="0"/>
          <w:bCs w:val="0"/>
        </w:rPr>
        <w:t xml:space="preserve"> D-M-00.00.00 „Wymagania ogólne” pkt 5.</w:t>
      </w:r>
      <w:bookmarkEnd w:id="1235"/>
    </w:p>
    <w:p w:rsidR="00413511" w:rsidRPr="00A8518B" w:rsidRDefault="00413511" w:rsidP="00413511">
      <w:pPr>
        <w:pStyle w:val="Nagwek4"/>
        <w:tabs>
          <w:tab w:val="left" w:pos="9914"/>
        </w:tabs>
        <w:rPr>
          <w:rFonts w:asciiTheme="minorHAnsi" w:hAnsiTheme="minorHAnsi" w:cs="Calibri"/>
        </w:rPr>
      </w:pPr>
      <w:bookmarkStart w:id="1236" w:name="_Toc235080380"/>
      <w:r w:rsidRPr="00A8518B">
        <w:rPr>
          <w:rFonts w:asciiTheme="minorHAnsi" w:hAnsiTheme="minorHAnsi" w:cs="Calibri"/>
        </w:rPr>
        <w:t>5.2. Trawniki</w:t>
      </w:r>
      <w:bookmarkEnd w:id="1236"/>
    </w:p>
    <w:p w:rsidR="00413511" w:rsidRPr="00A8518B" w:rsidRDefault="00413511" w:rsidP="00413511">
      <w:pPr>
        <w:rPr>
          <w:rFonts w:asciiTheme="minorHAnsi" w:hAnsiTheme="minorHAnsi" w:cs="Calibri"/>
          <w:b/>
          <w:bCs/>
          <w:i/>
          <w:iCs/>
        </w:rPr>
      </w:pPr>
      <w:r w:rsidRPr="00A8518B">
        <w:rPr>
          <w:rFonts w:asciiTheme="minorHAnsi" w:hAnsiTheme="minorHAnsi" w:cs="Calibri"/>
          <w:b/>
          <w:bCs/>
          <w:i/>
          <w:iCs/>
        </w:rPr>
        <w:t>5.2.1. Wymagania dotyczące wykonania trawników</w:t>
      </w:r>
    </w:p>
    <w:p w:rsidR="00413511" w:rsidRPr="00A8518B" w:rsidRDefault="00413511" w:rsidP="00413511">
      <w:pPr>
        <w:spacing w:before="120"/>
        <w:rPr>
          <w:rFonts w:asciiTheme="minorHAnsi" w:hAnsiTheme="minorHAnsi" w:cs="Calibri"/>
        </w:rPr>
      </w:pPr>
      <w:r w:rsidRPr="00A8518B">
        <w:rPr>
          <w:rFonts w:asciiTheme="minorHAnsi" w:hAnsiTheme="minorHAnsi" w:cs="Calibri"/>
        </w:rPr>
        <w:t>Wymagania dotyczące wykonania robót związanych z trawnikami są następujące:</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teren pod trawniki musi być oczyszczony z gruzu i zanieczyszczeń,</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przy wymianie gruntu rodzimego na ziemię urodzajną teren powinien być obniżony w stosunku do gazonów lub krawężników o ok. 15 cm - jest to miejsce na ziemię urodzajną (ok. 10 cm) i kompost (ok. 2 do 3 cm),</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przy zakładaniu trawników na gruncie rodzimym krawężnik powinien znajdować się 2 do 3 cm nad terenem,</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lastRenderedPageBreak/>
        <w:t>teren powinien być wyrównany i splantowany,</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ziemia urodzajna powinna być rozścielona równą warstwą i wymieszana z kompostem, nawozami mineralnymi oraz starannie wyrównana,</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 xml:space="preserve">przed </w:t>
      </w:r>
      <w:r w:rsidR="00A07C50">
        <w:rPr>
          <w:rFonts w:asciiTheme="minorHAnsi" w:hAnsiTheme="minorHAnsi" w:cs="Calibri"/>
        </w:rPr>
        <w:t>ułożeniem</w:t>
      </w:r>
      <w:r w:rsidRPr="00A8518B">
        <w:rPr>
          <w:rFonts w:asciiTheme="minorHAnsi" w:hAnsiTheme="minorHAnsi" w:cs="Calibri"/>
        </w:rPr>
        <w:t xml:space="preserve"> trawy </w:t>
      </w:r>
      <w:r w:rsidR="00A07C50">
        <w:rPr>
          <w:rFonts w:asciiTheme="minorHAnsi" w:hAnsiTheme="minorHAnsi" w:cs="Calibri"/>
        </w:rPr>
        <w:t xml:space="preserve">z rolki </w:t>
      </w:r>
      <w:r w:rsidRPr="00A8518B">
        <w:rPr>
          <w:rFonts w:asciiTheme="minorHAnsi" w:hAnsiTheme="minorHAnsi" w:cs="Calibri"/>
        </w:rPr>
        <w:t xml:space="preserve">ziemię należy wałować wałem gładkim, </w:t>
      </w:r>
    </w:p>
    <w:p w:rsidR="00413511" w:rsidRPr="00A8518B" w:rsidRDefault="00332D60" w:rsidP="00413511">
      <w:pPr>
        <w:numPr>
          <w:ilvl w:val="0"/>
          <w:numId w:val="1"/>
        </w:numPr>
        <w:rPr>
          <w:rFonts w:asciiTheme="minorHAnsi" w:hAnsiTheme="minorHAnsi" w:cs="Calibri"/>
        </w:rPr>
      </w:pPr>
      <w:r>
        <w:rPr>
          <w:rFonts w:asciiTheme="minorHAnsi" w:hAnsiTheme="minorHAnsi" w:cs="Calibri"/>
        </w:rPr>
        <w:t>Trawę z rolki układać pasami, tak aby szczelina pomiędzy pasami nie przekraczała 1 cm</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 xml:space="preserve">okres </w:t>
      </w:r>
      <w:r w:rsidR="00332D60">
        <w:rPr>
          <w:rFonts w:asciiTheme="minorHAnsi" w:hAnsiTheme="minorHAnsi" w:cs="Calibri"/>
        </w:rPr>
        <w:t>układania</w:t>
      </w:r>
      <w:r w:rsidRPr="00A8518B">
        <w:rPr>
          <w:rFonts w:asciiTheme="minorHAnsi" w:hAnsiTheme="minorHAnsi" w:cs="Calibri"/>
        </w:rPr>
        <w:t xml:space="preserve"> - najlepszy okres wiosenny, najpóźniej do połowy września,</w:t>
      </w:r>
    </w:p>
    <w:p w:rsidR="00413511" w:rsidRPr="00A8518B" w:rsidRDefault="00332D60" w:rsidP="00413511">
      <w:pPr>
        <w:numPr>
          <w:ilvl w:val="0"/>
          <w:numId w:val="1"/>
        </w:numPr>
        <w:rPr>
          <w:rFonts w:asciiTheme="minorHAnsi" w:hAnsiTheme="minorHAnsi" w:cs="Calibri"/>
        </w:rPr>
      </w:pPr>
      <w:r>
        <w:rPr>
          <w:rFonts w:asciiTheme="minorHAnsi" w:hAnsiTheme="minorHAnsi" w:cs="Calibri"/>
        </w:rPr>
        <w:t>po ułożeniu trawy z rolki wykonany trawnik należy intensywnie podlać. Uwaga – podlewania nie należy wykonywać w okresach intensywnego nasłonecznienia i wysokich temperatur – powyżej 25°C</w:t>
      </w:r>
    </w:p>
    <w:p w:rsidR="00413511" w:rsidRPr="00A8518B" w:rsidRDefault="00413511" w:rsidP="00413511">
      <w:pPr>
        <w:spacing w:before="120"/>
        <w:rPr>
          <w:rFonts w:asciiTheme="minorHAnsi" w:hAnsiTheme="minorHAnsi" w:cs="Calibri"/>
          <w:b/>
          <w:bCs/>
          <w:i/>
          <w:iCs/>
        </w:rPr>
      </w:pPr>
      <w:r w:rsidRPr="00A8518B">
        <w:rPr>
          <w:rFonts w:asciiTheme="minorHAnsi" w:hAnsiTheme="minorHAnsi" w:cs="Calibri"/>
          <w:b/>
          <w:bCs/>
          <w:i/>
          <w:iCs/>
        </w:rPr>
        <w:t>5.2.2. Pielęgnacja trawników</w:t>
      </w:r>
    </w:p>
    <w:p w:rsidR="00413511" w:rsidRPr="00A8518B" w:rsidRDefault="00413511" w:rsidP="00413511">
      <w:pPr>
        <w:spacing w:before="120"/>
        <w:rPr>
          <w:rFonts w:asciiTheme="minorHAnsi" w:hAnsiTheme="minorHAnsi" w:cs="Calibri"/>
        </w:rPr>
      </w:pPr>
      <w:r w:rsidRPr="00A8518B">
        <w:rPr>
          <w:rFonts w:asciiTheme="minorHAnsi" w:hAnsiTheme="minorHAnsi" w:cs="Calibri"/>
        </w:rPr>
        <w:t>Najważniejszym zabiegiem w pielęgnacji trawników jest koszenie:</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pierwsze koszenie powinno być przeprowadzone, gdy trawa osiągnie wysokość około  10 cm,</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następne koszenia powinny się odbywać w takich odstępach czasu, aby wysokość trawy przed kolejnym koszeniem nie przekraczała wysokości 10 do 12 cm,</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ostatnie, przedzimowe koszenie trawników powinno być wykonane z 1-miesięcznym wyprzedzeniem spodziewanego nastania mrozów (dla warunków klimatycznych Polski można przyjąć pierwszą połowę października),</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koszenia trawników w całym okresie pielęgnacji powinny się odbywać często i w regularnych odstępach czasu, przy czym częstość koszenia i wysokość cięcia, należy uzależniać od gatunku wysianej trawy,</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chwasty trwałe w pierwszym okresie należy usuwać ręcznie; środki chwastobójcze o selektywnym działaniu należy stosować z dużą ostrożnością i dopiero po okresie 6 miesięcy od założenia trawnika.</w:t>
      </w:r>
    </w:p>
    <w:p w:rsidR="00413511" w:rsidRPr="00A8518B" w:rsidRDefault="00413511" w:rsidP="00413511">
      <w:pPr>
        <w:rPr>
          <w:rFonts w:asciiTheme="minorHAnsi" w:hAnsiTheme="minorHAnsi" w:cs="Calibri"/>
        </w:rPr>
      </w:pPr>
      <w:r w:rsidRPr="00A8518B">
        <w:rPr>
          <w:rFonts w:asciiTheme="minorHAnsi" w:hAnsiTheme="minorHAnsi" w:cs="Calibri"/>
        </w:rPr>
        <w:t>Trawniki wymagają nawożenia mineralnego - około 3 kg NPK na 1 ar w ciągu roku. Mieszanki nawozów należy przygotowywać tak, aby trawom zapewnić składniki wymagane w poszczególnych porach roku:</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wiosną, trawnik wymaga mieszanki z przewagą azotu,</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od połowy lata należy ograniczyć azot, zwiększając dawki potasu i fosforu,</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ostatnie nawożenie nie powinno zawierać azotu, lecz tylko fosfor i potas.</w:t>
      </w:r>
    </w:p>
    <w:p w:rsidR="00413511" w:rsidRPr="00A8518B" w:rsidRDefault="00413511" w:rsidP="00413511">
      <w:pPr>
        <w:rPr>
          <w:rFonts w:asciiTheme="minorHAnsi" w:hAnsiTheme="minorHAnsi" w:cs="Calibri"/>
        </w:rPr>
      </w:pPr>
    </w:p>
    <w:p w:rsidR="00413511" w:rsidRPr="00A8518B" w:rsidRDefault="00413511" w:rsidP="00413511">
      <w:pPr>
        <w:rPr>
          <w:rFonts w:asciiTheme="minorHAnsi" w:hAnsiTheme="minorHAnsi" w:cs="Calibri"/>
          <w:b/>
        </w:rPr>
      </w:pPr>
      <w:r w:rsidRPr="00A8518B">
        <w:rPr>
          <w:rFonts w:asciiTheme="minorHAnsi" w:hAnsiTheme="minorHAnsi" w:cs="Calibri"/>
          <w:b/>
        </w:rPr>
        <w:t xml:space="preserve">5.3 Drzewa </w:t>
      </w:r>
    </w:p>
    <w:p w:rsidR="00413511" w:rsidRPr="00A8518B" w:rsidRDefault="00413511" w:rsidP="00413511">
      <w:pPr>
        <w:pStyle w:val="Akapitzlist"/>
        <w:tabs>
          <w:tab w:val="left" w:pos="709"/>
        </w:tabs>
        <w:autoSpaceDN/>
        <w:adjustRightInd/>
        <w:spacing w:before="100" w:beforeAutospacing="1" w:after="100" w:afterAutospacing="1"/>
        <w:ind w:left="426"/>
        <w:jc w:val="left"/>
        <w:rPr>
          <w:rFonts w:asciiTheme="minorHAnsi" w:hAnsiTheme="minorHAnsi"/>
        </w:rPr>
      </w:pPr>
      <w:r w:rsidRPr="00A8518B">
        <w:rPr>
          <w:rFonts w:asciiTheme="minorHAnsi" w:hAnsiTheme="minorHAnsi"/>
        </w:rPr>
        <w:t xml:space="preserve">Sadzonki drzew i krzewów wyhodowane w kontenerach można sadzić od 15 kwietnia do 15 października. Sadzonki z odsłoniętą bryłą korzeniową można sadzić wczesną wiosną do końca maja i jesienią w październiku. Drzewa z bryła korzeniową należy sadzić w doły 70x70 cm a bez bryły w doły 50x50cm w wyznaczonych miejscach. Krzewy z bryła korzeniową należy sadzić w doły 40 x40 cm a bez bryły w doły 30x30cm.  </w:t>
      </w:r>
    </w:p>
    <w:p w:rsidR="00413511" w:rsidRPr="00A8518B" w:rsidRDefault="00413511" w:rsidP="00413511">
      <w:pPr>
        <w:pStyle w:val="Akapitzlist"/>
        <w:tabs>
          <w:tab w:val="left" w:pos="709"/>
        </w:tabs>
        <w:autoSpaceDN/>
        <w:adjustRightInd/>
        <w:spacing w:before="100" w:beforeAutospacing="1" w:after="100" w:afterAutospacing="1"/>
        <w:ind w:left="426"/>
        <w:jc w:val="left"/>
        <w:rPr>
          <w:rFonts w:asciiTheme="minorHAnsi" w:hAnsiTheme="minorHAnsi"/>
        </w:rPr>
      </w:pPr>
      <w:r w:rsidRPr="00A8518B">
        <w:rPr>
          <w:rFonts w:asciiTheme="minorHAnsi" w:hAnsiTheme="minorHAnsi"/>
        </w:rPr>
        <w:t>Przy sadzeniu należy wykonać następujące czynności:</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Zadołowanie roślin.</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Wyznaczenie miejsc sadzenia.</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Wykopanie dołów.</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Posadzenie roślin z dowiezieniem oraz przycięcie koron i korzeni.</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Podlanie i wykonanie misek.</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Zaprawienie dołów ziemią urodzajną żyzną lub kompostową.</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Rozplantowanie lub złożenie na poboczu pozostałej ziemi.</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 xml:space="preserve">Doły powinny być zaprawione mieszanką torfu i ziemi ogrodniczej. Doły pod rośliny zimozielone należy zaprawić torfem o odczynie kwaśnym, a pod pozostałe liściaste torfem o odczynie obojętnym. </w:t>
      </w:r>
    </w:p>
    <w:p w:rsidR="00413511" w:rsidRPr="00A8518B" w:rsidRDefault="00413511" w:rsidP="00790883">
      <w:pPr>
        <w:pStyle w:val="Akapitzlist"/>
        <w:numPr>
          <w:ilvl w:val="0"/>
          <w:numId w:val="41"/>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rPr>
        <w:t>Wszystkie drzewa i krzewy o formie wertykalnej należy po posadzeniu opalikować, dwoma lub trzema palikami połączonymi taśmami parcianymi.</w:t>
      </w:r>
    </w:p>
    <w:p w:rsidR="00413511" w:rsidRPr="00A8518B" w:rsidRDefault="00413511" w:rsidP="00790883">
      <w:pPr>
        <w:pStyle w:val="Akapitzlist"/>
        <w:numPr>
          <w:ilvl w:val="0"/>
          <w:numId w:val="41"/>
        </w:numPr>
        <w:tabs>
          <w:tab w:val="left" w:pos="709"/>
          <w:tab w:val="left" w:pos="851"/>
        </w:tabs>
        <w:autoSpaceDN/>
        <w:adjustRightInd/>
        <w:spacing w:before="100" w:beforeAutospacing="1" w:after="100" w:afterAutospacing="1"/>
        <w:jc w:val="left"/>
        <w:rPr>
          <w:rFonts w:asciiTheme="minorHAnsi" w:hAnsiTheme="minorHAnsi"/>
        </w:rPr>
      </w:pPr>
      <w:r w:rsidRPr="00A8518B">
        <w:rPr>
          <w:rFonts w:asciiTheme="minorHAnsi" w:hAnsiTheme="minorHAnsi"/>
        </w:rPr>
        <w:t>Dla drzew najbardziej narażonych na zniszczenie należy wykonać osłony pni z prętów metalowych.</w:t>
      </w:r>
    </w:p>
    <w:p w:rsidR="00413511" w:rsidRPr="00A8518B" w:rsidRDefault="00413511" w:rsidP="00413511">
      <w:pPr>
        <w:rPr>
          <w:rFonts w:asciiTheme="minorHAnsi" w:hAnsiTheme="minorHAnsi" w:cs="Calibri"/>
        </w:rPr>
      </w:pPr>
    </w:p>
    <w:p w:rsidR="00413511" w:rsidRPr="00EF1952" w:rsidRDefault="00413511" w:rsidP="00EF1952">
      <w:pPr>
        <w:pStyle w:val="Nagwek3"/>
      </w:pPr>
      <w:bookmarkStart w:id="1237" w:name="_Toc428677178"/>
      <w:bookmarkStart w:id="1238" w:name="_Toc235080383"/>
      <w:r w:rsidRPr="00EF1952">
        <w:lastRenderedPageBreak/>
        <w:t>6. kontrola jakości robót</w:t>
      </w:r>
      <w:bookmarkEnd w:id="1237"/>
      <w:bookmarkEnd w:id="1238"/>
    </w:p>
    <w:p w:rsidR="00413511" w:rsidRPr="00A8518B" w:rsidRDefault="00413511" w:rsidP="00413511">
      <w:pPr>
        <w:pStyle w:val="Nagwek4"/>
        <w:tabs>
          <w:tab w:val="left" w:pos="9914"/>
        </w:tabs>
        <w:rPr>
          <w:rFonts w:asciiTheme="minorHAnsi" w:hAnsiTheme="minorHAnsi" w:cs="Calibri"/>
        </w:rPr>
      </w:pPr>
      <w:bookmarkStart w:id="1239" w:name="_Toc235080384"/>
      <w:r w:rsidRPr="00A8518B">
        <w:rPr>
          <w:rFonts w:asciiTheme="minorHAnsi" w:hAnsiTheme="minorHAnsi" w:cs="Calibri"/>
        </w:rPr>
        <w:t>6.1. Ogólne zasady kontroli jakości robót</w:t>
      </w:r>
      <w:bookmarkEnd w:id="1239"/>
    </w:p>
    <w:p w:rsidR="00413511" w:rsidRPr="00A8518B" w:rsidRDefault="00413511" w:rsidP="00413511">
      <w:pPr>
        <w:rPr>
          <w:rFonts w:asciiTheme="minorHAnsi" w:hAnsiTheme="minorHAnsi" w:cs="Calibri"/>
        </w:rPr>
      </w:pPr>
      <w:r w:rsidRPr="00A8518B">
        <w:rPr>
          <w:rFonts w:asciiTheme="minorHAnsi" w:hAnsiTheme="minorHAnsi" w:cs="Calibri"/>
        </w:rPr>
        <w:t xml:space="preserve">Ogólne zasady kontroli jakości robót podano w </w:t>
      </w:r>
      <w:r w:rsidR="005B48CA">
        <w:rPr>
          <w:rFonts w:asciiTheme="minorHAnsi" w:hAnsiTheme="minorHAnsi" w:cs="Calibri"/>
        </w:rPr>
        <w:t>STWiORB</w:t>
      </w:r>
      <w:r w:rsidRPr="00A8518B">
        <w:rPr>
          <w:rFonts w:asciiTheme="minorHAnsi" w:hAnsiTheme="minorHAnsi" w:cs="Calibri"/>
        </w:rPr>
        <w:t xml:space="preserve"> D-M-00.00.00 „Wymagania ogólne” pkt 6.</w:t>
      </w:r>
    </w:p>
    <w:p w:rsidR="00413511" w:rsidRPr="00A8518B" w:rsidRDefault="00413511" w:rsidP="00413511">
      <w:pPr>
        <w:pStyle w:val="Nagwek4"/>
        <w:tabs>
          <w:tab w:val="left" w:pos="9914"/>
        </w:tabs>
        <w:rPr>
          <w:rFonts w:asciiTheme="minorHAnsi" w:hAnsiTheme="minorHAnsi" w:cs="Calibri"/>
        </w:rPr>
      </w:pPr>
      <w:bookmarkStart w:id="1240" w:name="_Toc235080385"/>
      <w:r w:rsidRPr="00A8518B">
        <w:rPr>
          <w:rFonts w:asciiTheme="minorHAnsi" w:hAnsiTheme="minorHAnsi" w:cs="Calibri"/>
        </w:rPr>
        <w:t>6.2. Trawniki</w:t>
      </w:r>
      <w:bookmarkEnd w:id="1240"/>
    </w:p>
    <w:p w:rsidR="00413511" w:rsidRPr="00A8518B" w:rsidRDefault="00413511" w:rsidP="00413511">
      <w:pPr>
        <w:rPr>
          <w:rFonts w:asciiTheme="minorHAnsi" w:hAnsiTheme="minorHAnsi" w:cs="Calibri"/>
        </w:rPr>
      </w:pPr>
      <w:r w:rsidRPr="00A8518B">
        <w:rPr>
          <w:rFonts w:asciiTheme="minorHAnsi" w:hAnsiTheme="minorHAnsi" w:cs="Calibri"/>
        </w:rPr>
        <w:t>Kontrola w czasie wykonywania trawników polega na sprawdzeniu:</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oczyszczenia terenu z gruzu i zanieczyszczeń,</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określenia ilości zanieczyszczeń (w m</w:t>
      </w:r>
      <w:r w:rsidRPr="00A8518B">
        <w:rPr>
          <w:rFonts w:asciiTheme="minorHAnsi" w:hAnsiTheme="minorHAnsi" w:cs="Calibri"/>
          <w:vertAlign w:val="superscript"/>
        </w:rPr>
        <w:t>3</w:t>
      </w:r>
      <w:r w:rsidRPr="00A8518B">
        <w:rPr>
          <w:rFonts w:asciiTheme="minorHAnsi" w:hAnsiTheme="minorHAnsi" w:cs="Calibri"/>
        </w:rPr>
        <w:t>),</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pomiaru odległości wywozu zanieczyszczeń na zwałkę,</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wymiany gleby jałowej na ziemię urodzajną z kontrolą grubości warstwy rozścielonej ziemi,</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ilości rozrzuconego kompostu,</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prawidłowego uwałowania terenu,</w:t>
      </w:r>
    </w:p>
    <w:p w:rsidR="00413511" w:rsidRPr="00A8518B" w:rsidRDefault="00332D60" w:rsidP="00413511">
      <w:pPr>
        <w:numPr>
          <w:ilvl w:val="0"/>
          <w:numId w:val="1"/>
        </w:numPr>
        <w:rPr>
          <w:rFonts w:asciiTheme="minorHAnsi" w:hAnsiTheme="minorHAnsi" w:cs="Calibri"/>
        </w:rPr>
      </w:pPr>
      <w:r>
        <w:rPr>
          <w:rFonts w:asciiTheme="minorHAnsi" w:hAnsiTheme="minorHAnsi" w:cs="Calibri"/>
        </w:rPr>
        <w:t>właściwego ułożenia rolek</w:t>
      </w:r>
      <w:r w:rsidR="00413511" w:rsidRPr="00A8518B">
        <w:rPr>
          <w:rFonts w:asciiTheme="minorHAnsi" w:hAnsiTheme="minorHAnsi" w:cs="Calibri"/>
        </w:rPr>
        <w:t>,</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prawidłowej częstotliwości koszenia trawników i ich odchwaszczania,</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okresów podlewania, zwłaszcza podczas suszy,</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dosiewania płaszczyzn trawników o zbyt małej gęstości wykiełkowanych zdziebeł trawy.</w:t>
      </w:r>
    </w:p>
    <w:p w:rsidR="00413511" w:rsidRPr="00A8518B" w:rsidRDefault="00413511" w:rsidP="00413511">
      <w:pPr>
        <w:rPr>
          <w:rFonts w:asciiTheme="minorHAnsi" w:hAnsiTheme="minorHAnsi" w:cs="Calibri"/>
        </w:rPr>
      </w:pPr>
      <w:r w:rsidRPr="00A8518B">
        <w:rPr>
          <w:rFonts w:asciiTheme="minorHAnsi" w:hAnsiTheme="minorHAnsi" w:cs="Calibri"/>
        </w:rPr>
        <w:t>Kontrola robót przy odbiorze trawników dotyczy:</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prawidłowej gęstości trawy (trawniki bez tzw. „łysin”),</w:t>
      </w:r>
    </w:p>
    <w:p w:rsidR="00413511" w:rsidRPr="00A8518B" w:rsidRDefault="00413511" w:rsidP="00413511">
      <w:pPr>
        <w:numPr>
          <w:ilvl w:val="0"/>
          <w:numId w:val="1"/>
        </w:numPr>
        <w:rPr>
          <w:rFonts w:asciiTheme="minorHAnsi" w:hAnsiTheme="minorHAnsi" w:cs="Calibri"/>
        </w:rPr>
      </w:pPr>
      <w:r w:rsidRPr="00A8518B">
        <w:rPr>
          <w:rFonts w:asciiTheme="minorHAnsi" w:hAnsiTheme="minorHAnsi" w:cs="Calibri"/>
        </w:rPr>
        <w:t>obecności gatunków niewysiewanych oraz chwastów.</w:t>
      </w:r>
    </w:p>
    <w:p w:rsidR="00413511" w:rsidRPr="00A8518B" w:rsidRDefault="00413511" w:rsidP="00332D60">
      <w:pPr>
        <w:ind w:left="720"/>
        <w:rPr>
          <w:rFonts w:asciiTheme="minorHAnsi" w:hAnsiTheme="minorHAnsi" w:cs="Calibri"/>
        </w:rPr>
      </w:pPr>
    </w:p>
    <w:p w:rsidR="00413511" w:rsidRPr="00A8518B" w:rsidRDefault="00413511" w:rsidP="00790883">
      <w:pPr>
        <w:pStyle w:val="Akapitzlist"/>
        <w:numPr>
          <w:ilvl w:val="1"/>
          <w:numId w:val="42"/>
        </w:numPr>
        <w:tabs>
          <w:tab w:val="left" w:pos="709"/>
        </w:tabs>
        <w:autoSpaceDN/>
        <w:adjustRightInd/>
        <w:spacing w:before="100" w:beforeAutospacing="1" w:after="100" w:afterAutospacing="1"/>
        <w:jc w:val="left"/>
        <w:rPr>
          <w:rFonts w:asciiTheme="minorHAnsi" w:hAnsiTheme="minorHAnsi"/>
        </w:rPr>
      </w:pPr>
      <w:r w:rsidRPr="00A8518B">
        <w:rPr>
          <w:rFonts w:asciiTheme="minorHAnsi" w:hAnsiTheme="minorHAnsi"/>
          <w:b/>
        </w:rPr>
        <w:t xml:space="preserve">Drzewa </w:t>
      </w:r>
      <w:r w:rsidRPr="00A8518B">
        <w:rPr>
          <w:rFonts w:asciiTheme="minorHAnsi" w:hAnsiTheme="minorHAnsi"/>
        </w:rPr>
        <w:br/>
      </w:r>
      <w:r w:rsidRPr="00A8518B">
        <w:rPr>
          <w:rFonts w:asciiTheme="minorHAnsi" w:hAnsiTheme="minorHAnsi"/>
          <w:b/>
          <w:i/>
        </w:rPr>
        <w:t>Kontrola jakości materiałów</w:t>
      </w:r>
      <w:r w:rsidRPr="00A8518B">
        <w:rPr>
          <w:rFonts w:asciiTheme="minorHAnsi" w:hAnsiTheme="minorHAnsi"/>
        </w:rPr>
        <w:br/>
        <w:t xml:space="preserve">Wszystkie </w:t>
      </w:r>
      <w:r w:rsidR="00A95FEE">
        <w:rPr>
          <w:rFonts w:asciiTheme="minorHAnsi" w:hAnsiTheme="minorHAnsi"/>
        </w:rPr>
        <w:t>wyroby budowlane</w:t>
      </w:r>
      <w:r w:rsidRPr="00A8518B">
        <w:rPr>
          <w:rFonts w:asciiTheme="minorHAnsi" w:hAnsiTheme="minorHAnsi"/>
        </w:rPr>
        <w:t xml:space="preserve"> do wykonania robót muszą odpowiadać wymaganiom Dokumentacji Projektowej i Specyfikacji technicznej oraz muszą posiadać wymagane przepisami dopuszczenia do obrotu oraz uzyskać akceptację Zamawiającego. Sadzonki projektowanych roślin powinny być kupione w licencjonowanych punktach szkółkarskich, zdrowe, nie porażone chorobami ani szkodnikami, z dobrze rozwiniętą częścią naziemną oraz bryłą korzeniową. Proponuje się sadzenie około drzew  wysokości min. 2m.</w:t>
      </w:r>
      <w:bookmarkStart w:id="1241" w:name="_Toc276372434"/>
    </w:p>
    <w:p w:rsidR="00413511" w:rsidRPr="00A8518B" w:rsidRDefault="00413511" w:rsidP="00413511">
      <w:pPr>
        <w:pStyle w:val="Akapitzlist"/>
        <w:tabs>
          <w:tab w:val="left" w:pos="709"/>
        </w:tabs>
        <w:autoSpaceDN/>
        <w:adjustRightInd/>
        <w:spacing w:before="100" w:beforeAutospacing="1" w:after="100" w:afterAutospacing="1"/>
        <w:ind w:left="360"/>
        <w:jc w:val="left"/>
        <w:rPr>
          <w:rFonts w:asciiTheme="minorHAnsi" w:hAnsiTheme="minorHAnsi"/>
        </w:rPr>
      </w:pPr>
      <w:r w:rsidRPr="00A8518B">
        <w:rPr>
          <w:rFonts w:asciiTheme="minorHAnsi" w:hAnsiTheme="minorHAnsi"/>
          <w:b/>
          <w:i/>
        </w:rPr>
        <w:t>Kontrola jakości wykonania robót</w:t>
      </w:r>
      <w:bookmarkEnd w:id="1241"/>
      <w:r w:rsidRPr="00A8518B">
        <w:rPr>
          <w:rFonts w:asciiTheme="minorHAnsi" w:hAnsiTheme="minorHAnsi"/>
          <w:b/>
          <w:i/>
        </w:rPr>
        <w:br/>
      </w:r>
      <w:r w:rsidRPr="00A8518B">
        <w:rPr>
          <w:rFonts w:asciiTheme="minorHAnsi" w:hAnsiTheme="minorHAnsi"/>
        </w:rPr>
        <w:t xml:space="preserve">Kontrola jakości wykonania robót polega na zgodności ich wykonania z Dokumentacja Projektową, Specyfikacją Techniczną i poleceniami upoważnionego przedstawiciela Zamawiającego. W szczególności kontroli podlegać będzie to, czy poszczególne drzewa zostały posadzone we właściwym miejscu zgodnym z Dokumentacją Projektową. </w:t>
      </w:r>
    </w:p>
    <w:p w:rsidR="00413511" w:rsidRPr="00A8518B" w:rsidRDefault="00413511" w:rsidP="00413511">
      <w:pPr>
        <w:rPr>
          <w:rFonts w:asciiTheme="minorHAnsi" w:hAnsiTheme="minorHAnsi" w:cs="Calibri"/>
        </w:rPr>
      </w:pPr>
    </w:p>
    <w:p w:rsidR="00413511" w:rsidRPr="00EF1952" w:rsidRDefault="00413511" w:rsidP="00EF1952">
      <w:pPr>
        <w:pStyle w:val="Nagwek3"/>
      </w:pPr>
      <w:bookmarkStart w:id="1242" w:name="_Toc428677179"/>
      <w:bookmarkStart w:id="1243" w:name="_Toc235080388"/>
      <w:r w:rsidRPr="00EF1952">
        <w:t>7. OBMIAR ROBÓT</w:t>
      </w:r>
      <w:bookmarkEnd w:id="1242"/>
      <w:bookmarkEnd w:id="1243"/>
    </w:p>
    <w:p w:rsidR="00332D60" w:rsidRPr="00203191" w:rsidRDefault="00332D60" w:rsidP="00332D60">
      <w:pPr>
        <w:pStyle w:val="Nagwek4"/>
        <w:tabs>
          <w:tab w:val="left" w:pos="9914"/>
        </w:tabs>
        <w:rPr>
          <w:rFonts w:asciiTheme="minorHAnsi" w:hAnsiTheme="minorHAnsi"/>
        </w:rPr>
      </w:pPr>
      <w:bookmarkStart w:id="1244" w:name="_Toc235080389"/>
      <w:r w:rsidRPr="00203191">
        <w:rPr>
          <w:rFonts w:asciiTheme="minorHAnsi" w:hAnsiTheme="minorHAnsi"/>
        </w:rPr>
        <w:t>7.1. Ogólne zasady obmiaru robót</w:t>
      </w:r>
      <w:bookmarkEnd w:id="1244"/>
    </w:p>
    <w:p w:rsidR="00332D60" w:rsidRPr="00203191" w:rsidRDefault="00332D60" w:rsidP="00332D60">
      <w:pPr>
        <w:rPr>
          <w:rFonts w:asciiTheme="minorHAnsi" w:hAnsiTheme="minorHAnsi"/>
        </w:rPr>
      </w:pPr>
      <w:r w:rsidRPr="00203191">
        <w:rPr>
          <w:rFonts w:asciiTheme="minorHAnsi" w:hAnsiTheme="minorHAnsi"/>
        </w:rPr>
        <w:t>Ogólne zasady obmiaru robót podano w SSTWiORB D-M-00.00.00 „Wymagania ogólne” pkt 7.</w:t>
      </w:r>
    </w:p>
    <w:p w:rsidR="00332D60" w:rsidRPr="00203191" w:rsidRDefault="00332D60" w:rsidP="00332D60">
      <w:pPr>
        <w:pStyle w:val="Nagwek4"/>
        <w:tabs>
          <w:tab w:val="left" w:pos="9914"/>
        </w:tabs>
        <w:rPr>
          <w:rFonts w:asciiTheme="minorHAnsi" w:hAnsiTheme="minorHAnsi"/>
        </w:rPr>
      </w:pPr>
      <w:bookmarkStart w:id="1245" w:name="_Toc235080390"/>
      <w:r w:rsidRPr="00203191">
        <w:rPr>
          <w:rFonts w:asciiTheme="minorHAnsi" w:hAnsiTheme="minorHAnsi"/>
        </w:rPr>
        <w:t>7.2. Jednostka obmiarowa</w:t>
      </w:r>
      <w:bookmarkEnd w:id="1245"/>
    </w:p>
    <w:p w:rsidR="00332D60" w:rsidRPr="00203191" w:rsidRDefault="00332D60" w:rsidP="00332D60">
      <w:pPr>
        <w:rPr>
          <w:rFonts w:asciiTheme="minorHAnsi" w:hAnsiTheme="minorHAnsi"/>
        </w:rPr>
      </w:pPr>
      <w:r w:rsidRPr="00203191">
        <w:rPr>
          <w:rFonts w:asciiTheme="minorHAnsi" w:hAnsiTheme="minorHAnsi"/>
        </w:rPr>
        <w:t>Jednostką obmiarową jest:</w:t>
      </w:r>
    </w:p>
    <w:p w:rsidR="00332D60" w:rsidRDefault="00332D60" w:rsidP="00332D60">
      <w:pPr>
        <w:numPr>
          <w:ilvl w:val="0"/>
          <w:numId w:val="38"/>
        </w:numPr>
        <w:rPr>
          <w:rFonts w:asciiTheme="minorHAnsi" w:hAnsiTheme="minorHAnsi"/>
        </w:rPr>
      </w:pPr>
      <w:r w:rsidRPr="00203191">
        <w:rPr>
          <w:rFonts w:asciiTheme="minorHAnsi" w:hAnsiTheme="minorHAnsi"/>
        </w:rPr>
        <w:t>m</w:t>
      </w:r>
      <w:r w:rsidRPr="00203191">
        <w:rPr>
          <w:rFonts w:asciiTheme="minorHAnsi" w:hAnsiTheme="minorHAnsi"/>
          <w:vertAlign w:val="superscript"/>
        </w:rPr>
        <w:t>2</w:t>
      </w:r>
      <w:r w:rsidRPr="00203191">
        <w:rPr>
          <w:rFonts w:asciiTheme="minorHAnsi" w:hAnsiTheme="minorHAnsi"/>
        </w:rPr>
        <w:t xml:space="preserve"> (metr k</w:t>
      </w:r>
      <w:r>
        <w:rPr>
          <w:rFonts w:asciiTheme="minorHAnsi" w:hAnsiTheme="minorHAnsi"/>
        </w:rPr>
        <w:t>wadratowy) wykonania: trawników</w:t>
      </w:r>
      <w:r w:rsidRPr="00203191">
        <w:rPr>
          <w:rFonts w:asciiTheme="minorHAnsi" w:hAnsiTheme="minorHAnsi"/>
        </w:rPr>
        <w:t>,</w:t>
      </w:r>
    </w:p>
    <w:p w:rsidR="00332D60" w:rsidRPr="00203191" w:rsidRDefault="00332D60" w:rsidP="00332D60">
      <w:pPr>
        <w:numPr>
          <w:ilvl w:val="0"/>
          <w:numId w:val="38"/>
        </w:numPr>
        <w:rPr>
          <w:rFonts w:asciiTheme="minorHAnsi" w:hAnsiTheme="minorHAnsi"/>
        </w:rPr>
      </w:pPr>
      <w:r>
        <w:rPr>
          <w:rFonts w:asciiTheme="minorHAnsi" w:hAnsiTheme="minorHAnsi"/>
        </w:rPr>
        <w:t>szt (sztuka) dla nasadzeń dzrew i krzewów</w:t>
      </w:r>
    </w:p>
    <w:p w:rsidR="00413511" w:rsidRPr="00EF1952" w:rsidRDefault="00413511" w:rsidP="00EF1952">
      <w:pPr>
        <w:pStyle w:val="Nagwek3"/>
      </w:pPr>
      <w:bookmarkStart w:id="1246" w:name="_Toc428677180"/>
      <w:bookmarkStart w:id="1247" w:name="_Toc235080391"/>
      <w:r w:rsidRPr="00EF1952">
        <w:t>8. ODBIÓR ROBÓT</w:t>
      </w:r>
      <w:bookmarkEnd w:id="1246"/>
      <w:bookmarkEnd w:id="1247"/>
    </w:p>
    <w:p w:rsidR="00413511" w:rsidRPr="00A8518B" w:rsidRDefault="00413511" w:rsidP="00413511">
      <w:pPr>
        <w:rPr>
          <w:rFonts w:asciiTheme="minorHAnsi" w:hAnsiTheme="minorHAnsi" w:cs="Calibri"/>
        </w:rPr>
      </w:pPr>
      <w:r w:rsidRPr="00A8518B">
        <w:rPr>
          <w:rFonts w:asciiTheme="minorHAnsi" w:hAnsiTheme="minorHAnsi" w:cs="Calibri"/>
        </w:rPr>
        <w:t xml:space="preserve">Ogólne zasady odbioru robót podano w </w:t>
      </w:r>
      <w:r w:rsidR="005B48CA">
        <w:rPr>
          <w:rFonts w:asciiTheme="minorHAnsi" w:hAnsiTheme="minorHAnsi" w:cs="Calibri"/>
        </w:rPr>
        <w:t>STWiORB</w:t>
      </w:r>
      <w:r w:rsidRPr="00A8518B">
        <w:rPr>
          <w:rFonts w:asciiTheme="minorHAnsi" w:hAnsiTheme="minorHAnsi" w:cs="Calibri"/>
        </w:rPr>
        <w:t xml:space="preserve"> D-M-00.00.00 „Wymagania ogólne” pkt 8.</w:t>
      </w:r>
    </w:p>
    <w:p w:rsidR="00413511" w:rsidRPr="00A8518B" w:rsidRDefault="00413511" w:rsidP="00413511">
      <w:pPr>
        <w:rPr>
          <w:rFonts w:asciiTheme="minorHAnsi" w:hAnsiTheme="minorHAnsi" w:cs="Calibri"/>
        </w:rPr>
      </w:pPr>
      <w:r w:rsidRPr="00A8518B">
        <w:rPr>
          <w:rFonts w:asciiTheme="minorHAnsi" w:hAnsiTheme="minorHAnsi" w:cs="Calibri"/>
        </w:rPr>
        <w:lastRenderedPageBreak/>
        <w:t xml:space="preserve">Roboty uznaje się za wykonane zgodnie z dokumentacją projektową, </w:t>
      </w:r>
      <w:r w:rsidR="005B48CA">
        <w:rPr>
          <w:rFonts w:asciiTheme="minorHAnsi" w:hAnsiTheme="minorHAnsi" w:cs="Calibri"/>
        </w:rPr>
        <w:t>STWiORB</w:t>
      </w:r>
      <w:r w:rsidRPr="00A8518B">
        <w:rPr>
          <w:rFonts w:asciiTheme="minorHAnsi" w:hAnsiTheme="minorHAnsi" w:cs="Calibri"/>
        </w:rPr>
        <w:t xml:space="preserve"> i wymaganiami Inżyniera, jeżeli wszystkie pomiary i badania z zachowaniem tolerancji wg pkt 6 dały wyniki pozytywne.</w:t>
      </w:r>
    </w:p>
    <w:p w:rsidR="00413511" w:rsidRPr="00EF1952" w:rsidRDefault="00413511" w:rsidP="00EF1952">
      <w:pPr>
        <w:pStyle w:val="Nagwek3"/>
      </w:pPr>
      <w:bookmarkStart w:id="1248" w:name="_Toc428677181"/>
      <w:bookmarkStart w:id="1249" w:name="_Toc235080392"/>
      <w:r w:rsidRPr="00EF1952">
        <w:t>9. PODSTAWA PŁATNOŚCI</w:t>
      </w:r>
      <w:bookmarkEnd w:id="1248"/>
      <w:bookmarkEnd w:id="1249"/>
    </w:p>
    <w:p w:rsidR="00332D60" w:rsidRPr="00203191" w:rsidRDefault="00332D60" w:rsidP="00332D60">
      <w:pPr>
        <w:pStyle w:val="Nagwek4"/>
        <w:tabs>
          <w:tab w:val="left" w:pos="9914"/>
        </w:tabs>
        <w:rPr>
          <w:rFonts w:asciiTheme="minorHAnsi" w:hAnsiTheme="minorHAnsi"/>
        </w:rPr>
      </w:pPr>
      <w:bookmarkStart w:id="1250" w:name="_Toc235080393"/>
      <w:r w:rsidRPr="00203191">
        <w:rPr>
          <w:rFonts w:asciiTheme="minorHAnsi" w:hAnsiTheme="minorHAnsi"/>
        </w:rPr>
        <w:t>9.1. Ogólne ustalenia dotyczące podstawy płatności</w:t>
      </w:r>
      <w:bookmarkEnd w:id="1250"/>
    </w:p>
    <w:p w:rsidR="00332D60" w:rsidRPr="00203191" w:rsidRDefault="00332D60" w:rsidP="00332D60">
      <w:pPr>
        <w:rPr>
          <w:rFonts w:asciiTheme="minorHAnsi" w:hAnsiTheme="minorHAnsi"/>
        </w:rPr>
      </w:pPr>
      <w:r w:rsidRPr="00203191">
        <w:rPr>
          <w:rFonts w:asciiTheme="minorHAnsi" w:hAnsiTheme="minorHAnsi"/>
        </w:rPr>
        <w:t>Ogólne ustalenia dotyczące podstawy płatności podano w SSTWiORB D-M-00.00.00 „Wymagania ogólne” pkt 9.</w:t>
      </w:r>
    </w:p>
    <w:p w:rsidR="00332D60" w:rsidRPr="00203191" w:rsidRDefault="00332D60" w:rsidP="00332D60">
      <w:pPr>
        <w:pStyle w:val="Nagwek4"/>
        <w:tabs>
          <w:tab w:val="left" w:pos="9914"/>
        </w:tabs>
        <w:rPr>
          <w:rFonts w:asciiTheme="minorHAnsi" w:hAnsiTheme="minorHAnsi"/>
        </w:rPr>
      </w:pPr>
      <w:bookmarkStart w:id="1251" w:name="_Toc235080394"/>
      <w:r w:rsidRPr="00203191">
        <w:rPr>
          <w:rFonts w:asciiTheme="minorHAnsi" w:hAnsiTheme="minorHAnsi"/>
        </w:rPr>
        <w:t>9.2. Cena jednostki obmiarowej</w:t>
      </w:r>
      <w:bookmarkEnd w:id="1251"/>
    </w:p>
    <w:p w:rsidR="00332D60" w:rsidRPr="00203191" w:rsidRDefault="00332D60" w:rsidP="00332D60">
      <w:pPr>
        <w:rPr>
          <w:rFonts w:asciiTheme="minorHAnsi" w:hAnsiTheme="minorHAnsi"/>
        </w:rPr>
      </w:pPr>
      <w:r w:rsidRPr="00203191">
        <w:rPr>
          <w:rFonts w:asciiTheme="minorHAnsi" w:hAnsiTheme="minorHAnsi"/>
        </w:rPr>
        <w:t>Cena wykonania 1 m</w:t>
      </w:r>
      <w:r w:rsidRPr="00203191">
        <w:rPr>
          <w:rFonts w:asciiTheme="minorHAnsi" w:hAnsiTheme="minorHAnsi"/>
          <w:vertAlign w:val="superscript"/>
        </w:rPr>
        <w:t>2</w:t>
      </w:r>
      <w:r w:rsidRPr="00203191">
        <w:rPr>
          <w:rFonts w:asciiTheme="minorHAnsi" w:hAnsiTheme="minorHAnsi"/>
        </w:rPr>
        <w:t xml:space="preserve"> trawnika obejmuje:</w:t>
      </w:r>
    </w:p>
    <w:p w:rsidR="00332D60" w:rsidRPr="00203191" w:rsidRDefault="00332D60" w:rsidP="00332D60">
      <w:pPr>
        <w:numPr>
          <w:ilvl w:val="0"/>
          <w:numId w:val="38"/>
        </w:numPr>
        <w:rPr>
          <w:rFonts w:asciiTheme="minorHAnsi" w:hAnsiTheme="minorHAnsi"/>
        </w:rPr>
      </w:pPr>
      <w:r w:rsidRPr="00203191">
        <w:rPr>
          <w:rFonts w:asciiTheme="minorHAnsi" w:hAnsiTheme="minorHAnsi"/>
        </w:rPr>
        <w:t>roboty przygotowawcze: oczyszczenie terenu, dowóz ziemi urodzajnej, rozścielenie ziemi urodzajnej, rozrzucenie kompostu,</w:t>
      </w:r>
    </w:p>
    <w:p w:rsidR="00332D60" w:rsidRPr="00203191" w:rsidRDefault="00332D60" w:rsidP="00332D60">
      <w:pPr>
        <w:numPr>
          <w:ilvl w:val="0"/>
          <w:numId w:val="38"/>
        </w:numPr>
        <w:rPr>
          <w:rFonts w:asciiTheme="minorHAnsi" w:hAnsiTheme="minorHAnsi"/>
        </w:rPr>
      </w:pPr>
      <w:r w:rsidRPr="00203191">
        <w:rPr>
          <w:rFonts w:asciiTheme="minorHAnsi" w:hAnsiTheme="minorHAnsi"/>
        </w:rPr>
        <w:t>zakładanie trawników,</w:t>
      </w:r>
    </w:p>
    <w:p w:rsidR="00332D60" w:rsidRDefault="00332D60" w:rsidP="00332D60">
      <w:pPr>
        <w:numPr>
          <w:ilvl w:val="0"/>
          <w:numId w:val="38"/>
        </w:numPr>
        <w:rPr>
          <w:rFonts w:asciiTheme="minorHAnsi" w:hAnsiTheme="minorHAnsi"/>
        </w:rPr>
      </w:pPr>
      <w:r w:rsidRPr="00203191">
        <w:rPr>
          <w:rFonts w:asciiTheme="minorHAnsi" w:hAnsiTheme="minorHAnsi"/>
        </w:rPr>
        <w:t>pielęgnację trawników: podlewanie, koszenie, nawożenie, odchwaszczanie.</w:t>
      </w:r>
    </w:p>
    <w:p w:rsidR="00332D60" w:rsidRDefault="00332D60" w:rsidP="00332D60">
      <w:pPr>
        <w:rPr>
          <w:rFonts w:asciiTheme="minorHAnsi" w:hAnsiTheme="minorHAnsi"/>
        </w:rPr>
      </w:pPr>
      <w:r>
        <w:rPr>
          <w:rFonts w:asciiTheme="minorHAnsi" w:hAnsiTheme="minorHAnsi"/>
        </w:rPr>
        <w:t>Cena wykonania 1 szt drzewa lub krzewu obejmuje:</w:t>
      </w:r>
    </w:p>
    <w:p w:rsidR="00332D60" w:rsidRDefault="00332D60" w:rsidP="00790883">
      <w:pPr>
        <w:pStyle w:val="Akapitzlist"/>
        <w:numPr>
          <w:ilvl w:val="0"/>
          <w:numId w:val="82"/>
        </w:numPr>
        <w:rPr>
          <w:rFonts w:asciiTheme="minorHAnsi" w:hAnsiTheme="minorHAnsi"/>
        </w:rPr>
      </w:pPr>
      <w:r>
        <w:rPr>
          <w:rFonts w:asciiTheme="minorHAnsi" w:hAnsiTheme="minorHAnsi"/>
        </w:rPr>
        <w:t>roboty przygotowawcze</w:t>
      </w:r>
    </w:p>
    <w:p w:rsidR="00332D60" w:rsidRDefault="00332D60" w:rsidP="00790883">
      <w:pPr>
        <w:pStyle w:val="Akapitzlist"/>
        <w:numPr>
          <w:ilvl w:val="0"/>
          <w:numId w:val="82"/>
        </w:numPr>
        <w:rPr>
          <w:rFonts w:asciiTheme="minorHAnsi" w:hAnsiTheme="minorHAnsi"/>
        </w:rPr>
      </w:pPr>
      <w:r>
        <w:rPr>
          <w:rFonts w:asciiTheme="minorHAnsi" w:hAnsiTheme="minorHAnsi"/>
        </w:rPr>
        <w:t>wykopanie dołka pod roślinę wraz z jego zaprawieniem</w:t>
      </w:r>
    </w:p>
    <w:p w:rsidR="00332D60" w:rsidRDefault="00332D60" w:rsidP="00790883">
      <w:pPr>
        <w:pStyle w:val="Akapitzlist"/>
        <w:numPr>
          <w:ilvl w:val="0"/>
          <w:numId w:val="82"/>
        </w:numPr>
        <w:rPr>
          <w:rFonts w:asciiTheme="minorHAnsi" w:hAnsiTheme="minorHAnsi"/>
        </w:rPr>
      </w:pPr>
      <w:r>
        <w:rPr>
          <w:rFonts w:asciiTheme="minorHAnsi" w:hAnsiTheme="minorHAnsi"/>
        </w:rPr>
        <w:t>zakup roślin</w:t>
      </w:r>
    </w:p>
    <w:p w:rsidR="00332D60" w:rsidRDefault="00332D60" w:rsidP="00790883">
      <w:pPr>
        <w:pStyle w:val="Akapitzlist"/>
        <w:numPr>
          <w:ilvl w:val="0"/>
          <w:numId w:val="82"/>
        </w:numPr>
        <w:rPr>
          <w:rFonts w:asciiTheme="minorHAnsi" w:hAnsiTheme="minorHAnsi"/>
        </w:rPr>
      </w:pPr>
      <w:r>
        <w:rPr>
          <w:rFonts w:asciiTheme="minorHAnsi" w:hAnsiTheme="minorHAnsi"/>
        </w:rPr>
        <w:t>sadzenie roślin</w:t>
      </w:r>
    </w:p>
    <w:p w:rsidR="00332D60" w:rsidRDefault="00332D60" w:rsidP="00790883">
      <w:pPr>
        <w:pStyle w:val="Akapitzlist"/>
        <w:numPr>
          <w:ilvl w:val="0"/>
          <w:numId w:val="82"/>
        </w:numPr>
        <w:rPr>
          <w:rFonts w:asciiTheme="minorHAnsi" w:hAnsiTheme="minorHAnsi"/>
        </w:rPr>
      </w:pPr>
      <w:r>
        <w:rPr>
          <w:rFonts w:asciiTheme="minorHAnsi" w:hAnsiTheme="minorHAnsi"/>
        </w:rPr>
        <w:t>wykonanie palików podtrzymujących</w:t>
      </w:r>
    </w:p>
    <w:p w:rsidR="00332D60" w:rsidRPr="00332D60" w:rsidRDefault="00332D60" w:rsidP="00790883">
      <w:pPr>
        <w:pStyle w:val="Akapitzlist"/>
        <w:numPr>
          <w:ilvl w:val="0"/>
          <w:numId w:val="82"/>
        </w:numPr>
        <w:rPr>
          <w:rFonts w:asciiTheme="minorHAnsi" w:hAnsiTheme="minorHAnsi"/>
        </w:rPr>
      </w:pPr>
      <w:r>
        <w:rPr>
          <w:rFonts w:asciiTheme="minorHAnsi" w:hAnsiTheme="minorHAnsi"/>
        </w:rPr>
        <w:t>pielęgnację roślin w okresie gwarancyjnym</w:t>
      </w:r>
    </w:p>
    <w:p w:rsidR="00413511" w:rsidRPr="00EF1952" w:rsidRDefault="00413511" w:rsidP="00EF1952">
      <w:pPr>
        <w:pStyle w:val="Nagwek3"/>
      </w:pPr>
      <w:bookmarkStart w:id="1252" w:name="_Toc428677182"/>
      <w:bookmarkStart w:id="1253" w:name="_Toc235080395"/>
      <w:r w:rsidRPr="00EF1952">
        <w:t>10. przepisy związane</w:t>
      </w:r>
      <w:bookmarkEnd w:id="1252"/>
      <w:bookmarkEnd w:id="1253"/>
    </w:p>
    <w:tbl>
      <w:tblPr>
        <w:tblW w:w="9790" w:type="dxa"/>
        <w:tblInd w:w="2" w:type="dxa"/>
        <w:tblLayout w:type="fixed"/>
        <w:tblCellMar>
          <w:left w:w="70" w:type="dxa"/>
          <w:right w:w="70" w:type="dxa"/>
        </w:tblCellMar>
        <w:tblLook w:val="0000"/>
      </w:tblPr>
      <w:tblGrid>
        <w:gridCol w:w="496"/>
        <w:gridCol w:w="1701"/>
        <w:gridCol w:w="7593"/>
      </w:tblGrid>
      <w:tr w:rsidR="00413511" w:rsidRPr="00A8518B" w:rsidTr="00413511">
        <w:tc>
          <w:tcPr>
            <w:tcW w:w="496" w:type="dxa"/>
          </w:tcPr>
          <w:p w:rsidR="00413511" w:rsidRPr="00A8518B" w:rsidRDefault="00413511" w:rsidP="00413511">
            <w:pPr>
              <w:rPr>
                <w:rFonts w:asciiTheme="minorHAnsi" w:hAnsiTheme="minorHAnsi" w:cs="Calibri"/>
              </w:rPr>
            </w:pPr>
            <w:r w:rsidRPr="00A8518B">
              <w:rPr>
                <w:rFonts w:asciiTheme="minorHAnsi" w:hAnsiTheme="minorHAnsi" w:cs="Calibri"/>
              </w:rPr>
              <w:t>1.</w:t>
            </w:r>
          </w:p>
        </w:tc>
        <w:tc>
          <w:tcPr>
            <w:tcW w:w="1701" w:type="dxa"/>
          </w:tcPr>
          <w:p w:rsidR="00413511" w:rsidRPr="00A8518B" w:rsidRDefault="00413511" w:rsidP="00413511">
            <w:pPr>
              <w:rPr>
                <w:rFonts w:asciiTheme="minorHAnsi" w:hAnsiTheme="minorHAnsi" w:cs="Calibri"/>
              </w:rPr>
            </w:pPr>
            <w:r w:rsidRPr="00A8518B">
              <w:rPr>
                <w:rFonts w:asciiTheme="minorHAnsi" w:hAnsiTheme="minorHAnsi" w:cs="Calibri"/>
              </w:rPr>
              <w:t>PN-G-98011</w:t>
            </w:r>
          </w:p>
        </w:tc>
        <w:tc>
          <w:tcPr>
            <w:tcW w:w="7593" w:type="dxa"/>
          </w:tcPr>
          <w:p w:rsidR="00413511" w:rsidRPr="00A8518B" w:rsidRDefault="00413511" w:rsidP="00413511">
            <w:pPr>
              <w:rPr>
                <w:rFonts w:asciiTheme="minorHAnsi" w:hAnsiTheme="minorHAnsi" w:cs="Calibri"/>
              </w:rPr>
            </w:pPr>
            <w:r w:rsidRPr="00A8518B">
              <w:rPr>
                <w:rFonts w:asciiTheme="minorHAnsi" w:hAnsiTheme="minorHAnsi" w:cs="Calibri"/>
              </w:rPr>
              <w:t>Torf rolniczy.</w:t>
            </w:r>
          </w:p>
          <w:p w:rsidR="00413511" w:rsidRPr="00A8518B" w:rsidRDefault="00413511" w:rsidP="00413511">
            <w:pPr>
              <w:rPr>
                <w:rFonts w:asciiTheme="minorHAnsi" w:hAnsiTheme="minorHAnsi" w:cs="Calibri"/>
              </w:rPr>
            </w:pPr>
          </w:p>
        </w:tc>
      </w:tr>
      <w:tr w:rsidR="00413511" w:rsidRPr="00A8518B" w:rsidTr="00413511">
        <w:tc>
          <w:tcPr>
            <w:tcW w:w="496" w:type="dxa"/>
          </w:tcPr>
          <w:p w:rsidR="00413511" w:rsidRPr="00A8518B" w:rsidRDefault="00413511" w:rsidP="00413511">
            <w:pPr>
              <w:rPr>
                <w:rFonts w:asciiTheme="minorHAnsi" w:hAnsiTheme="minorHAnsi" w:cs="Calibri"/>
              </w:rPr>
            </w:pPr>
            <w:r w:rsidRPr="00A8518B">
              <w:rPr>
                <w:rFonts w:asciiTheme="minorHAnsi" w:hAnsiTheme="minorHAnsi" w:cs="Calibri"/>
              </w:rPr>
              <w:t>2</w:t>
            </w:r>
          </w:p>
        </w:tc>
        <w:tc>
          <w:tcPr>
            <w:tcW w:w="1701" w:type="dxa"/>
          </w:tcPr>
          <w:p w:rsidR="00413511" w:rsidRPr="00A8518B" w:rsidRDefault="00413511" w:rsidP="00413511">
            <w:pPr>
              <w:rPr>
                <w:rFonts w:asciiTheme="minorHAnsi" w:hAnsiTheme="minorHAnsi" w:cs="Calibri"/>
              </w:rPr>
            </w:pPr>
          </w:p>
        </w:tc>
        <w:tc>
          <w:tcPr>
            <w:tcW w:w="7593" w:type="dxa"/>
          </w:tcPr>
          <w:p w:rsidR="00413511" w:rsidRPr="00A8518B" w:rsidRDefault="00413511" w:rsidP="00413511">
            <w:pPr>
              <w:rPr>
                <w:rFonts w:asciiTheme="minorHAnsi" w:hAnsiTheme="minorHAnsi" w:cs="Calibri"/>
              </w:rPr>
            </w:pPr>
            <w:r w:rsidRPr="00A8518B">
              <w:rPr>
                <w:rFonts w:asciiTheme="minorHAnsi" w:hAnsiTheme="minorHAnsi"/>
              </w:rPr>
              <w:t>Obwieszczenie Ministra Ochrony Środowiska, Zasobów Naturalnych i Leśnictwa z dnia 21 marca 1994 r. w sprawie ogłoszenia jednolitego tekstu ustawy o ochronie i kształtowaniu środowiska. (Dz.u.1994, NR 49 POZ. 196)</w:t>
            </w:r>
          </w:p>
        </w:tc>
      </w:tr>
    </w:tbl>
    <w:p w:rsidR="00413511" w:rsidRPr="00203191" w:rsidRDefault="0041351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656AC1" w:rsidRPr="00203191" w:rsidRDefault="00656AC1" w:rsidP="00364E4D">
      <w:pPr>
        <w:rPr>
          <w:rFonts w:ascii="Calibri" w:hAnsi="Calibri" w:cs="Calibri"/>
        </w:rPr>
      </w:pPr>
    </w:p>
    <w:p w:rsidR="00E30240" w:rsidRPr="00584330" w:rsidRDefault="00A95FEE" w:rsidP="00584330">
      <w:pPr>
        <w:pStyle w:val="Nagwek2"/>
      </w:pPr>
      <w:r w:rsidRPr="00584330">
        <w:lastRenderedPageBreak/>
        <w:t>SPECYFIKACJE TECHNICZNE</w:t>
      </w:r>
      <w:r w:rsidR="00E22F37" w:rsidRPr="00584330">
        <w:t xml:space="preserve"> WYKONANIA I ODBIORU ROBÓT BUDOWLANYCH</w:t>
      </w:r>
    </w:p>
    <w:p w:rsidR="00E30240" w:rsidRPr="00584330" w:rsidRDefault="00E30240" w:rsidP="00584330">
      <w:pPr>
        <w:pStyle w:val="Nagwek1"/>
      </w:pPr>
      <w:bookmarkStart w:id="1254" w:name="_Toc427178286"/>
      <w:bookmarkStart w:id="1255" w:name="_Toc459929680"/>
      <w:r w:rsidRPr="00584330">
        <w:t>D-08.05.03 ŚCIEKI   Z   KOSTKI   KAMIENNEJ</w:t>
      </w:r>
      <w:bookmarkEnd w:id="1254"/>
      <w:bookmarkEnd w:id="1255"/>
    </w:p>
    <w:p w:rsidR="00E30240" w:rsidRPr="00E30240" w:rsidRDefault="00E30240" w:rsidP="00E30240">
      <w:pPr>
        <w:rPr>
          <w:rFonts w:asciiTheme="minorHAnsi" w:hAnsiTheme="minorHAnsi" w:cs="TimesNewRomanPSMT"/>
          <w:color w:val="000000"/>
        </w:rPr>
      </w:pPr>
    </w:p>
    <w:p w:rsidR="00E30240" w:rsidRPr="00E30240" w:rsidRDefault="00E30240" w:rsidP="00EF1952">
      <w:pPr>
        <w:pStyle w:val="Nagwek3"/>
      </w:pPr>
      <w:r w:rsidRPr="00E30240">
        <w:t>1. Wstęp</w:t>
      </w:r>
    </w:p>
    <w:p w:rsidR="00E30240" w:rsidRPr="00E30240" w:rsidRDefault="00E30240" w:rsidP="00E30240">
      <w:pPr>
        <w:rPr>
          <w:rFonts w:asciiTheme="minorHAnsi" w:hAnsiTheme="minorHAnsi" w:cs="TimesNewRomanPSMT"/>
          <w:b/>
          <w:color w:val="000000"/>
        </w:rPr>
      </w:pPr>
    </w:p>
    <w:p w:rsidR="00E30240" w:rsidRPr="00E30240" w:rsidRDefault="00E30240" w:rsidP="00E30240">
      <w:pPr>
        <w:rPr>
          <w:rFonts w:asciiTheme="minorHAnsi" w:hAnsiTheme="minorHAnsi" w:cs="TimesNewRomanPS-BoldMT"/>
          <w:b/>
          <w:bCs/>
          <w:color w:val="000000"/>
        </w:rPr>
      </w:pPr>
      <w:r w:rsidRPr="00E30240">
        <w:rPr>
          <w:rFonts w:asciiTheme="minorHAnsi" w:hAnsiTheme="minorHAnsi" w:cs="TimesNewRomanPS-BoldMT"/>
          <w:b/>
          <w:bCs/>
          <w:color w:val="000000"/>
        </w:rPr>
        <w:t xml:space="preserve">1.1. Przedmiot </w:t>
      </w:r>
      <w:r w:rsidR="005B48CA">
        <w:rPr>
          <w:rFonts w:asciiTheme="minorHAnsi" w:hAnsiTheme="minorHAnsi" w:cs="TimesNewRomanPS-BoldMT"/>
          <w:b/>
          <w:bCs/>
          <w:color w:val="000000"/>
        </w:rPr>
        <w:t>STWiORB</w:t>
      </w:r>
    </w:p>
    <w:p w:rsidR="00E30240" w:rsidRPr="00E30240" w:rsidRDefault="00E30240" w:rsidP="00E30240">
      <w:pPr>
        <w:rPr>
          <w:rFonts w:asciiTheme="minorHAnsi" w:hAnsiTheme="minorHAnsi" w:cs="TimesNewRomanPS-BoldMT"/>
          <w:b/>
          <w:bCs/>
          <w:color w:val="000000"/>
        </w:rPr>
      </w:pPr>
    </w:p>
    <w:p w:rsidR="00E30240" w:rsidRPr="00E30240" w:rsidRDefault="00E30240" w:rsidP="00E30240">
      <w:pPr>
        <w:rPr>
          <w:rFonts w:asciiTheme="minorHAnsi" w:hAnsiTheme="minorHAnsi" w:cs="TimesNewRomanPSMT"/>
          <w:color w:val="000000"/>
        </w:rPr>
      </w:pPr>
      <w:r w:rsidRPr="00E30240">
        <w:rPr>
          <w:rFonts w:asciiTheme="minorHAnsi" w:hAnsiTheme="minorHAnsi" w:cs="TimesNewRomanPSMT"/>
          <w:color w:val="000000"/>
        </w:rPr>
        <w:t xml:space="preserve">Przedmiotem </w:t>
      </w:r>
      <w:r w:rsidR="00ED6D29">
        <w:rPr>
          <w:rFonts w:asciiTheme="minorHAnsi" w:hAnsiTheme="minorHAnsi" w:cs="TimesNewRomanPSMT"/>
          <w:color w:val="000000"/>
        </w:rPr>
        <w:t>niniejszej</w:t>
      </w:r>
      <w:r w:rsidR="009F2185">
        <w:rPr>
          <w:rFonts w:asciiTheme="minorHAnsi" w:hAnsiTheme="minorHAnsi" w:cs="TimesNewRomanPSMT"/>
          <w:color w:val="000000"/>
        </w:rPr>
        <w:t xml:space="preserve"> </w:t>
      </w:r>
      <w:r w:rsidR="00ED6D29">
        <w:rPr>
          <w:rFonts w:asciiTheme="minorHAnsi" w:hAnsiTheme="minorHAnsi" w:cs="TimesNewRomanPSMT"/>
          <w:color w:val="000000"/>
        </w:rPr>
        <w:t>specyfikacji</w:t>
      </w:r>
      <w:r w:rsidRPr="00E30240">
        <w:rPr>
          <w:rFonts w:asciiTheme="minorHAnsi" w:hAnsiTheme="minorHAnsi" w:cs="TimesNewRomanPSMT"/>
          <w:color w:val="000000"/>
        </w:rPr>
        <w:t xml:space="preserve"> są wymagania dotyczące wykonania i odbioru robót związanych z wykonaniem ścieków z kostki kamiennej.</w:t>
      </w:r>
    </w:p>
    <w:p w:rsidR="00E30240" w:rsidRPr="00E30240" w:rsidRDefault="00E30240" w:rsidP="00E30240">
      <w:pPr>
        <w:rPr>
          <w:rFonts w:asciiTheme="minorHAnsi" w:hAnsiTheme="minorHAnsi" w:cs="TimesNewRomanPSMT"/>
          <w:color w:val="000000"/>
        </w:rPr>
      </w:pPr>
    </w:p>
    <w:p w:rsidR="00E30240" w:rsidRPr="00E30240" w:rsidRDefault="00E30240" w:rsidP="00E30240">
      <w:pPr>
        <w:rPr>
          <w:rFonts w:asciiTheme="minorHAnsi" w:hAnsiTheme="minorHAnsi" w:cs="TimesNewRomanPS-BoldMT"/>
          <w:b/>
          <w:bCs/>
          <w:color w:val="000000"/>
        </w:rPr>
      </w:pPr>
      <w:r w:rsidRPr="00E30240">
        <w:rPr>
          <w:rFonts w:asciiTheme="minorHAnsi" w:hAnsiTheme="minorHAnsi" w:cs="TimesNewRomanPS-BoldMT"/>
          <w:b/>
          <w:bCs/>
          <w:color w:val="000000"/>
        </w:rPr>
        <w:t xml:space="preserve">1.2. Zakres stosowania </w:t>
      </w:r>
      <w:r w:rsidR="005B48CA">
        <w:rPr>
          <w:rFonts w:asciiTheme="minorHAnsi" w:hAnsiTheme="minorHAnsi" w:cs="TimesNewRomanPS-BoldMT"/>
          <w:b/>
          <w:bCs/>
          <w:color w:val="000000"/>
        </w:rPr>
        <w:t>STWiORB</w:t>
      </w:r>
    </w:p>
    <w:p w:rsidR="00E30240" w:rsidRPr="00E30240" w:rsidRDefault="00E30240" w:rsidP="00E30240">
      <w:pPr>
        <w:rPr>
          <w:rFonts w:asciiTheme="minorHAnsi" w:hAnsiTheme="minorHAnsi" w:cs="TimesNewRomanPS-BoldMT"/>
          <w:b/>
          <w:bCs/>
          <w:color w:val="000000"/>
        </w:rPr>
      </w:pPr>
    </w:p>
    <w:p w:rsidR="00E30240" w:rsidRPr="00E30240" w:rsidRDefault="00FE60E3" w:rsidP="00E30240">
      <w:pPr>
        <w:rPr>
          <w:rFonts w:asciiTheme="minorHAnsi" w:hAnsiTheme="minorHAnsi" w:cs="Calibri"/>
        </w:rPr>
      </w:pPr>
      <w:r>
        <w:rPr>
          <w:rFonts w:asciiTheme="minorHAnsi" w:hAnsiTheme="minorHAnsi" w:cs="Calibri"/>
        </w:rPr>
        <w:t>Specyfikacja techniczna</w:t>
      </w:r>
      <w:r w:rsidR="00E22F37">
        <w:rPr>
          <w:rFonts w:asciiTheme="minorHAnsi" w:hAnsiTheme="minorHAnsi" w:cs="Calibri"/>
        </w:rPr>
        <w:t xml:space="preserve"> </w:t>
      </w:r>
      <w:r>
        <w:rPr>
          <w:rFonts w:asciiTheme="minorHAnsi" w:hAnsiTheme="minorHAnsi" w:cs="Calibri"/>
        </w:rPr>
        <w:t>stanowi</w:t>
      </w:r>
      <w:r w:rsidR="00E22F37">
        <w:rPr>
          <w:rFonts w:asciiTheme="minorHAnsi" w:hAnsiTheme="minorHAnsi" w:cs="Calibri"/>
        </w:rPr>
        <w:t xml:space="preserve"> </w:t>
      </w:r>
      <w:r w:rsidR="00E30240" w:rsidRPr="00E30240">
        <w:rPr>
          <w:rFonts w:asciiTheme="minorHAnsi" w:hAnsiTheme="minorHAnsi" w:cs="Calibri"/>
        </w:rPr>
        <w:t xml:space="preserve">dokument przetargowy i kontraktowy przy realizacji  zadania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E30240" w:rsidRPr="00E30240" w:rsidRDefault="00E30240" w:rsidP="00E30240">
      <w:pPr>
        <w:rPr>
          <w:rFonts w:asciiTheme="minorHAnsi" w:hAnsiTheme="minorHAnsi" w:cs="TimesNewRomanPSMT"/>
          <w:color w:val="000000"/>
        </w:rPr>
      </w:pPr>
    </w:p>
    <w:p w:rsidR="00E30240" w:rsidRPr="00E30240" w:rsidRDefault="00E30240" w:rsidP="00E30240">
      <w:pPr>
        <w:rPr>
          <w:rFonts w:asciiTheme="minorHAnsi" w:hAnsiTheme="minorHAnsi" w:cs="TimesNewRomanPS-BoldMT"/>
          <w:b/>
          <w:bCs/>
          <w:color w:val="000000"/>
        </w:rPr>
      </w:pPr>
      <w:r w:rsidRPr="00E30240">
        <w:rPr>
          <w:rFonts w:asciiTheme="minorHAnsi" w:hAnsiTheme="minorHAnsi" w:cs="TimesNewRomanPS-BoldMT"/>
          <w:b/>
          <w:bCs/>
          <w:color w:val="000000"/>
        </w:rPr>
        <w:t xml:space="preserve">1.3. Zakres robót objętych </w:t>
      </w:r>
      <w:r w:rsidR="005B48CA">
        <w:rPr>
          <w:rFonts w:asciiTheme="minorHAnsi" w:hAnsiTheme="minorHAnsi" w:cs="TimesNewRomanPS-BoldMT"/>
          <w:b/>
          <w:bCs/>
          <w:color w:val="000000"/>
        </w:rPr>
        <w:t>STWiORB</w:t>
      </w:r>
    </w:p>
    <w:p w:rsidR="00E30240" w:rsidRPr="00E30240" w:rsidRDefault="00E30240" w:rsidP="00E30240">
      <w:pPr>
        <w:rPr>
          <w:rFonts w:asciiTheme="minorHAnsi" w:hAnsiTheme="minorHAnsi" w:cs="TimesNewRomanPS-BoldMT"/>
          <w:b/>
          <w:bCs/>
          <w:color w:val="000000"/>
        </w:rPr>
      </w:pPr>
    </w:p>
    <w:p w:rsidR="00E30240" w:rsidRPr="00E30240" w:rsidRDefault="00E30240" w:rsidP="00E30240">
      <w:pPr>
        <w:rPr>
          <w:rFonts w:asciiTheme="minorHAnsi" w:hAnsiTheme="minorHAnsi" w:cs="TimesNewRomanPSMT"/>
          <w:color w:val="000000"/>
        </w:rPr>
      </w:pPr>
      <w:r w:rsidRPr="00E30240">
        <w:rPr>
          <w:rFonts w:asciiTheme="minorHAnsi" w:hAnsiTheme="minorHAnsi" w:cs="TimesNewRomanPSMT"/>
          <w:color w:val="000000"/>
        </w:rPr>
        <w:t xml:space="preserve">Ustalenia zawarte w </w:t>
      </w:r>
      <w:r w:rsidR="00ED6D29">
        <w:rPr>
          <w:rFonts w:asciiTheme="minorHAnsi" w:hAnsiTheme="minorHAnsi" w:cs="TimesNewRomanPSMT"/>
          <w:color w:val="000000"/>
        </w:rPr>
        <w:t>niniejszej</w:t>
      </w:r>
      <w:r w:rsidR="00E22F37">
        <w:rPr>
          <w:rFonts w:asciiTheme="minorHAnsi" w:hAnsiTheme="minorHAnsi" w:cs="TimesNewRomanPSMT"/>
          <w:color w:val="000000"/>
        </w:rPr>
        <w:t xml:space="preserve"> </w:t>
      </w:r>
      <w:r w:rsidR="00ED6D29">
        <w:rPr>
          <w:rFonts w:asciiTheme="minorHAnsi" w:hAnsiTheme="minorHAnsi" w:cs="TimesNewRomanPSMT"/>
          <w:color w:val="000000"/>
        </w:rPr>
        <w:t>specyfikacji</w:t>
      </w:r>
      <w:r w:rsidR="00E22F37">
        <w:rPr>
          <w:rFonts w:asciiTheme="minorHAnsi" w:hAnsiTheme="minorHAnsi" w:cs="TimesNewRomanPSMT"/>
          <w:color w:val="000000"/>
        </w:rPr>
        <w:t xml:space="preserve"> </w:t>
      </w:r>
      <w:r w:rsidRPr="00E30240">
        <w:rPr>
          <w:rFonts w:asciiTheme="minorHAnsi" w:hAnsiTheme="minorHAnsi" w:cs="TimesNewRomanPSMT"/>
          <w:color w:val="000000"/>
        </w:rPr>
        <w:t>dotyczą zasad prowadzenia robót związanych z wykonaniem ścieków ulicznych przykrawężnikowych z kostki kamiennej nieregularnej i rzędowej,</w:t>
      </w:r>
    </w:p>
    <w:p w:rsidR="005E6E33" w:rsidRPr="008C309F" w:rsidRDefault="005E6E33" w:rsidP="005E6E33">
      <w:pPr>
        <w:rPr>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1.4. Określenia podstawowe</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b/>
          <w:color w:val="000000"/>
        </w:rPr>
        <w:t>1.4.1.</w:t>
      </w:r>
      <w:r w:rsidRPr="005E6E33">
        <w:rPr>
          <w:rFonts w:asciiTheme="minorHAnsi" w:hAnsiTheme="minorHAnsi" w:cs="TimesNewRomanPSMT"/>
          <w:color w:val="000000"/>
        </w:rPr>
        <w:t xml:space="preserve"> Ściek przykrawężnikowy - element konstrukcji jezdni służący do odprowadzenia wód opadowych z nawierzchni jezdni i chodników do projektowanych odbiorników (np. kanalizacji deszczowej).</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b/>
          <w:color w:val="000000"/>
        </w:rPr>
        <w:t>1.4.2.</w:t>
      </w:r>
      <w:r w:rsidRPr="005E6E33">
        <w:rPr>
          <w:rFonts w:asciiTheme="minorHAnsi" w:hAnsiTheme="minorHAnsi" w:cs="TimesNewRomanPSMT"/>
          <w:color w:val="000000"/>
        </w:rPr>
        <w:t xml:space="preserve"> Pozostałe określenia podstawowe są zgodne z obowiązują</w:t>
      </w:r>
      <w:r w:rsidRPr="005E6E33">
        <w:rPr>
          <w:rFonts w:asciiTheme="minorHAnsi" w:hAnsiTheme="minorHAnsi" w:cs="TimesNewRomanPSMT"/>
          <w:color w:val="000000"/>
        </w:rPr>
        <w:softHyphen/>
        <w:t xml:space="preserve">cymi, odpowiednimi polskimi normami i z definicjami podanymi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1.4.</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1.5. Ogólne wymagania dotyczące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wymagania dotyczące robót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1.5.</w:t>
      </w:r>
    </w:p>
    <w:p w:rsidR="005E6E33" w:rsidRPr="005E6E33" w:rsidRDefault="005E6E33" w:rsidP="005E6E33">
      <w:pPr>
        <w:rPr>
          <w:rFonts w:asciiTheme="minorHAnsi" w:hAnsiTheme="minorHAnsi" w:cs="TimesNewRomanPSMT"/>
          <w:color w:val="000000"/>
        </w:rPr>
      </w:pPr>
    </w:p>
    <w:p w:rsidR="005E6E33" w:rsidRPr="005E6E33" w:rsidRDefault="005E6E33" w:rsidP="00EF1952">
      <w:pPr>
        <w:pStyle w:val="Nagwek3"/>
      </w:pPr>
      <w:r w:rsidRPr="005E6E33">
        <w:t xml:space="preserve">2. </w:t>
      </w:r>
      <w:r w:rsidR="00A95FEE">
        <w:t>WYROBY BUDOWLANE</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2.1. Ogólne wymagania dotyczące materiałów</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wymagania dotyczące materiałów, ich pozyskiwania i składowania,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2.</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2.2. Kostka kamienna</w:t>
      </w:r>
    </w:p>
    <w:p w:rsidR="005E6E33" w:rsidRPr="005E6E33" w:rsidRDefault="005E6E33" w:rsidP="005E6E33">
      <w:pPr>
        <w:rPr>
          <w:rFonts w:asciiTheme="minorHAnsi" w:hAnsiTheme="minorHAnsi" w:cs="TimesNewRomanPSMT"/>
          <w:color w:val="000000"/>
        </w:rPr>
      </w:pP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Kostka brukowa z kamienia naturalnego obrabiana (rz</w:t>
      </w:r>
      <w:r w:rsidRPr="00584330">
        <w:rPr>
          <w:rFonts w:asciiTheme="minorHAnsi" w:eastAsia="TimesNewRoman" w:hAnsiTheme="minorHAnsi"/>
        </w:rPr>
        <w:t>ę</w:t>
      </w:r>
      <w:r w:rsidRPr="00584330">
        <w:rPr>
          <w:rFonts w:asciiTheme="minorHAnsi" w:hAnsiTheme="minorHAnsi"/>
        </w:rPr>
        <w:t>dowa) wg PN-EN 1342winna spełniać poni</w:t>
      </w:r>
      <w:r w:rsidRPr="00584330">
        <w:rPr>
          <w:rFonts w:asciiTheme="minorHAnsi" w:eastAsia="TimesNewRoman" w:hAnsiTheme="minorHAnsi"/>
        </w:rPr>
        <w:t>ż</w:t>
      </w:r>
      <w:r w:rsidRPr="00584330">
        <w:rPr>
          <w:rFonts w:asciiTheme="minorHAnsi" w:hAnsiTheme="minorHAnsi"/>
        </w:rPr>
        <w:t>sze wymagania.</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Powierzchnia dolna ciosana a pozostałe obrobione</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Odchyłki od nominalnych wymiarów powierzchni</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 mi</w:t>
      </w:r>
      <w:r w:rsidRPr="00584330">
        <w:rPr>
          <w:rFonts w:asciiTheme="minorHAnsi" w:eastAsia="TimesNewRoman" w:hAnsiTheme="minorHAnsi"/>
        </w:rPr>
        <w:t>ę</w:t>
      </w:r>
      <w:r w:rsidRPr="00584330">
        <w:rPr>
          <w:rFonts w:asciiTheme="minorHAnsi" w:hAnsiTheme="minorHAnsi"/>
        </w:rPr>
        <w:t>dzy obrobion</w:t>
      </w:r>
      <w:r w:rsidRPr="00584330">
        <w:rPr>
          <w:rFonts w:asciiTheme="minorHAnsi" w:eastAsia="TimesNewRoman" w:hAnsiTheme="minorHAnsi"/>
        </w:rPr>
        <w:t xml:space="preserve">ą </w:t>
      </w:r>
      <w:r w:rsidRPr="00584330">
        <w:rPr>
          <w:rFonts w:asciiTheme="minorHAnsi" w:hAnsiTheme="minorHAnsi"/>
        </w:rPr>
        <w:t>a ciosan</w:t>
      </w:r>
      <w:r w:rsidRPr="00584330">
        <w:rPr>
          <w:rFonts w:asciiTheme="minorHAnsi" w:eastAsia="TimesNewRoman" w:hAnsiTheme="minorHAnsi"/>
        </w:rPr>
        <w:t xml:space="preserve">ą </w:t>
      </w:r>
      <w:r w:rsidRPr="00584330">
        <w:rPr>
          <w:rFonts w:asciiTheme="minorHAnsi" w:hAnsiTheme="minorHAnsi"/>
        </w:rPr>
        <w:t>max ±10 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 mi</w:t>
      </w:r>
      <w:r w:rsidRPr="00584330">
        <w:rPr>
          <w:rFonts w:asciiTheme="minorHAnsi" w:eastAsia="TimesNewRoman" w:hAnsiTheme="minorHAnsi"/>
        </w:rPr>
        <w:t>ę</w:t>
      </w:r>
      <w:r w:rsidRPr="00584330">
        <w:rPr>
          <w:rFonts w:asciiTheme="minorHAnsi" w:hAnsiTheme="minorHAnsi"/>
        </w:rPr>
        <w:t>dzy obrobionymi max ±5mm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Odchyłki od nominalnej grubo</w:t>
      </w:r>
      <w:r w:rsidRPr="00584330">
        <w:rPr>
          <w:rFonts w:asciiTheme="minorHAnsi" w:eastAsia="TimesNewRoman" w:hAnsiTheme="minorHAnsi"/>
        </w:rPr>
        <w:t>ś</w:t>
      </w:r>
      <w:r w:rsidRPr="00584330">
        <w:rPr>
          <w:rFonts w:asciiTheme="minorHAnsi" w:hAnsiTheme="minorHAnsi"/>
        </w:rPr>
        <w:t>ci dla klasy T2</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lastRenderedPageBreak/>
        <w:t>- mi</w:t>
      </w:r>
      <w:r w:rsidRPr="00584330">
        <w:rPr>
          <w:rFonts w:asciiTheme="minorHAnsi" w:eastAsia="TimesNewRoman" w:hAnsiTheme="minorHAnsi"/>
        </w:rPr>
        <w:t>ę</w:t>
      </w:r>
      <w:r w:rsidRPr="00584330">
        <w:rPr>
          <w:rFonts w:asciiTheme="minorHAnsi" w:hAnsiTheme="minorHAnsi"/>
        </w:rPr>
        <w:t>dzy powierzchni</w:t>
      </w:r>
      <w:r w:rsidRPr="00584330">
        <w:rPr>
          <w:rFonts w:asciiTheme="minorHAnsi" w:eastAsia="TimesNewRoman" w:hAnsiTheme="minorHAnsi"/>
        </w:rPr>
        <w:t xml:space="preserve">ą </w:t>
      </w:r>
      <w:r w:rsidRPr="00584330">
        <w:rPr>
          <w:rFonts w:asciiTheme="minorHAnsi" w:hAnsiTheme="minorHAnsi"/>
        </w:rPr>
        <w:t>obrobion</w:t>
      </w:r>
      <w:r w:rsidRPr="00584330">
        <w:rPr>
          <w:rFonts w:asciiTheme="minorHAnsi" w:eastAsia="TimesNewRoman" w:hAnsiTheme="minorHAnsi"/>
        </w:rPr>
        <w:t xml:space="preserve">ą </w:t>
      </w:r>
      <w:r w:rsidRPr="00584330">
        <w:rPr>
          <w:rFonts w:asciiTheme="minorHAnsi" w:hAnsiTheme="minorHAnsi"/>
        </w:rPr>
        <w:t>a ciosan</w:t>
      </w:r>
      <w:r w:rsidRPr="00584330">
        <w:rPr>
          <w:rFonts w:asciiTheme="minorHAnsi" w:eastAsia="TimesNewRoman" w:hAnsiTheme="minorHAnsi"/>
        </w:rPr>
        <w:t xml:space="preserve">ą </w:t>
      </w:r>
      <w:r w:rsidRPr="00584330">
        <w:rPr>
          <w:rFonts w:asciiTheme="minorHAnsi" w:hAnsiTheme="minorHAnsi"/>
        </w:rPr>
        <w:t>max ±10 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 mi</w:t>
      </w:r>
      <w:r w:rsidRPr="00584330">
        <w:rPr>
          <w:rFonts w:asciiTheme="minorHAnsi" w:eastAsia="TimesNewRoman" w:hAnsiTheme="minorHAnsi"/>
        </w:rPr>
        <w:t>ę</w:t>
      </w:r>
      <w:r w:rsidRPr="00584330">
        <w:rPr>
          <w:rFonts w:asciiTheme="minorHAnsi" w:hAnsiTheme="minorHAnsi"/>
        </w:rPr>
        <w:t>dzy powierzchniami obrobionymi max ±5mm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Odchyłki od prostopadło</w:t>
      </w:r>
      <w:r w:rsidRPr="00584330">
        <w:rPr>
          <w:rFonts w:asciiTheme="minorHAnsi" w:eastAsia="TimesNewRoman" w:hAnsiTheme="minorHAnsi"/>
        </w:rPr>
        <w:t>ś</w:t>
      </w:r>
      <w:r w:rsidRPr="00584330">
        <w:rPr>
          <w:rFonts w:asciiTheme="minorHAnsi" w:hAnsiTheme="minorHAnsi"/>
        </w:rPr>
        <w:t>ci powierzchni bocznej max 15 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Nierówno</w:t>
      </w:r>
      <w:r w:rsidRPr="00584330">
        <w:rPr>
          <w:rFonts w:asciiTheme="minorHAnsi" w:eastAsia="TimesNewRoman" w:hAnsiTheme="minorHAnsi"/>
        </w:rPr>
        <w:t>ś</w:t>
      </w:r>
      <w:r w:rsidRPr="00584330">
        <w:rPr>
          <w:rFonts w:asciiTheme="minorHAnsi" w:hAnsiTheme="minorHAnsi"/>
        </w:rPr>
        <w:t>ci powierzchni innych ni</w:t>
      </w:r>
      <w:r w:rsidRPr="00584330">
        <w:rPr>
          <w:rFonts w:asciiTheme="minorHAnsi" w:eastAsia="TimesNewRoman" w:hAnsiTheme="minorHAnsi"/>
        </w:rPr>
        <w:t xml:space="preserve">ż </w:t>
      </w:r>
      <w:r w:rsidRPr="00584330">
        <w:rPr>
          <w:rFonts w:asciiTheme="minorHAnsi" w:hAnsiTheme="minorHAnsi"/>
        </w:rPr>
        <w:t>dolne max 3 mm, a dolnych max 5 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Odporno</w:t>
      </w:r>
      <w:r w:rsidRPr="00584330">
        <w:rPr>
          <w:rFonts w:asciiTheme="minorHAnsi" w:eastAsia="TimesNewRoman" w:hAnsiTheme="minorHAnsi"/>
        </w:rPr>
        <w:t xml:space="preserve">ść </w:t>
      </w:r>
      <w:r w:rsidRPr="00584330">
        <w:rPr>
          <w:rFonts w:asciiTheme="minorHAnsi" w:hAnsiTheme="minorHAnsi"/>
        </w:rPr>
        <w:t>na zamra</w:t>
      </w:r>
      <w:r w:rsidRPr="00584330">
        <w:rPr>
          <w:rFonts w:asciiTheme="minorHAnsi" w:eastAsia="TimesNewRoman" w:hAnsiTheme="minorHAnsi"/>
        </w:rPr>
        <w:t>ż</w:t>
      </w:r>
      <w:r w:rsidRPr="00584330">
        <w:rPr>
          <w:rFonts w:asciiTheme="minorHAnsi" w:hAnsiTheme="minorHAnsi"/>
        </w:rPr>
        <w:t>anie/rozmra</w:t>
      </w:r>
      <w:r w:rsidRPr="00584330">
        <w:rPr>
          <w:rFonts w:asciiTheme="minorHAnsi" w:eastAsia="TimesNewRoman" w:hAnsiTheme="minorHAnsi"/>
        </w:rPr>
        <w:t>ż</w:t>
      </w:r>
      <w:r w:rsidRPr="00584330">
        <w:rPr>
          <w:rFonts w:asciiTheme="minorHAnsi" w:hAnsiTheme="minorHAnsi"/>
        </w:rPr>
        <w:t>anie klasa F1 £ 20% zmiany wytrzymało</w:t>
      </w:r>
      <w:r w:rsidRPr="00584330">
        <w:rPr>
          <w:rFonts w:asciiTheme="minorHAnsi" w:eastAsia="TimesNewRoman" w:hAnsiTheme="minorHAnsi"/>
        </w:rPr>
        <w:t>ś</w:t>
      </w:r>
      <w:r w:rsidRPr="00584330">
        <w:rPr>
          <w:rFonts w:asciiTheme="minorHAnsi" w:hAnsiTheme="minorHAnsi"/>
        </w:rPr>
        <w:t>ci na</w:t>
      </w:r>
      <w:r w:rsidRPr="00584330">
        <w:rPr>
          <w:rFonts w:asciiTheme="minorHAnsi" w:eastAsia="TimesNewRoman" w:hAnsiTheme="minorHAnsi"/>
        </w:rPr>
        <w:t>ś</w:t>
      </w:r>
      <w:r w:rsidRPr="00584330">
        <w:rPr>
          <w:rFonts w:asciiTheme="minorHAnsi" w:hAnsiTheme="minorHAnsi"/>
        </w:rPr>
        <w:t>ciskanie</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Wytrzymało</w:t>
      </w:r>
      <w:r w:rsidRPr="00584330">
        <w:rPr>
          <w:rFonts w:asciiTheme="minorHAnsi" w:eastAsia="TimesNewRoman" w:hAnsiTheme="minorHAnsi"/>
        </w:rPr>
        <w:t xml:space="preserve">ść </w:t>
      </w:r>
      <w:r w:rsidRPr="00584330">
        <w:rPr>
          <w:rFonts w:asciiTheme="minorHAnsi" w:hAnsiTheme="minorHAnsi"/>
        </w:rPr>
        <w:t xml:space="preserve">na </w:t>
      </w:r>
      <w:r w:rsidRPr="00584330">
        <w:rPr>
          <w:rFonts w:asciiTheme="minorHAnsi" w:eastAsia="TimesNewRoman" w:hAnsiTheme="minorHAnsi"/>
        </w:rPr>
        <w:t>ś</w:t>
      </w:r>
      <w:r w:rsidRPr="00584330">
        <w:rPr>
          <w:rFonts w:asciiTheme="minorHAnsi" w:hAnsiTheme="minorHAnsi"/>
        </w:rPr>
        <w:t>ciskanie 160 MPa</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Wytrzymało</w:t>
      </w:r>
      <w:r w:rsidRPr="00584330">
        <w:rPr>
          <w:rFonts w:asciiTheme="minorHAnsi" w:eastAsia="TimesNewRoman" w:hAnsiTheme="minorHAnsi"/>
        </w:rPr>
        <w:t xml:space="preserve">ść </w:t>
      </w:r>
      <w:r w:rsidRPr="00584330">
        <w:rPr>
          <w:rFonts w:asciiTheme="minorHAnsi" w:hAnsiTheme="minorHAnsi"/>
        </w:rPr>
        <w:t xml:space="preserve">na </w:t>
      </w:r>
      <w:r w:rsidRPr="00584330">
        <w:rPr>
          <w:rFonts w:asciiTheme="minorHAnsi" w:eastAsia="TimesNewRoman" w:hAnsiTheme="minorHAnsi"/>
        </w:rPr>
        <w:t>ś</w:t>
      </w:r>
      <w:r w:rsidRPr="00584330">
        <w:rPr>
          <w:rFonts w:asciiTheme="minorHAnsi" w:hAnsiTheme="minorHAnsi"/>
        </w:rPr>
        <w:t>cieranie max 25 mm</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Odporno</w:t>
      </w:r>
      <w:r w:rsidRPr="00584330">
        <w:rPr>
          <w:rFonts w:asciiTheme="minorHAnsi" w:eastAsia="TimesNewRoman" w:hAnsiTheme="minorHAnsi"/>
        </w:rPr>
        <w:t xml:space="preserve">ść </w:t>
      </w:r>
      <w:r w:rsidRPr="00584330">
        <w:rPr>
          <w:rFonts w:asciiTheme="minorHAnsi" w:hAnsiTheme="minorHAnsi"/>
        </w:rPr>
        <w:t>na po</w:t>
      </w:r>
      <w:r w:rsidRPr="00584330">
        <w:rPr>
          <w:rFonts w:asciiTheme="minorHAnsi" w:eastAsia="TimesNewRoman" w:hAnsiTheme="minorHAnsi"/>
        </w:rPr>
        <w:t>ś</w:t>
      </w:r>
      <w:r w:rsidRPr="00584330">
        <w:rPr>
          <w:rFonts w:asciiTheme="minorHAnsi" w:hAnsiTheme="minorHAnsi"/>
        </w:rPr>
        <w:t>lizg nie jest okre</w:t>
      </w:r>
      <w:r w:rsidRPr="00584330">
        <w:rPr>
          <w:rFonts w:asciiTheme="minorHAnsi" w:eastAsia="TimesNewRoman" w:hAnsiTheme="minorHAnsi"/>
        </w:rPr>
        <w:t>ś</w:t>
      </w:r>
      <w:r w:rsidRPr="00584330">
        <w:rPr>
          <w:rFonts w:asciiTheme="minorHAnsi" w:hAnsiTheme="minorHAnsi"/>
        </w:rPr>
        <w:t>lana.</w:t>
      </w:r>
    </w:p>
    <w:p w:rsidR="00584330" w:rsidRPr="00584330" w:rsidRDefault="00584330" w:rsidP="00584330">
      <w:pPr>
        <w:pStyle w:val="Nagwek4"/>
        <w:rPr>
          <w:rFonts w:asciiTheme="minorHAnsi" w:hAnsiTheme="minorHAnsi"/>
        </w:rPr>
      </w:pPr>
      <w:r w:rsidRPr="00584330">
        <w:rPr>
          <w:rFonts w:asciiTheme="minorHAnsi" w:hAnsiTheme="minorHAnsi"/>
        </w:rPr>
        <w:t>2.3. Cement</w:t>
      </w:r>
    </w:p>
    <w:p w:rsidR="00584330" w:rsidRPr="00584330" w:rsidRDefault="00584330" w:rsidP="00584330">
      <w:pPr>
        <w:rPr>
          <w:rFonts w:asciiTheme="minorHAnsi" w:hAnsiTheme="minorHAnsi"/>
        </w:rPr>
      </w:pPr>
      <w:r w:rsidRPr="00584330">
        <w:rPr>
          <w:rFonts w:asciiTheme="minorHAnsi" w:hAnsiTheme="minorHAnsi"/>
        </w:rPr>
        <w:t xml:space="preserve">Cement stosowany do podsypki i wypełnienia spoin powinien być cementem portlandzkim CEM I klasy </w:t>
      </w:r>
      <w:r w:rsidR="00357120">
        <w:rPr>
          <w:rFonts w:asciiTheme="minorHAnsi" w:hAnsiTheme="minorHAnsi"/>
        </w:rPr>
        <w:t xml:space="preserve">min </w:t>
      </w:r>
      <w:r w:rsidRPr="00584330">
        <w:rPr>
          <w:rFonts w:asciiTheme="minorHAnsi" w:hAnsiTheme="minorHAnsi"/>
        </w:rPr>
        <w:t>N 32,5, odpowiadający wymaganiom PN-EN-197-1:2002.</w:t>
      </w:r>
    </w:p>
    <w:p w:rsidR="00584330" w:rsidRPr="00584330" w:rsidRDefault="00584330" w:rsidP="00584330">
      <w:pPr>
        <w:rPr>
          <w:rFonts w:asciiTheme="minorHAnsi" w:hAnsiTheme="minorHAnsi"/>
        </w:rPr>
      </w:pPr>
      <w:r w:rsidRPr="00584330">
        <w:rPr>
          <w:rFonts w:asciiTheme="minorHAnsi" w:hAnsiTheme="minorHAnsi"/>
        </w:rPr>
        <w:t>Transport i przechowywanie cementu powinny być zgodne z BN-88/6731-08.</w:t>
      </w:r>
    </w:p>
    <w:p w:rsidR="00584330" w:rsidRPr="00584330" w:rsidRDefault="00584330" w:rsidP="00584330">
      <w:pPr>
        <w:pStyle w:val="Nagwek4"/>
        <w:rPr>
          <w:rFonts w:asciiTheme="minorHAnsi" w:hAnsiTheme="minorHAnsi"/>
        </w:rPr>
      </w:pPr>
      <w:r w:rsidRPr="00584330">
        <w:rPr>
          <w:rFonts w:asciiTheme="minorHAnsi" w:hAnsiTheme="minorHAnsi"/>
        </w:rPr>
        <w:t>2.4. Kruszywo</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Na podsypk</w:t>
      </w:r>
      <w:r w:rsidRPr="00584330">
        <w:rPr>
          <w:rFonts w:asciiTheme="minorHAnsi" w:eastAsia="TimesNewRoman" w:hAnsiTheme="minorHAnsi"/>
        </w:rPr>
        <w:t xml:space="preserve">ę </w:t>
      </w:r>
      <w:r w:rsidRPr="00584330">
        <w:rPr>
          <w:rFonts w:asciiTheme="minorHAnsi" w:hAnsiTheme="minorHAnsi"/>
        </w:rPr>
        <w:t>należy stosowa</w:t>
      </w:r>
      <w:r w:rsidRPr="00584330">
        <w:rPr>
          <w:rFonts w:asciiTheme="minorHAnsi" w:eastAsia="TimesNewRoman" w:hAnsiTheme="minorHAnsi"/>
        </w:rPr>
        <w:t xml:space="preserve">ć </w:t>
      </w:r>
      <w:r w:rsidRPr="00584330">
        <w:rPr>
          <w:rFonts w:asciiTheme="minorHAnsi" w:hAnsiTheme="minorHAnsi"/>
        </w:rPr>
        <w:t>kruszywo naturalne 0/2, odpowiadaj</w:t>
      </w:r>
      <w:r w:rsidRPr="00584330">
        <w:rPr>
          <w:rFonts w:asciiTheme="minorHAnsi" w:eastAsia="TimesNewRoman" w:hAnsiTheme="minorHAnsi"/>
        </w:rPr>
        <w:t>ą</w:t>
      </w:r>
      <w:r w:rsidRPr="00584330">
        <w:rPr>
          <w:rFonts w:asciiTheme="minorHAnsi" w:hAnsiTheme="minorHAnsi"/>
        </w:rPr>
        <w:t>ce wymaganiom PN-EN 13242, kat. GF80 i f7.</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Do piel</w:t>
      </w:r>
      <w:r w:rsidRPr="00584330">
        <w:rPr>
          <w:rFonts w:asciiTheme="minorHAnsi" w:eastAsia="TimesNewRoman" w:hAnsiTheme="minorHAnsi"/>
        </w:rPr>
        <w:t>ę</w:t>
      </w:r>
      <w:r w:rsidRPr="00584330">
        <w:rPr>
          <w:rFonts w:asciiTheme="minorHAnsi" w:hAnsiTheme="minorHAnsi"/>
        </w:rPr>
        <w:t>gnacji nawierzchni – należy uży</w:t>
      </w:r>
      <w:r w:rsidRPr="00584330">
        <w:rPr>
          <w:rFonts w:asciiTheme="minorHAnsi" w:eastAsia="TimesNewRoman" w:hAnsiTheme="minorHAnsi"/>
        </w:rPr>
        <w:t xml:space="preserve">ć </w:t>
      </w:r>
      <w:r w:rsidRPr="00584330">
        <w:rPr>
          <w:rFonts w:asciiTheme="minorHAnsi" w:hAnsiTheme="minorHAnsi"/>
        </w:rPr>
        <w:t>grunt piaszczysty. Do zaprawy należy stosowa</w:t>
      </w:r>
      <w:r w:rsidRPr="00584330">
        <w:rPr>
          <w:rFonts w:asciiTheme="minorHAnsi" w:eastAsia="TimesNewRoman" w:hAnsiTheme="minorHAnsi"/>
        </w:rPr>
        <w:t xml:space="preserve">ć </w:t>
      </w:r>
      <w:r w:rsidRPr="00584330">
        <w:rPr>
          <w:rFonts w:asciiTheme="minorHAnsi" w:hAnsiTheme="minorHAnsi"/>
        </w:rPr>
        <w:t>kruszywo 0/2 wg PN-EN 13139 kat 2 może zawiera</w:t>
      </w:r>
      <w:r w:rsidRPr="00584330">
        <w:rPr>
          <w:rFonts w:asciiTheme="minorHAnsi" w:eastAsia="TimesNewRoman" w:hAnsiTheme="minorHAnsi"/>
        </w:rPr>
        <w:t xml:space="preserve">ć </w:t>
      </w:r>
      <w:r w:rsidRPr="00584330">
        <w:rPr>
          <w:rFonts w:asciiTheme="minorHAnsi" w:hAnsiTheme="minorHAnsi"/>
        </w:rPr>
        <w:t>do 5% pyłów (ziarna pon. 0,063%).</w:t>
      </w:r>
    </w:p>
    <w:p w:rsidR="00584330" w:rsidRPr="00584330" w:rsidRDefault="00584330" w:rsidP="00584330">
      <w:pPr>
        <w:pStyle w:val="Nagwek4"/>
        <w:rPr>
          <w:rFonts w:asciiTheme="minorHAnsi" w:hAnsiTheme="minorHAnsi"/>
        </w:rPr>
      </w:pPr>
      <w:r w:rsidRPr="00584330">
        <w:rPr>
          <w:rFonts w:asciiTheme="minorHAnsi" w:hAnsiTheme="minorHAnsi"/>
        </w:rPr>
        <w:t>2.5. Woda</w:t>
      </w:r>
    </w:p>
    <w:p w:rsidR="00584330" w:rsidRPr="00584330" w:rsidRDefault="00584330" w:rsidP="00584330">
      <w:pPr>
        <w:rPr>
          <w:rFonts w:asciiTheme="minorHAnsi" w:hAnsiTheme="minorHAnsi"/>
        </w:rPr>
      </w:pPr>
      <w:r w:rsidRPr="00584330">
        <w:rPr>
          <w:rFonts w:asciiTheme="minorHAnsi" w:hAnsiTheme="minorHAnsi"/>
        </w:rPr>
        <w:t>Woda stosowana do podsypki i zaprawy cementowo-piaskowej, powinna odpowiadać wymaganiom PN-EN-1008:2004. Badania wody należy wykonywać:</w:t>
      </w:r>
    </w:p>
    <w:p w:rsidR="00584330" w:rsidRPr="00584330" w:rsidRDefault="00584330" w:rsidP="00973D29">
      <w:pPr>
        <w:numPr>
          <w:ilvl w:val="0"/>
          <w:numId w:val="38"/>
        </w:numPr>
        <w:ind w:left="284" w:hanging="284"/>
        <w:rPr>
          <w:rFonts w:asciiTheme="minorHAnsi" w:hAnsiTheme="minorHAnsi"/>
        </w:rPr>
      </w:pPr>
      <w:r w:rsidRPr="00584330">
        <w:rPr>
          <w:rFonts w:asciiTheme="minorHAnsi" w:hAnsiTheme="minorHAnsi"/>
        </w:rPr>
        <w:t>w przypadku nowego źródła poboru wody,</w:t>
      </w:r>
    </w:p>
    <w:p w:rsidR="00584330" w:rsidRPr="00584330" w:rsidRDefault="00584330" w:rsidP="00973D29">
      <w:pPr>
        <w:numPr>
          <w:ilvl w:val="0"/>
          <w:numId w:val="38"/>
        </w:numPr>
        <w:ind w:left="284" w:hanging="284"/>
        <w:rPr>
          <w:rFonts w:asciiTheme="minorHAnsi" w:hAnsiTheme="minorHAnsi"/>
        </w:rPr>
      </w:pPr>
      <w:r w:rsidRPr="00584330">
        <w:rPr>
          <w:rFonts w:asciiTheme="minorHAnsi" w:hAnsiTheme="minorHAnsi"/>
        </w:rPr>
        <w:t>w przypadku podejrzeń dotyczących zmiany parametrów wody, np. zmętnienia, zapachu, barwy.</w:t>
      </w:r>
    </w:p>
    <w:p w:rsidR="00584330" w:rsidRPr="00584330" w:rsidRDefault="00584330" w:rsidP="00584330">
      <w:pPr>
        <w:rPr>
          <w:rFonts w:asciiTheme="minorHAnsi" w:hAnsiTheme="minorHAnsi"/>
        </w:rPr>
      </w:pPr>
    </w:p>
    <w:p w:rsidR="00584330" w:rsidRPr="00584330" w:rsidRDefault="00584330" w:rsidP="00584330">
      <w:pPr>
        <w:overflowPunct/>
        <w:jc w:val="left"/>
        <w:textAlignment w:val="auto"/>
        <w:rPr>
          <w:rFonts w:asciiTheme="minorHAnsi" w:hAnsiTheme="minorHAnsi"/>
          <w:b/>
          <w:bCs/>
        </w:rPr>
      </w:pPr>
      <w:r w:rsidRPr="00584330">
        <w:rPr>
          <w:rFonts w:asciiTheme="minorHAnsi" w:hAnsiTheme="minorHAnsi"/>
          <w:b/>
          <w:bCs/>
        </w:rPr>
        <w:t>2.6. Zalewa drogowa</w:t>
      </w:r>
    </w:p>
    <w:p w:rsidR="00584330" w:rsidRPr="00584330" w:rsidRDefault="00584330" w:rsidP="00584330">
      <w:pPr>
        <w:overflowPunct/>
        <w:jc w:val="left"/>
        <w:textAlignment w:val="auto"/>
        <w:rPr>
          <w:rFonts w:asciiTheme="minorHAnsi" w:hAnsiTheme="minorHAnsi"/>
        </w:rPr>
      </w:pPr>
      <w:r w:rsidRPr="00584330">
        <w:rPr>
          <w:rFonts w:asciiTheme="minorHAnsi" w:hAnsiTheme="minorHAnsi"/>
        </w:rPr>
        <w:t>Nale</w:t>
      </w:r>
      <w:r w:rsidRPr="00584330">
        <w:rPr>
          <w:rFonts w:asciiTheme="minorHAnsi" w:eastAsia="TimesNewRoman" w:hAnsiTheme="minorHAnsi" w:cs="TimesNewRoman"/>
        </w:rPr>
        <w:t>ż</w:t>
      </w:r>
      <w:r w:rsidRPr="00584330">
        <w:rPr>
          <w:rFonts w:asciiTheme="minorHAnsi" w:hAnsiTheme="minorHAnsi"/>
        </w:rPr>
        <w:t>y stosowa</w:t>
      </w:r>
      <w:r w:rsidRPr="00584330">
        <w:rPr>
          <w:rFonts w:asciiTheme="minorHAnsi" w:eastAsia="TimesNewRoman" w:hAnsiTheme="minorHAnsi" w:cs="TimesNewRoman"/>
        </w:rPr>
        <w:t xml:space="preserve">ć </w:t>
      </w:r>
      <w:r w:rsidRPr="00584330">
        <w:rPr>
          <w:rFonts w:asciiTheme="minorHAnsi" w:hAnsiTheme="minorHAnsi"/>
        </w:rPr>
        <w:t>zalewy drogowe nagor</w:t>
      </w:r>
      <w:r w:rsidRPr="00584330">
        <w:rPr>
          <w:rFonts w:asciiTheme="minorHAnsi" w:eastAsia="TimesNewRoman" w:hAnsiTheme="minorHAnsi" w:cs="TimesNewRoman"/>
        </w:rPr>
        <w:t>ą</w:t>
      </w:r>
      <w:r w:rsidRPr="00584330">
        <w:rPr>
          <w:rFonts w:asciiTheme="minorHAnsi" w:hAnsiTheme="minorHAnsi"/>
        </w:rPr>
        <w:t>co wg PN-EN 14188-1 lub na zimno wg PN-EN 14188-2.</w:t>
      </w:r>
    </w:p>
    <w:p w:rsidR="005E6E33" w:rsidRPr="00584330" w:rsidRDefault="005E6E33" w:rsidP="005E6E33">
      <w:pPr>
        <w:rPr>
          <w:rFonts w:asciiTheme="minorHAnsi" w:hAnsiTheme="minorHAnsi" w:cs="TimesNewRomanPSMT"/>
          <w:color w:val="000000"/>
        </w:rPr>
      </w:pPr>
      <w:r w:rsidRPr="00584330">
        <w:rPr>
          <w:rFonts w:asciiTheme="minorHAnsi" w:hAnsiTheme="minorHAnsi" w:cs="TimesNewRomanPSMT"/>
          <w:color w:val="000000"/>
        </w:rPr>
        <w:t>.</w:t>
      </w:r>
    </w:p>
    <w:p w:rsidR="005E6E33" w:rsidRPr="005E6E33" w:rsidRDefault="005E6E33" w:rsidP="005E6E33">
      <w:pPr>
        <w:rPr>
          <w:rFonts w:asciiTheme="minorHAnsi" w:hAnsiTheme="minorHAnsi" w:cs="TimesNewRomanPSMT"/>
          <w:color w:val="000000"/>
        </w:rPr>
      </w:pPr>
    </w:p>
    <w:p w:rsidR="005E6E33" w:rsidRPr="005E6E33" w:rsidRDefault="005E6E33" w:rsidP="00EF1952">
      <w:pPr>
        <w:pStyle w:val="Nagwek3"/>
      </w:pPr>
      <w:r w:rsidRPr="005E6E33">
        <w:t xml:space="preserve">3. </w:t>
      </w:r>
      <w:r>
        <w:t>SPRZĘT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3.1. Ogólne wymagania dotyczące sprzętu</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wymagania dotyczące sprzętu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3.</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3.2. Sprzęt do wykonania ścieku</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Roboty można wykonywać ręcznie z zastosowaniem następującego sprzętu:</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betoniarek do wytwarzania betonu i zapraw,</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ubijaków ręcznych i mechanicznych do ubijania kostki.</w:t>
      </w:r>
    </w:p>
    <w:p w:rsidR="005E6E33" w:rsidRPr="005E6E33" w:rsidRDefault="005E6E33" w:rsidP="005E6E33">
      <w:pPr>
        <w:rPr>
          <w:rFonts w:asciiTheme="minorHAnsi" w:hAnsiTheme="minorHAnsi" w:cs="TimesNewRomanPSMT"/>
          <w:color w:val="000000"/>
        </w:rPr>
      </w:pPr>
    </w:p>
    <w:p w:rsidR="005E6E33" w:rsidRPr="005E6E33" w:rsidRDefault="005E6E33" w:rsidP="00EF1952">
      <w:pPr>
        <w:pStyle w:val="Nagwek3"/>
      </w:pPr>
      <w:r w:rsidRPr="005E6E33">
        <w:t xml:space="preserve">4. </w:t>
      </w:r>
      <w:r>
        <w:t>TRANSPORT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4.1. Ogólne wymagania dotyczące transportu</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wymagania dotyczące transportu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4.</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4.2. Transport materiałów</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lastRenderedPageBreak/>
        <w:t xml:space="preserve">Wymagania dotyczące transportu składników betonu i piasku na podsypkę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D-08.01.01 „Krawężniki betonowe”, a transportu kostki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D-05.03.01 „Nawierzchnia z kostki kamiennej”.</w:t>
      </w:r>
    </w:p>
    <w:p w:rsidR="005E6E33" w:rsidRPr="005E6E33" w:rsidRDefault="005E6E33" w:rsidP="005E6E33">
      <w:pPr>
        <w:rPr>
          <w:rFonts w:asciiTheme="minorHAnsi" w:hAnsiTheme="minorHAnsi" w:cs="TimesNewRomanPSMT"/>
          <w:color w:val="000000"/>
        </w:rPr>
      </w:pPr>
    </w:p>
    <w:p w:rsidR="005E6E33" w:rsidRPr="005E6E33" w:rsidRDefault="005E6E33" w:rsidP="00EF1952">
      <w:pPr>
        <w:pStyle w:val="Nagwek3"/>
      </w:pPr>
      <w:r w:rsidRPr="005E6E33">
        <w:t xml:space="preserve">5. </w:t>
      </w:r>
      <w:r>
        <w:t>WYKONANIE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5.1. Ogólne zasady wykonania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zasady wykonania robót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5.</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5.2. Roboty przygotowawcze</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Przed przystąpieniem do wykonania ścieku należy wytyczyć linię krawężnika i oś ścieku zgodnie z dokumentacją projektową. </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5.3. Wykonanie wykopu, ławy i ustawienie krawężników</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Wykonanie wykopu pod ławę, ławy betonowej dla ścieku przykrawężnikowego oraz ustawienie krawężników na ławach powinno być zgodne z dokumentacją projektową oraz postanowieniami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D-08.01.01 „Krawężniki betonowe”. Wykonanie wykopu pod ławę oraz ułożenie ławy winno nastąpić łącznie z wykopem i układaniem ławy dla krawężników</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5.4. Wykonanie ścieku z kostki kamiennej</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wymagania dotyczące układania kostki kamiennej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D-05.03.01 „Nawierzchnia z kostki kamiennej”.</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Należy stosować ścieki przykrawężnikowe z 2 rzędów kostki kamiennej obrobionej, obniżonych w stosunku do krawędzi nawierzchni o 1 do 2 cm.</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Na ławie betonowej należy wykonać podsypkę cementowo-piaskową o grubości zgodnej </w:t>
      </w:r>
      <w:r w:rsidR="00584330">
        <w:rPr>
          <w:rFonts w:asciiTheme="minorHAnsi" w:hAnsiTheme="minorHAnsi" w:cs="TimesNewRomanPSMT"/>
          <w:color w:val="000000"/>
        </w:rPr>
        <w:t>z dokumentacją projektową.</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Na wykonanej podsypce należy ułożyć ściek z kostki rzędowej, z zachowaniem wymaganej w dokumentacji projektowej niwelety ścieku. Ułożoną kostkę należy ubić przy pomocy ubijaków ręcznych lub mechanicznych. Kostki pęknięte należy wymienić na całe.</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Spoiny między kostkami nie powinny przekraczać szerokości 8mm.</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Spoiny na styku z krawężnikami ulicznymi na zjazdach należy wypełnić zalewą drogową na gorąco lub na zimno.</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Pozostałe spoiny należy wypełnić zaprawą cementowo – kruszywową przygotowaną w stosunku 1 : 2. Spoiny przed zalaniem należy oczyścić.</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Szczeliny dylatacyjne należy wykonać jako przedłużenie szczelin w krawężnikach i wypełnić je zalewą drogową na zimno lub gorąco albo kitem trwale plastycznym.</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Kostkę należy utrzymywać w stanie wilgotnym co najmniej przez 7 dni. Do wykonania bitumicznych przy ścieku można przystąpić najwcześniej po upływie 9 dni od ułożenia kostki.</w:t>
      </w:r>
    </w:p>
    <w:p w:rsidR="00584330" w:rsidRDefault="00584330" w:rsidP="005E6E33">
      <w:pPr>
        <w:rPr>
          <w:rFonts w:asciiTheme="minorHAnsi" w:hAnsiTheme="minorHAnsi" w:cs="TimesNewRomanPSMT"/>
          <w:b/>
          <w:color w:val="000000"/>
        </w:rPr>
      </w:pPr>
    </w:p>
    <w:p w:rsidR="005E6E33" w:rsidRPr="005E6E33" w:rsidRDefault="005E6E33" w:rsidP="00EF1952">
      <w:pPr>
        <w:pStyle w:val="Nagwek3"/>
      </w:pPr>
      <w:r w:rsidRPr="005E6E33">
        <w:t xml:space="preserve">6. </w:t>
      </w:r>
      <w:r>
        <w:t>KONTROLA JAKOŚCI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6.1. Ogólne zasady kontroli jakości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zasady kontroli jakości robót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6.</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6.2. Badania przed przystąpieniem do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Przed przystąpieniem do robót Wykonawca powinien wykonać badania materiałów przeznaczonych do wykonania ścieku z kostki kamiennej i przedstawić wyniki tych badań Inżynierowi do akceptacji.</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lastRenderedPageBreak/>
        <w:t xml:space="preserve">Badania kostki powinny być wykonane w zakresie i z częstotliwością wg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D-05.03.01 „Nawierzchnia z kostki kamiennej”.</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Badania pozostałych materiałów stosowanych do wykonania ścieku z kostki kamiennej powinny obejmować wszystkie właściwości, które zostały określone w przepisach  podanych dla odpowiednich materiałów w pkt 2.</w:t>
      </w: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6.3. Badania w czasie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6.3.1. Zakres badań</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 czasie robót związanych z wykonaniem ścieku  należy sprawdzać:</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wykop pod ławę,</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gotową ławę,</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ustawienie krawężnika,</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wykonanie ścieku.</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6.3.2. Wykop pod ławę</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Należy sprawdzać, czy wymiary wykopu są zgodne z dokumentacją projektową oraz zagęszczenie podłoża na dnie wykopu.</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Tolerancja dla szerokości wykopu wynosi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2 cm. </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Wskaźnik zagęszczenia dna wykopu pod ławę powinien wynosić co najmniej 0,97, wg normalnej metody Proctora.</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6.3.3. Sprawdzenie wykonania ławy</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Przy wykonywaniu ławy, badaniu podlegają:</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linia ławy w planie, która może się różnić od projektowanego kierunku o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2 cm na każde 100 m ławy,</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niweleta górnej powierzchni ławy, która może się różnić od niwelety projektowanej o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1 cm na każde 100 m ławy,</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wymiary i równość ławy, sprawdzane w dwóch dowolnie wybranych punktach na każde 100 m ławy, przy czym dopuszczalne tolerancje wynoszą dla:</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wysokości (grubości) ławy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10% wysokości projektowanej,</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szerokości górnej powierzchni ławy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10% szerokości projektowanej,</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równości górnej powierzchni ławy 1 cm prześwitu pomiędzy powierzchnią ławy a przyłożoną czterometrową łatą.</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b/>
          <w:color w:val="000000"/>
        </w:rPr>
      </w:pPr>
      <w:r w:rsidRPr="005E6E33">
        <w:rPr>
          <w:rFonts w:asciiTheme="minorHAnsi" w:hAnsiTheme="minorHAnsi" w:cs="TimesNewRomanPSMT"/>
          <w:b/>
          <w:color w:val="000000"/>
        </w:rPr>
        <w:t>6.3.4. Sprawdzenie wykonania ścieku</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Przy wykonaniu ścieku, badaniu podlegają:</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niweleta ścieku, która może różnić się od niwelety projektowanej o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1 cm na każde 100 m wykonanego ścieku,</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równość podłużna ścieku, sprawdzana w dwóch dowolnie wybranych punktach na każde 100 m długości, która może wykazywać prześwit nie większy niż 0,8 cm pomiędzy powierzchnią ścieku a łatą czterometrową,</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wypełnienie spoin, wykonane zgodnie z pkt 5, sprawdzane na każdych 10 metrach wykonanego ścieku, przy czym wymagane jest całkowite wypełnienie badanej spoiny,</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grubość podsypki, sprawdzana co 100 m, która może się różnić od grubości projektowanej o </w:t>
      </w:r>
      <w:r w:rsidRPr="005E6E33">
        <w:rPr>
          <w:rFonts w:asciiTheme="minorHAnsi" w:hAnsiTheme="minorHAnsi" w:cs="TimesNewRomanPSMT"/>
          <w:color w:val="000000"/>
        </w:rPr>
        <w:sym w:font="Symbol" w:char="F0B1"/>
      </w:r>
      <w:r w:rsidRPr="005E6E33">
        <w:rPr>
          <w:rFonts w:asciiTheme="minorHAnsi" w:hAnsiTheme="minorHAnsi" w:cs="TimesNewRomanPSMT"/>
          <w:color w:val="000000"/>
        </w:rPr>
        <w:t xml:space="preserve"> 1 cm.</w:t>
      </w:r>
    </w:p>
    <w:p w:rsidR="005E6E33" w:rsidRPr="005E6E33" w:rsidRDefault="005E6E33" w:rsidP="005E6E33">
      <w:pPr>
        <w:rPr>
          <w:rFonts w:asciiTheme="minorHAnsi" w:hAnsiTheme="minorHAnsi" w:cs="TimesNewRomanPSMT"/>
          <w:color w:val="000000"/>
        </w:rPr>
      </w:pPr>
    </w:p>
    <w:p w:rsidR="005E6E33" w:rsidRPr="005E6E33" w:rsidRDefault="005E6E33" w:rsidP="00EF1952">
      <w:pPr>
        <w:pStyle w:val="Nagwek3"/>
      </w:pPr>
      <w:r w:rsidRPr="005E6E33">
        <w:t xml:space="preserve">7. </w:t>
      </w:r>
      <w:r>
        <w:t>OBMIAR ROBÓT</w:t>
      </w:r>
    </w:p>
    <w:p w:rsidR="00332D60" w:rsidRPr="00203191" w:rsidRDefault="00332D60" w:rsidP="00332D60">
      <w:pPr>
        <w:pStyle w:val="Nagwek4"/>
        <w:tabs>
          <w:tab w:val="left" w:pos="9914"/>
        </w:tabs>
        <w:rPr>
          <w:rFonts w:asciiTheme="minorHAnsi" w:hAnsiTheme="minorHAnsi"/>
        </w:rPr>
      </w:pPr>
      <w:r w:rsidRPr="00203191">
        <w:rPr>
          <w:rFonts w:asciiTheme="minorHAnsi" w:hAnsiTheme="minorHAnsi"/>
        </w:rPr>
        <w:t>7.1. Ogólne zasady obmiaru robót</w:t>
      </w:r>
    </w:p>
    <w:p w:rsidR="00332D60" w:rsidRPr="00203191" w:rsidRDefault="00332D60" w:rsidP="00332D60">
      <w:pPr>
        <w:tabs>
          <w:tab w:val="left" w:pos="9914"/>
        </w:tabs>
        <w:rPr>
          <w:rFonts w:asciiTheme="minorHAnsi" w:hAnsiTheme="minorHAnsi" w:cs="TimesNewRomanPSMT"/>
          <w:color w:val="000000"/>
          <w:sz w:val="22"/>
          <w:szCs w:val="22"/>
        </w:rPr>
      </w:pPr>
      <w:r w:rsidRPr="00203191">
        <w:rPr>
          <w:rFonts w:asciiTheme="minorHAnsi" w:hAnsiTheme="minorHAnsi"/>
        </w:rPr>
        <w:t>Ogólne zasady obmiaru robót podano w SSTWiORB D-M-00.00.00 „Wymagania ogólne” pkt 7.</w:t>
      </w:r>
    </w:p>
    <w:p w:rsidR="00332D60" w:rsidRPr="00203191" w:rsidRDefault="00332D60" w:rsidP="00332D60">
      <w:pPr>
        <w:pStyle w:val="Nagwek4"/>
        <w:tabs>
          <w:tab w:val="left" w:pos="9914"/>
        </w:tabs>
        <w:rPr>
          <w:rFonts w:asciiTheme="minorHAnsi" w:hAnsiTheme="minorHAnsi"/>
        </w:rPr>
      </w:pPr>
      <w:r w:rsidRPr="00203191">
        <w:rPr>
          <w:rFonts w:asciiTheme="minorHAnsi" w:hAnsiTheme="minorHAnsi"/>
        </w:rPr>
        <w:t>7.2. Jednostka obmiarowa</w:t>
      </w:r>
    </w:p>
    <w:p w:rsidR="00584330" w:rsidRPr="00332D60" w:rsidRDefault="00332D60" w:rsidP="00332D60">
      <w:pPr>
        <w:rPr>
          <w:rFonts w:asciiTheme="minorHAnsi" w:hAnsiTheme="minorHAnsi"/>
        </w:rPr>
      </w:pPr>
      <w:r w:rsidRPr="00203191">
        <w:rPr>
          <w:rFonts w:asciiTheme="minorHAnsi" w:hAnsiTheme="minorHAnsi"/>
        </w:rPr>
        <w:t xml:space="preserve">Jednostką obmiarową jest m (metr) wykonanego ścieku z kostki </w:t>
      </w:r>
      <w:r>
        <w:rPr>
          <w:rFonts w:asciiTheme="minorHAnsi" w:hAnsiTheme="minorHAnsi"/>
        </w:rPr>
        <w:t>kamiennej</w:t>
      </w:r>
    </w:p>
    <w:p w:rsidR="005E6E33" w:rsidRPr="005E6E33" w:rsidRDefault="005E6E33" w:rsidP="005E6E33">
      <w:pPr>
        <w:rPr>
          <w:rFonts w:asciiTheme="minorHAnsi" w:hAnsiTheme="minorHAnsi" w:cs="TimesNewRomanPSMT"/>
          <w:color w:val="000000"/>
        </w:rPr>
      </w:pPr>
    </w:p>
    <w:p w:rsidR="005E6E33" w:rsidRPr="004C52C9" w:rsidRDefault="005E6E33" w:rsidP="00EF1952">
      <w:pPr>
        <w:pStyle w:val="Nagwek3"/>
      </w:pPr>
      <w:r w:rsidRPr="004C52C9">
        <w:lastRenderedPageBreak/>
        <w:t>8. ODBIÓR ROBÓT</w:t>
      </w:r>
    </w:p>
    <w:p w:rsidR="005E6E33" w:rsidRPr="005E6E33" w:rsidRDefault="005E6E33" w:rsidP="005E6E33">
      <w:pPr>
        <w:rPr>
          <w:rFonts w:asciiTheme="minorHAnsi" w:hAnsiTheme="minorHAnsi" w:cs="TimesNewRomanPSMT"/>
          <w:color w:val="000000"/>
        </w:rPr>
      </w:pPr>
    </w:p>
    <w:p w:rsidR="005E6E33" w:rsidRPr="004C52C9" w:rsidRDefault="005E6E33" w:rsidP="005E6E33">
      <w:pPr>
        <w:rPr>
          <w:rFonts w:asciiTheme="minorHAnsi" w:hAnsiTheme="minorHAnsi" w:cs="TimesNewRomanPSMT"/>
          <w:b/>
          <w:color w:val="000000"/>
        </w:rPr>
      </w:pPr>
      <w:r w:rsidRPr="004C52C9">
        <w:rPr>
          <w:rFonts w:asciiTheme="minorHAnsi" w:hAnsiTheme="minorHAnsi" w:cs="TimesNewRomanPSMT"/>
          <w:b/>
          <w:color w:val="000000"/>
        </w:rPr>
        <w:t>8.1. Ogólne zasady odbioru robót</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Ogólne zasady odbioru robót podano w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D-M-00.00.00 „Wymagania ogólne” pkt 8.</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 xml:space="preserve">Roboty uznaje się za wykonane zgodnie z dokumentacją projektową, </w:t>
      </w:r>
      <w:r w:rsidR="005B48CA">
        <w:rPr>
          <w:rFonts w:asciiTheme="minorHAnsi" w:hAnsiTheme="minorHAnsi" w:cs="TimesNewRomanPSMT"/>
          <w:color w:val="000000"/>
        </w:rPr>
        <w:t>STWiORB</w:t>
      </w:r>
      <w:r w:rsidRPr="005E6E33">
        <w:rPr>
          <w:rFonts w:asciiTheme="minorHAnsi" w:hAnsiTheme="minorHAnsi" w:cs="TimesNewRomanPSMT"/>
          <w:color w:val="000000"/>
        </w:rPr>
        <w:t xml:space="preserve"> i wymaganiami Inżyniera, jeżeli wszystkie pomiary i badania z zachowaniem tolerancji wg pkt 6 dały wyniki pozytywne.</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p>
    <w:p w:rsidR="005E6E33" w:rsidRPr="004C52C9" w:rsidRDefault="005E6E33" w:rsidP="005E6E33">
      <w:pPr>
        <w:rPr>
          <w:rFonts w:asciiTheme="minorHAnsi" w:hAnsiTheme="minorHAnsi" w:cs="TimesNewRomanPSMT"/>
          <w:b/>
          <w:color w:val="000000"/>
        </w:rPr>
      </w:pPr>
      <w:r w:rsidRPr="004C52C9">
        <w:rPr>
          <w:rFonts w:asciiTheme="minorHAnsi" w:hAnsiTheme="minorHAnsi" w:cs="TimesNewRomanPSMT"/>
          <w:b/>
          <w:color w:val="000000"/>
        </w:rPr>
        <w:t>8.2. Odbiór robót zanikających i ulegających zakryciu</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Odbiorowi robót zanikających i ulegających zakryciu podlegają:</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wykop pod ławę,</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wykonana ława,</w:t>
      </w: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wykonana podsypka.</w:t>
      </w:r>
    </w:p>
    <w:p w:rsidR="005E6E33" w:rsidRPr="005E6E33" w:rsidRDefault="005E6E33" w:rsidP="005E6E33">
      <w:pPr>
        <w:rPr>
          <w:rFonts w:asciiTheme="minorHAnsi" w:hAnsiTheme="minorHAnsi" w:cs="TimesNewRomanPSMT"/>
          <w:color w:val="000000"/>
        </w:rPr>
      </w:pPr>
    </w:p>
    <w:p w:rsidR="005E6E33" w:rsidRPr="004C52C9" w:rsidRDefault="005E6E33" w:rsidP="00EF1952">
      <w:pPr>
        <w:pStyle w:val="Nagwek3"/>
      </w:pPr>
      <w:r w:rsidRPr="004C52C9">
        <w:t>9. PODSTAWA PŁATNOŚCI</w:t>
      </w:r>
    </w:p>
    <w:p w:rsidR="005E6E33" w:rsidRPr="005E6E33" w:rsidRDefault="005E6E33" w:rsidP="005E6E33">
      <w:pPr>
        <w:rPr>
          <w:rFonts w:asciiTheme="minorHAnsi" w:hAnsiTheme="minorHAnsi" w:cs="TimesNewRomanPSMT"/>
          <w:color w:val="000000"/>
        </w:rPr>
      </w:pPr>
    </w:p>
    <w:p w:rsidR="00EF1952" w:rsidRPr="00203191" w:rsidRDefault="00EF1952" w:rsidP="00EF1952">
      <w:pPr>
        <w:pStyle w:val="Nagwek4"/>
        <w:tabs>
          <w:tab w:val="left" w:pos="9914"/>
        </w:tabs>
        <w:rPr>
          <w:rFonts w:asciiTheme="minorHAnsi" w:hAnsiTheme="minorHAnsi"/>
        </w:rPr>
      </w:pPr>
      <w:r w:rsidRPr="00203191">
        <w:rPr>
          <w:rFonts w:asciiTheme="minorHAnsi" w:hAnsiTheme="minorHAnsi"/>
        </w:rPr>
        <w:t>9.1. Ogólne ustalenia dotyczące podstawy płatności</w:t>
      </w:r>
    </w:p>
    <w:p w:rsidR="00EF1952" w:rsidRPr="00203191" w:rsidRDefault="00EF1952" w:rsidP="00EF1952">
      <w:pPr>
        <w:tabs>
          <w:tab w:val="left" w:pos="9914"/>
        </w:tabs>
        <w:rPr>
          <w:rFonts w:asciiTheme="minorHAnsi" w:hAnsiTheme="minorHAnsi"/>
        </w:rPr>
      </w:pPr>
      <w:r w:rsidRPr="00203191">
        <w:rPr>
          <w:rFonts w:asciiTheme="minorHAnsi" w:hAnsiTheme="minorHAnsi"/>
        </w:rPr>
        <w:t>Ogólne ustalenia dotyczące podstawy płatności podano w SSTWiORB D-M-00.00.00 „Wymagania ogólne” pkt 9.</w:t>
      </w:r>
    </w:p>
    <w:p w:rsidR="00EF1952" w:rsidRPr="00203191" w:rsidRDefault="00EF1952" w:rsidP="00EF1952">
      <w:pPr>
        <w:pStyle w:val="Nagwek4"/>
        <w:tabs>
          <w:tab w:val="left" w:pos="9914"/>
        </w:tabs>
        <w:rPr>
          <w:rFonts w:asciiTheme="minorHAnsi" w:hAnsiTheme="minorHAnsi"/>
        </w:rPr>
      </w:pPr>
      <w:r w:rsidRPr="00203191">
        <w:rPr>
          <w:rFonts w:asciiTheme="minorHAnsi" w:hAnsiTheme="minorHAnsi"/>
        </w:rPr>
        <w:t>9.2. Cena jednostki obmiarowej</w:t>
      </w:r>
    </w:p>
    <w:p w:rsidR="00EF1952" w:rsidRPr="00203191" w:rsidRDefault="00EF1952" w:rsidP="00EF1952">
      <w:pPr>
        <w:tabs>
          <w:tab w:val="left" w:pos="9914"/>
        </w:tabs>
        <w:rPr>
          <w:rFonts w:asciiTheme="minorHAnsi" w:hAnsiTheme="minorHAnsi"/>
        </w:rPr>
      </w:pPr>
      <w:r w:rsidRPr="00203191">
        <w:rPr>
          <w:rFonts w:asciiTheme="minorHAnsi" w:hAnsiTheme="minorHAnsi"/>
        </w:rPr>
        <w:t xml:space="preserve">Cena wykonania </w:t>
      </w:r>
      <w:smartTag w:uri="urn:schemas-microsoft-com:office:smarttags" w:element="metricconverter">
        <w:smartTagPr>
          <w:attr w:name="ProductID" w:val="1 m"/>
        </w:smartTagPr>
        <w:r w:rsidRPr="00203191">
          <w:rPr>
            <w:rFonts w:asciiTheme="minorHAnsi" w:hAnsiTheme="minorHAnsi"/>
          </w:rPr>
          <w:t>1 m</w:t>
        </w:r>
      </w:smartTag>
      <w:r w:rsidRPr="00203191">
        <w:rPr>
          <w:rFonts w:asciiTheme="minorHAnsi" w:hAnsiTheme="minorHAnsi"/>
        </w:rPr>
        <w:t xml:space="preserve"> ścieku z kostki wibroprasowanej obejmuje:</w:t>
      </w:r>
    </w:p>
    <w:p w:rsidR="00EF1952" w:rsidRPr="00203191" w:rsidRDefault="00EF1952" w:rsidP="00EF1952">
      <w:pPr>
        <w:tabs>
          <w:tab w:val="left" w:pos="9914"/>
        </w:tabs>
        <w:rPr>
          <w:rFonts w:asciiTheme="minorHAnsi" w:hAnsiTheme="minorHAnsi"/>
        </w:rPr>
      </w:pPr>
      <w:r w:rsidRPr="00203191">
        <w:rPr>
          <w:rFonts w:asciiTheme="minorHAnsi" w:hAnsiTheme="minorHAnsi"/>
        </w:rPr>
        <w:t xml:space="preserve">prace pomiarowe i przygotowawcze, </w:t>
      </w:r>
    </w:p>
    <w:p w:rsidR="00EF1952" w:rsidRPr="00203191" w:rsidRDefault="00EF1952" w:rsidP="00EF1952">
      <w:pPr>
        <w:tabs>
          <w:tab w:val="left" w:pos="9914"/>
        </w:tabs>
        <w:rPr>
          <w:rFonts w:asciiTheme="minorHAnsi" w:hAnsiTheme="minorHAnsi"/>
        </w:rPr>
      </w:pPr>
      <w:r w:rsidRPr="00203191">
        <w:rPr>
          <w:rFonts w:asciiTheme="minorHAnsi" w:hAnsiTheme="minorHAnsi"/>
        </w:rPr>
        <w:t>dostarczenie materiałów,</w:t>
      </w:r>
    </w:p>
    <w:p w:rsidR="00EF1952" w:rsidRPr="00203191" w:rsidRDefault="00EF1952" w:rsidP="00EF1952">
      <w:pPr>
        <w:tabs>
          <w:tab w:val="left" w:pos="9914"/>
        </w:tabs>
        <w:rPr>
          <w:rFonts w:asciiTheme="minorHAnsi" w:hAnsiTheme="minorHAnsi"/>
        </w:rPr>
      </w:pPr>
      <w:r w:rsidRPr="00203191">
        <w:rPr>
          <w:rFonts w:asciiTheme="minorHAnsi" w:hAnsiTheme="minorHAnsi"/>
        </w:rPr>
        <w:t>wykonanie wykopu pod ławę,</w:t>
      </w:r>
    </w:p>
    <w:p w:rsidR="00EF1952" w:rsidRPr="00203191" w:rsidRDefault="00EF1952" w:rsidP="00EF1952">
      <w:pPr>
        <w:tabs>
          <w:tab w:val="left" w:pos="9914"/>
        </w:tabs>
        <w:rPr>
          <w:rFonts w:asciiTheme="minorHAnsi" w:hAnsiTheme="minorHAnsi"/>
        </w:rPr>
      </w:pPr>
      <w:r w:rsidRPr="00203191">
        <w:rPr>
          <w:rFonts w:asciiTheme="minorHAnsi" w:hAnsiTheme="minorHAnsi"/>
        </w:rPr>
        <w:t>wykonanie ławy,</w:t>
      </w:r>
    </w:p>
    <w:p w:rsidR="00EF1952" w:rsidRPr="00203191" w:rsidRDefault="00EF1952" w:rsidP="00EF1952">
      <w:pPr>
        <w:tabs>
          <w:tab w:val="left" w:pos="9914"/>
        </w:tabs>
        <w:rPr>
          <w:rFonts w:asciiTheme="minorHAnsi" w:hAnsiTheme="minorHAnsi"/>
        </w:rPr>
      </w:pPr>
      <w:r w:rsidRPr="00203191">
        <w:rPr>
          <w:rFonts w:asciiTheme="minorHAnsi" w:hAnsiTheme="minorHAnsi"/>
        </w:rPr>
        <w:t>pielęgnację betonu,</w:t>
      </w:r>
    </w:p>
    <w:p w:rsidR="00EF1952" w:rsidRPr="00203191" w:rsidRDefault="00EF1952" w:rsidP="00EF1952">
      <w:pPr>
        <w:tabs>
          <w:tab w:val="left" w:pos="9914"/>
        </w:tabs>
        <w:rPr>
          <w:rFonts w:asciiTheme="minorHAnsi" w:hAnsiTheme="minorHAnsi"/>
        </w:rPr>
      </w:pPr>
      <w:r w:rsidRPr="00203191">
        <w:rPr>
          <w:rFonts w:asciiTheme="minorHAnsi" w:hAnsiTheme="minorHAnsi"/>
        </w:rPr>
        <w:t xml:space="preserve">wykonanie podsypki, </w:t>
      </w:r>
    </w:p>
    <w:p w:rsidR="00EF1952" w:rsidRPr="00203191" w:rsidRDefault="00EF1952" w:rsidP="00EF1952">
      <w:pPr>
        <w:tabs>
          <w:tab w:val="left" w:pos="9914"/>
        </w:tabs>
        <w:rPr>
          <w:rFonts w:asciiTheme="minorHAnsi" w:hAnsiTheme="minorHAnsi"/>
        </w:rPr>
      </w:pPr>
      <w:r w:rsidRPr="00203191">
        <w:rPr>
          <w:rFonts w:asciiTheme="minorHAnsi" w:hAnsiTheme="minorHAnsi"/>
        </w:rPr>
        <w:t>wypełnienie spoin,</w:t>
      </w:r>
    </w:p>
    <w:p w:rsidR="00EF1952" w:rsidRPr="00203191" w:rsidRDefault="00EF1952" w:rsidP="00EF1952">
      <w:pPr>
        <w:tabs>
          <w:tab w:val="left" w:pos="9914"/>
        </w:tabs>
        <w:rPr>
          <w:rFonts w:asciiTheme="minorHAnsi" w:hAnsiTheme="minorHAnsi" w:cs="TimesNewRomanPSMT"/>
          <w:color w:val="000000"/>
          <w:sz w:val="22"/>
          <w:szCs w:val="22"/>
        </w:rPr>
      </w:pPr>
      <w:r w:rsidRPr="00203191">
        <w:rPr>
          <w:rFonts w:asciiTheme="minorHAnsi" w:hAnsiTheme="minorHAnsi"/>
        </w:rPr>
        <w:t>ułożenie ścieku z kostki kamiennej nieregularnej lub rzędowej, z wypełnieniem spoin i pielęgnacją ścieku,</w:t>
      </w:r>
    </w:p>
    <w:p w:rsidR="00EF1952" w:rsidRPr="00203191" w:rsidRDefault="00EF1952" w:rsidP="00EF1952">
      <w:pPr>
        <w:tabs>
          <w:tab w:val="left" w:pos="9914"/>
        </w:tabs>
        <w:rPr>
          <w:rFonts w:asciiTheme="minorHAnsi" w:hAnsiTheme="minorHAnsi"/>
        </w:rPr>
      </w:pPr>
      <w:r w:rsidRPr="00203191">
        <w:rPr>
          <w:rFonts w:asciiTheme="minorHAnsi" w:hAnsiTheme="minorHAnsi"/>
        </w:rPr>
        <w:t>przeprowadzenie pomiarów i badań wymaganych w specyfikacji technicznej.</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p>
    <w:p w:rsidR="005E6E33" w:rsidRPr="004C52C9" w:rsidRDefault="005E6E33" w:rsidP="00EF1952">
      <w:pPr>
        <w:pStyle w:val="Nagwek3"/>
      </w:pPr>
      <w:r w:rsidRPr="004C52C9">
        <w:t>10. przepisy związane</w:t>
      </w:r>
    </w:p>
    <w:p w:rsidR="005E6E33" w:rsidRPr="005E6E33" w:rsidRDefault="005E6E33" w:rsidP="005E6E33">
      <w:pPr>
        <w:rPr>
          <w:rFonts w:asciiTheme="minorHAnsi" w:hAnsiTheme="minorHAnsi" w:cs="TimesNewRomanPSMT"/>
          <w:color w:val="000000"/>
        </w:rPr>
      </w:pPr>
    </w:p>
    <w:p w:rsidR="005E6E33" w:rsidRPr="005E6E33" w:rsidRDefault="005E6E33" w:rsidP="005E6E33">
      <w:pPr>
        <w:rPr>
          <w:rFonts w:asciiTheme="minorHAnsi" w:hAnsiTheme="minorHAnsi" w:cs="TimesNewRomanPSMT"/>
          <w:color w:val="000000"/>
        </w:rPr>
      </w:pPr>
      <w:r w:rsidRPr="005E6E33">
        <w:rPr>
          <w:rFonts w:asciiTheme="minorHAnsi" w:hAnsiTheme="minorHAnsi" w:cs="TimesNewRomanPSMT"/>
          <w:color w:val="000000"/>
        </w:rPr>
        <w:t>Norma PN-B-11100 - Materiały kamienne. Kostka drogowa</w:t>
      </w:r>
    </w:p>
    <w:p w:rsidR="00E30240" w:rsidRPr="00E30240" w:rsidRDefault="00E30240" w:rsidP="00E30240">
      <w:pPr>
        <w:rPr>
          <w:rFonts w:asciiTheme="minorHAnsi" w:hAnsiTheme="minorHAnsi" w:cs="TimesNewRomanPSMT"/>
          <w:color w:val="000000"/>
        </w:rPr>
      </w:pPr>
    </w:p>
    <w:p w:rsidR="00E30240" w:rsidRPr="00141DC0" w:rsidRDefault="00E30240">
      <w:pPr>
        <w:overflowPunct/>
        <w:autoSpaceDE/>
        <w:autoSpaceDN/>
        <w:adjustRightInd/>
        <w:jc w:val="left"/>
        <w:textAlignment w:val="auto"/>
        <w:rPr>
          <w:rFonts w:asciiTheme="minorHAnsi" w:hAnsiTheme="minorHAnsi" w:cs="Calibri"/>
        </w:rPr>
      </w:pPr>
      <w:r>
        <w:rPr>
          <w:rFonts w:asciiTheme="minorHAnsi" w:hAnsiTheme="minorHAnsi" w:cs="Calibri"/>
        </w:rPr>
        <w:br w:type="page"/>
      </w:r>
    </w:p>
    <w:p w:rsidR="00F22BDD" w:rsidRPr="00946928" w:rsidRDefault="00A95FEE" w:rsidP="00946928">
      <w:pPr>
        <w:pStyle w:val="Nagwek2"/>
      </w:pPr>
      <w:r w:rsidRPr="00946928">
        <w:lastRenderedPageBreak/>
        <w:t>SPECYFIKACJE TECHNICZNE</w:t>
      </w:r>
      <w:r w:rsidR="00A46FA8" w:rsidRPr="00946928">
        <w:t xml:space="preserve"> WYKONYWANIA I ODBIORU ROBÓT BUDOWLANYCH</w:t>
      </w:r>
    </w:p>
    <w:p w:rsidR="00F22BDD" w:rsidRPr="00946928" w:rsidRDefault="00F22BDD" w:rsidP="00946928">
      <w:pPr>
        <w:pStyle w:val="Nagwek1"/>
      </w:pPr>
      <w:bookmarkStart w:id="1256" w:name="_Toc285044238"/>
      <w:bookmarkStart w:id="1257" w:name="_Toc296923110"/>
      <w:bookmarkStart w:id="1258" w:name="_Toc459929681"/>
      <w:bookmarkStart w:id="1259" w:name="_Toc427178287"/>
      <w:r w:rsidRPr="00946928">
        <w:t>D - 05.03.23 NAWIERZCHNIA Z KOSTKI BRUKOWEJ BETONOWEJ</w:t>
      </w:r>
      <w:bookmarkEnd w:id="1256"/>
      <w:bookmarkEnd w:id="1257"/>
      <w:bookmarkEnd w:id="1258"/>
      <w:r w:rsidR="0069119B" w:rsidRPr="00946928">
        <w:t xml:space="preserve"> </w:t>
      </w:r>
      <w:bookmarkEnd w:id="1259"/>
    </w:p>
    <w:p w:rsidR="00F22BDD" w:rsidRPr="00F22BDD" w:rsidRDefault="00F22BDD" w:rsidP="00F22BDD">
      <w:pPr>
        <w:pStyle w:val="Nagwek3"/>
        <w:rPr>
          <w:rFonts w:asciiTheme="minorHAnsi" w:hAnsiTheme="minorHAnsi"/>
        </w:rPr>
      </w:pPr>
      <w:bookmarkStart w:id="1260" w:name="_Toc107903215"/>
      <w:r w:rsidRPr="00F22BDD">
        <w:rPr>
          <w:rFonts w:asciiTheme="minorHAnsi" w:hAnsiTheme="minorHAnsi"/>
        </w:rPr>
        <w:t>1. WSTĘP</w:t>
      </w:r>
      <w:bookmarkEnd w:id="1260"/>
    </w:p>
    <w:p w:rsidR="00F22BDD" w:rsidRPr="00F22BDD" w:rsidRDefault="00F22BDD" w:rsidP="00F22BDD">
      <w:pPr>
        <w:pStyle w:val="Nagwek4"/>
        <w:rPr>
          <w:rFonts w:asciiTheme="minorHAnsi" w:hAnsiTheme="minorHAnsi"/>
        </w:rPr>
      </w:pPr>
      <w:r w:rsidRPr="00F22BDD">
        <w:rPr>
          <w:rFonts w:asciiTheme="minorHAnsi" w:hAnsiTheme="minorHAnsi"/>
        </w:rPr>
        <w:t xml:space="preserve">1.1. Przedmiot </w:t>
      </w:r>
      <w:r w:rsidR="005B48CA">
        <w:rPr>
          <w:rFonts w:asciiTheme="minorHAnsi" w:hAnsiTheme="minorHAnsi"/>
        </w:rPr>
        <w:t>STWiORB</w:t>
      </w:r>
    </w:p>
    <w:p w:rsidR="00F22BDD" w:rsidRPr="00F22BDD" w:rsidRDefault="00F22BDD" w:rsidP="00F22BDD">
      <w:pPr>
        <w:pStyle w:val="Standardowytekst"/>
        <w:rPr>
          <w:rFonts w:asciiTheme="minorHAnsi" w:hAnsiTheme="minorHAnsi"/>
        </w:rPr>
      </w:pPr>
      <w:r w:rsidRPr="00F22BDD">
        <w:rPr>
          <w:rFonts w:asciiTheme="minorHAnsi" w:hAnsiTheme="minorHAnsi"/>
        </w:rPr>
        <w:t xml:space="preserve">Przedmiotem </w:t>
      </w:r>
      <w:r w:rsidR="00ED6D29">
        <w:rPr>
          <w:rFonts w:asciiTheme="minorHAnsi" w:hAnsiTheme="minorHAnsi"/>
        </w:rPr>
        <w:t>niniejszej</w:t>
      </w:r>
      <w:r w:rsidR="00E22F37">
        <w:rPr>
          <w:rFonts w:asciiTheme="minorHAnsi" w:hAnsiTheme="minorHAnsi"/>
        </w:rPr>
        <w:t xml:space="preserve"> </w:t>
      </w:r>
      <w:r w:rsidR="00ED6D29">
        <w:rPr>
          <w:rFonts w:asciiTheme="minorHAnsi" w:hAnsiTheme="minorHAnsi"/>
        </w:rPr>
        <w:t>specyfikacji</w:t>
      </w:r>
      <w:r w:rsidR="00E22F37">
        <w:rPr>
          <w:rFonts w:asciiTheme="minorHAnsi" w:hAnsiTheme="minorHAnsi"/>
        </w:rPr>
        <w:t xml:space="preserve"> </w:t>
      </w:r>
      <w:r w:rsidRPr="00F22BDD">
        <w:rPr>
          <w:rFonts w:asciiTheme="minorHAnsi" w:hAnsiTheme="minorHAnsi"/>
        </w:rPr>
        <w:t>technicznej wykonania i odbioru robót budowlanych (</w:t>
      </w:r>
      <w:r w:rsidR="005B48CA">
        <w:rPr>
          <w:rFonts w:asciiTheme="minorHAnsi" w:hAnsiTheme="minorHAnsi"/>
        </w:rPr>
        <w:t>STWiORB</w:t>
      </w:r>
      <w:r w:rsidRPr="00F22BDD">
        <w:rPr>
          <w:rFonts w:asciiTheme="minorHAnsi" w:hAnsiTheme="minorHAnsi"/>
        </w:rPr>
        <w:t>) są wymagania dotyczące wykonania i odbioru robót związanych z wykonywaniem nawierzchni z kostki brukowej betonowej.</w:t>
      </w:r>
    </w:p>
    <w:p w:rsidR="00F22BDD" w:rsidRPr="00F22BDD" w:rsidRDefault="00F22BDD" w:rsidP="00F22BDD">
      <w:pPr>
        <w:pStyle w:val="Nagwek4"/>
        <w:rPr>
          <w:rFonts w:asciiTheme="minorHAnsi" w:hAnsiTheme="minorHAnsi"/>
        </w:rPr>
      </w:pPr>
      <w:r w:rsidRPr="00F22BDD">
        <w:rPr>
          <w:rFonts w:asciiTheme="minorHAnsi" w:hAnsiTheme="minorHAnsi"/>
        </w:rPr>
        <w:t xml:space="preserve">1.2. Zakres stosowania </w:t>
      </w:r>
      <w:r w:rsidR="005B48CA">
        <w:rPr>
          <w:rFonts w:asciiTheme="minorHAnsi" w:hAnsiTheme="minorHAnsi"/>
        </w:rPr>
        <w:t>STWiORB</w:t>
      </w:r>
    </w:p>
    <w:p w:rsidR="00F22BDD" w:rsidRDefault="00FE60E3" w:rsidP="00F22BDD">
      <w:pPr>
        <w:rPr>
          <w:rFonts w:asciiTheme="minorHAnsi" w:hAnsiTheme="minorHAnsi" w:cs="Calibri"/>
        </w:rPr>
      </w:pPr>
      <w:r>
        <w:rPr>
          <w:rFonts w:asciiTheme="minorHAnsi" w:hAnsiTheme="minorHAnsi" w:cs="Calibri"/>
        </w:rPr>
        <w:t>Specyfikacja techniczna</w:t>
      </w:r>
      <w:r w:rsidR="00E22F37">
        <w:rPr>
          <w:rFonts w:asciiTheme="minorHAnsi" w:hAnsiTheme="minorHAnsi" w:cs="Calibri"/>
        </w:rPr>
        <w:t xml:space="preserve"> </w:t>
      </w:r>
      <w:r>
        <w:rPr>
          <w:rFonts w:asciiTheme="minorHAnsi" w:hAnsiTheme="minorHAnsi" w:cs="Calibri"/>
        </w:rPr>
        <w:t>stanowi</w:t>
      </w:r>
      <w:r w:rsidR="00E22F37">
        <w:rPr>
          <w:rFonts w:asciiTheme="minorHAnsi" w:hAnsiTheme="minorHAnsi" w:cs="Calibri"/>
        </w:rPr>
        <w:t xml:space="preserve"> </w:t>
      </w:r>
      <w:r w:rsidR="00F22BDD">
        <w:rPr>
          <w:rFonts w:asciiTheme="minorHAnsi" w:hAnsiTheme="minorHAnsi" w:cs="Calibri"/>
        </w:rPr>
        <w:t xml:space="preserve">dokument przetargowy i kontraktowy przy realizacji  zadania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F22BDD" w:rsidRPr="00F22BDD" w:rsidRDefault="00F22BDD" w:rsidP="00F22BDD">
      <w:pPr>
        <w:pStyle w:val="Nagwek4"/>
        <w:rPr>
          <w:rFonts w:asciiTheme="minorHAnsi" w:hAnsiTheme="minorHAnsi"/>
        </w:rPr>
      </w:pPr>
      <w:r w:rsidRPr="00F22BDD">
        <w:rPr>
          <w:rFonts w:asciiTheme="minorHAnsi" w:hAnsiTheme="minorHAnsi"/>
        </w:rPr>
        <w:t xml:space="preserve">1.3. Zakres robót objętych </w:t>
      </w:r>
      <w:r w:rsidR="005B48CA">
        <w:rPr>
          <w:rFonts w:asciiTheme="minorHAnsi" w:hAnsiTheme="minorHAnsi"/>
        </w:rPr>
        <w:t>STWiORB</w:t>
      </w:r>
    </w:p>
    <w:p w:rsidR="00F22BDD" w:rsidRPr="00F22BDD" w:rsidRDefault="00F22BDD" w:rsidP="00F22BDD">
      <w:pPr>
        <w:rPr>
          <w:rFonts w:asciiTheme="minorHAnsi" w:hAnsiTheme="minorHAnsi"/>
        </w:rPr>
      </w:pPr>
      <w:r w:rsidRPr="00F22BDD">
        <w:rPr>
          <w:rFonts w:asciiTheme="minorHAnsi" w:hAnsiTheme="minorHAnsi"/>
        </w:rPr>
        <w:t xml:space="preserve">Ustalenia zawarte w </w:t>
      </w:r>
      <w:r w:rsidR="00ED6D29">
        <w:rPr>
          <w:rFonts w:asciiTheme="minorHAnsi" w:hAnsiTheme="minorHAnsi"/>
        </w:rPr>
        <w:t>niniejszej</w:t>
      </w:r>
      <w:r w:rsidR="00E22F37">
        <w:rPr>
          <w:rFonts w:asciiTheme="minorHAnsi" w:hAnsiTheme="minorHAnsi"/>
        </w:rPr>
        <w:t xml:space="preserve"> </w:t>
      </w:r>
      <w:r w:rsidR="00ED6D29">
        <w:rPr>
          <w:rFonts w:asciiTheme="minorHAnsi" w:hAnsiTheme="minorHAnsi"/>
        </w:rPr>
        <w:t>specyfikacji</w:t>
      </w:r>
      <w:r w:rsidR="00E22F37">
        <w:rPr>
          <w:rFonts w:asciiTheme="minorHAnsi" w:hAnsiTheme="minorHAnsi"/>
        </w:rPr>
        <w:t xml:space="preserve"> </w:t>
      </w:r>
      <w:r w:rsidRPr="00F22BDD">
        <w:rPr>
          <w:rFonts w:asciiTheme="minorHAnsi" w:hAnsiTheme="minorHAnsi"/>
        </w:rPr>
        <w:t>dotyczą zasad prowadzenia robót związanych z wykonywaniem nawierzchni z kostki brukowej betonowej.</w:t>
      </w:r>
    </w:p>
    <w:p w:rsidR="00F22BDD" w:rsidRPr="00F22BDD" w:rsidRDefault="00F22BDD" w:rsidP="00F22BDD">
      <w:pPr>
        <w:pStyle w:val="Nagwek4"/>
        <w:rPr>
          <w:rFonts w:asciiTheme="minorHAnsi" w:hAnsiTheme="minorHAnsi"/>
        </w:rPr>
      </w:pPr>
      <w:r w:rsidRPr="00F22BDD">
        <w:rPr>
          <w:rFonts w:asciiTheme="minorHAnsi" w:hAnsiTheme="minorHAnsi"/>
        </w:rPr>
        <w:t>1.4. Określenia podstawowe</w:t>
      </w:r>
    </w:p>
    <w:p w:rsidR="00F22BDD" w:rsidRDefault="00F22BDD" w:rsidP="00F22BDD">
      <w:pPr>
        <w:numPr>
          <w:ilvl w:val="12"/>
          <w:numId w:val="0"/>
        </w:numPr>
        <w:rPr>
          <w:rFonts w:asciiTheme="minorHAnsi" w:hAnsiTheme="minorHAnsi"/>
        </w:rPr>
      </w:pPr>
      <w:r w:rsidRPr="00F22BDD">
        <w:rPr>
          <w:rFonts w:asciiTheme="minorHAnsi" w:hAnsiTheme="minorHAnsi"/>
          <w:b/>
        </w:rPr>
        <w:t xml:space="preserve">1.4.1. </w:t>
      </w:r>
      <w:r w:rsidRPr="00F22BDD">
        <w:rPr>
          <w:rFonts w:asciiTheme="minorHAnsi" w:hAnsiTheme="minorHAnsi"/>
        </w:rPr>
        <w:t>Betonowa kostka brukowa - kształtka wytwarzana z betonu metodą wibroprasowania. Produkowana jest jako kształtka jednowarstwowa lub w dwóch warstwach połączonych ze sobą trwale w fazie produkcji.</w:t>
      </w:r>
    </w:p>
    <w:p w:rsidR="0069119B" w:rsidRPr="00F22BDD" w:rsidRDefault="0069119B" w:rsidP="00F22BDD">
      <w:pPr>
        <w:numPr>
          <w:ilvl w:val="12"/>
          <w:numId w:val="0"/>
        </w:numPr>
        <w:rPr>
          <w:rFonts w:asciiTheme="minorHAnsi" w:hAnsiTheme="minorHAnsi"/>
        </w:rPr>
      </w:pPr>
      <w:r w:rsidRPr="00F22BDD">
        <w:rPr>
          <w:rFonts w:asciiTheme="minorHAnsi" w:hAnsiTheme="minorHAnsi"/>
          <w:b/>
        </w:rPr>
        <w:t>1.4.</w:t>
      </w:r>
      <w:r>
        <w:rPr>
          <w:rFonts w:asciiTheme="minorHAnsi" w:hAnsiTheme="minorHAnsi"/>
          <w:b/>
        </w:rPr>
        <w:t>2</w:t>
      </w:r>
      <w:r w:rsidRPr="00F22BDD">
        <w:rPr>
          <w:rFonts w:asciiTheme="minorHAnsi" w:hAnsiTheme="minorHAnsi"/>
          <w:b/>
        </w:rPr>
        <w:t xml:space="preserve">. </w:t>
      </w:r>
      <w:r w:rsidRPr="00F22BDD">
        <w:rPr>
          <w:rFonts w:asciiTheme="minorHAnsi" w:hAnsiTheme="minorHAnsi"/>
        </w:rPr>
        <w:t xml:space="preserve">Betonowa </w:t>
      </w:r>
      <w:r>
        <w:rPr>
          <w:rFonts w:asciiTheme="minorHAnsi" w:hAnsiTheme="minorHAnsi"/>
        </w:rPr>
        <w:t>płyta chodnikowa</w:t>
      </w:r>
      <w:r w:rsidRPr="00F22BDD">
        <w:rPr>
          <w:rFonts w:asciiTheme="minorHAnsi" w:hAnsiTheme="minorHAnsi"/>
        </w:rPr>
        <w:t xml:space="preserve"> </w:t>
      </w:r>
      <w:r>
        <w:rPr>
          <w:rFonts w:asciiTheme="minorHAnsi" w:hAnsiTheme="minorHAnsi"/>
        </w:rPr>
        <w:t>–</w:t>
      </w:r>
      <w:r w:rsidRPr="00F22BDD">
        <w:rPr>
          <w:rFonts w:asciiTheme="minorHAnsi" w:hAnsiTheme="minorHAnsi"/>
        </w:rPr>
        <w:t xml:space="preserve"> kształtka</w:t>
      </w:r>
      <w:r>
        <w:rPr>
          <w:rFonts w:asciiTheme="minorHAnsi" w:hAnsiTheme="minorHAnsi"/>
        </w:rPr>
        <w:t xml:space="preserve"> o dwóch wymiarach znacznie większych od trzeciego.</w:t>
      </w:r>
      <w:r w:rsidRPr="00F22BDD">
        <w:rPr>
          <w:rFonts w:asciiTheme="minorHAnsi" w:hAnsiTheme="minorHAnsi"/>
        </w:rPr>
        <w:t xml:space="preserve"> </w:t>
      </w:r>
      <w:r>
        <w:rPr>
          <w:rFonts w:asciiTheme="minorHAnsi" w:hAnsiTheme="minorHAnsi"/>
        </w:rPr>
        <w:t>W</w:t>
      </w:r>
      <w:r w:rsidRPr="00F22BDD">
        <w:rPr>
          <w:rFonts w:asciiTheme="minorHAnsi" w:hAnsiTheme="minorHAnsi"/>
        </w:rPr>
        <w:t>ytwarzana z betonu metodą wibroprasowania. Produkowana jest jako kształtka jednowarstwowa lub w dwóch warstwach połączonych ze sobą trwale w fazie produkcji.</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1.4.</w:t>
      </w:r>
      <w:r w:rsidR="0069119B">
        <w:rPr>
          <w:rFonts w:asciiTheme="minorHAnsi" w:hAnsiTheme="minorHAnsi"/>
          <w:b/>
        </w:rPr>
        <w:t>3</w:t>
      </w:r>
      <w:r w:rsidRPr="00F22BDD">
        <w:rPr>
          <w:rFonts w:asciiTheme="minorHAnsi" w:hAnsiTheme="minorHAnsi"/>
          <w:b/>
        </w:rPr>
        <w:t xml:space="preserve">. </w:t>
      </w:r>
      <w:r w:rsidRPr="00F22BDD">
        <w:rPr>
          <w:rFonts w:asciiTheme="minorHAnsi" w:hAnsiTheme="minorHAnsi"/>
        </w:rPr>
        <w:t xml:space="preserve">Pozostałe określenia podstawowe są zgodne z obowiązującymi, odpowiednimi polskimi normami i z definicjami podanymi w </w:t>
      </w:r>
      <w:r w:rsidR="005B48CA">
        <w:rPr>
          <w:rFonts w:asciiTheme="minorHAnsi" w:hAnsiTheme="minorHAnsi"/>
        </w:rPr>
        <w:t>STWiORB</w:t>
      </w:r>
      <w:r w:rsidRPr="00F22BDD">
        <w:rPr>
          <w:rFonts w:asciiTheme="minorHAnsi" w:hAnsiTheme="minorHAnsi"/>
        </w:rPr>
        <w:t xml:space="preserve"> D-M-00.00.00 „Wymagania ogólne” pkt 1.4.</w:t>
      </w:r>
    </w:p>
    <w:p w:rsidR="00F22BDD" w:rsidRPr="00F22BDD" w:rsidRDefault="00F22BDD" w:rsidP="00F22BDD">
      <w:pPr>
        <w:pStyle w:val="Nagwek4"/>
        <w:rPr>
          <w:rFonts w:asciiTheme="minorHAnsi" w:hAnsiTheme="minorHAnsi"/>
        </w:rPr>
      </w:pPr>
      <w:r w:rsidRPr="00F22BDD">
        <w:rPr>
          <w:rFonts w:asciiTheme="minorHAnsi" w:hAnsiTheme="minorHAnsi"/>
        </w:rPr>
        <w:t xml:space="preserve">1.5. Ogólne wymagania dotyczące robót </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wymagania dotyczące robót podano w </w:t>
      </w:r>
      <w:r w:rsidR="005B48CA">
        <w:rPr>
          <w:rFonts w:asciiTheme="minorHAnsi" w:hAnsiTheme="minorHAnsi"/>
        </w:rPr>
        <w:t>STWiORB</w:t>
      </w:r>
      <w:r w:rsidRPr="00F22BDD">
        <w:rPr>
          <w:rFonts w:asciiTheme="minorHAnsi" w:hAnsiTheme="minorHAnsi"/>
        </w:rPr>
        <w:t xml:space="preserve"> D-M-00.00.00 „Wymagania ogólne” pkt 1.5.</w:t>
      </w:r>
    </w:p>
    <w:p w:rsidR="00F22BDD" w:rsidRPr="00F22BDD" w:rsidRDefault="00F22BDD" w:rsidP="00F22BDD">
      <w:pPr>
        <w:pStyle w:val="Nagwek3"/>
        <w:rPr>
          <w:rFonts w:asciiTheme="minorHAnsi" w:hAnsiTheme="minorHAnsi"/>
        </w:rPr>
      </w:pPr>
      <w:bookmarkStart w:id="1261" w:name="_Toc107903216"/>
      <w:r w:rsidRPr="00F22BDD">
        <w:rPr>
          <w:rFonts w:asciiTheme="minorHAnsi" w:hAnsiTheme="minorHAnsi"/>
        </w:rPr>
        <w:t xml:space="preserve">2. </w:t>
      </w:r>
      <w:r w:rsidR="00A95FEE">
        <w:rPr>
          <w:rFonts w:asciiTheme="minorHAnsi" w:hAnsiTheme="minorHAnsi"/>
        </w:rPr>
        <w:t>WYROBY BUDOWLANE</w:t>
      </w:r>
      <w:bookmarkEnd w:id="1261"/>
    </w:p>
    <w:p w:rsidR="00F22BDD" w:rsidRPr="00F22BDD" w:rsidRDefault="00F22BDD" w:rsidP="00F22BDD">
      <w:pPr>
        <w:pStyle w:val="Nagwek4"/>
        <w:rPr>
          <w:rFonts w:asciiTheme="minorHAnsi" w:hAnsiTheme="minorHAnsi"/>
        </w:rPr>
      </w:pPr>
      <w:r w:rsidRPr="00F22BDD">
        <w:rPr>
          <w:rFonts w:asciiTheme="minorHAnsi" w:hAnsiTheme="minorHAnsi"/>
        </w:rPr>
        <w:t>2.1. Ogólne wymagania dotyczące materiałów</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wymagania dotyczące materiałów, ich pozyskiwania i składowania, podano w </w:t>
      </w:r>
      <w:r w:rsidR="005B48CA">
        <w:rPr>
          <w:rFonts w:asciiTheme="minorHAnsi" w:hAnsiTheme="minorHAnsi"/>
        </w:rPr>
        <w:t>STWiORB</w:t>
      </w:r>
      <w:r w:rsidRPr="00F22BDD">
        <w:rPr>
          <w:rFonts w:asciiTheme="minorHAnsi" w:hAnsiTheme="minorHAnsi"/>
        </w:rPr>
        <w:t xml:space="preserve"> D-M-00.00.00 „Wymagania ogólne” pkt 2.</w:t>
      </w:r>
    </w:p>
    <w:p w:rsidR="00F22BDD" w:rsidRPr="00F22BDD" w:rsidRDefault="00F22BDD" w:rsidP="00F22BDD">
      <w:pPr>
        <w:pStyle w:val="Nagwek4"/>
        <w:rPr>
          <w:rFonts w:asciiTheme="minorHAnsi" w:hAnsiTheme="minorHAnsi"/>
        </w:rPr>
      </w:pPr>
      <w:r w:rsidRPr="00F22BDD">
        <w:rPr>
          <w:rFonts w:asciiTheme="minorHAnsi" w:hAnsiTheme="minorHAnsi"/>
        </w:rPr>
        <w:t>2.2. Betonowa kostka brukowa</w:t>
      </w:r>
      <w:r w:rsidR="0069119B">
        <w:rPr>
          <w:rFonts w:asciiTheme="minorHAnsi" w:hAnsiTheme="minorHAnsi"/>
        </w:rPr>
        <w:t xml:space="preserve"> </w:t>
      </w:r>
      <w:r w:rsidRPr="00F22BDD">
        <w:rPr>
          <w:rFonts w:asciiTheme="minorHAnsi" w:hAnsiTheme="minorHAnsi"/>
        </w:rPr>
        <w:t>- wymagania</w:t>
      </w:r>
    </w:p>
    <w:p w:rsidR="00F22BDD" w:rsidRDefault="00F22BDD" w:rsidP="00F22BDD">
      <w:pPr>
        <w:numPr>
          <w:ilvl w:val="12"/>
          <w:numId w:val="0"/>
        </w:numPr>
        <w:rPr>
          <w:rFonts w:asciiTheme="minorHAnsi" w:hAnsiTheme="minorHAnsi"/>
        </w:rPr>
      </w:pPr>
      <w:r w:rsidRPr="00F22BDD">
        <w:rPr>
          <w:rFonts w:asciiTheme="minorHAnsi" w:hAnsiTheme="minorHAnsi"/>
        </w:rPr>
        <w:t>Kostka winna odpowiadać wymaganiom normy PN-EN 1338:2005</w:t>
      </w:r>
      <w:r w:rsidR="00EF1952">
        <w:rPr>
          <w:rFonts w:asciiTheme="minorHAnsi" w:hAnsiTheme="minorHAnsi"/>
        </w:rPr>
        <w:t xml:space="preserve"> oraz dokumentacji projektowej</w:t>
      </w:r>
      <w:r w:rsidRPr="00F22BDD">
        <w:rPr>
          <w:rFonts w:asciiTheme="minorHAnsi" w:hAnsiTheme="minorHAnsi"/>
        </w:rPr>
        <w:t xml:space="preserve">  </w:t>
      </w:r>
    </w:p>
    <w:p w:rsidR="00EF1952" w:rsidRPr="00F22BDD" w:rsidRDefault="00EF1952" w:rsidP="00F22BDD">
      <w:pPr>
        <w:numPr>
          <w:ilvl w:val="12"/>
          <w:numId w:val="0"/>
        </w:numPr>
        <w:rPr>
          <w:rFonts w:asciiTheme="minorHAnsi" w:hAnsiTheme="minorHAnsi"/>
        </w:rPr>
      </w:pPr>
    </w:p>
    <w:p w:rsidR="00F22BDD" w:rsidRPr="00F22BDD" w:rsidRDefault="00F22BDD" w:rsidP="00F22BDD">
      <w:pPr>
        <w:rPr>
          <w:rFonts w:asciiTheme="minorHAnsi" w:hAnsiTheme="minorHAnsi"/>
        </w:rPr>
      </w:pPr>
      <w:r w:rsidRPr="00F22BDD">
        <w:rPr>
          <w:rFonts w:asciiTheme="minorHAnsi" w:hAnsiTheme="minorHAnsi"/>
        </w:rPr>
        <w:t>3.1. Dopuszczalne odchyłki wymiarów nominalnych deklarowanych  przez producenta</w:t>
      </w:r>
    </w:p>
    <w:p w:rsidR="00F22BDD" w:rsidRPr="00F22BDD" w:rsidRDefault="00F22BDD" w:rsidP="00F22BDD">
      <w:pPr>
        <w:rPr>
          <w:rFonts w:asciiTheme="minorHAnsi" w:hAnsiTheme="minorHAnsi"/>
        </w:rPr>
      </w:pPr>
      <w:r w:rsidRPr="00F22BDD">
        <w:rPr>
          <w:rFonts w:asciiTheme="minorHAnsi" w:hAnsiTheme="minorHAnsi"/>
          <w:b/>
        </w:rPr>
        <w:t>Dopuszczalne odchyłki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913"/>
        <w:gridCol w:w="1985"/>
        <w:gridCol w:w="1701"/>
        <w:gridCol w:w="1842"/>
      </w:tblGrid>
      <w:tr w:rsidR="00F22BDD" w:rsidRPr="00F22BDD" w:rsidTr="00B61B2B">
        <w:tc>
          <w:tcPr>
            <w:tcW w:w="1913" w:type="dxa"/>
          </w:tcPr>
          <w:p w:rsidR="00F22BDD" w:rsidRPr="00F22BDD" w:rsidRDefault="00F22BDD" w:rsidP="00B61B2B">
            <w:pPr>
              <w:rPr>
                <w:rFonts w:asciiTheme="minorHAnsi" w:hAnsiTheme="minorHAnsi"/>
              </w:rPr>
            </w:pPr>
          </w:p>
        </w:tc>
        <w:tc>
          <w:tcPr>
            <w:tcW w:w="1985" w:type="dxa"/>
          </w:tcPr>
          <w:p w:rsidR="00F22BDD" w:rsidRPr="00F22BDD" w:rsidRDefault="00F22BDD" w:rsidP="00B61B2B">
            <w:pPr>
              <w:rPr>
                <w:rFonts w:asciiTheme="minorHAnsi" w:hAnsiTheme="minorHAnsi"/>
              </w:rPr>
            </w:pPr>
            <w:r w:rsidRPr="00F22BDD">
              <w:rPr>
                <w:rFonts w:asciiTheme="minorHAnsi" w:hAnsiTheme="minorHAnsi"/>
              </w:rPr>
              <w:t>Długość</w:t>
            </w:r>
          </w:p>
          <w:p w:rsidR="00F22BDD" w:rsidRPr="00F22BDD" w:rsidRDefault="00F22BDD" w:rsidP="00B61B2B">
            <w:pPr>
              <w:rPr>
                <w:rFonts w:asciiTheme="minorHAnsi" w:hAnsiTheme="minorHAnsi"/>
              </w:rPr>
            </w:pPr>
            <w:r w:rsidRPr="00F22BDD">
              <w:rPr>
                <w:rFonts w:asciiTheme="minorHAnsi" w:hAnsiTheme="minorHAnsi"/>
              </w:rPr>
              <w:t>mm</w:t>
            </w:r>
          </w:p>
        </w:tc>
        <w:tc>
          <w:tcPr>
            <w:tcW w:w="1701" w:type="dxa"/>
          </w:tcPr>
          <w:p w:rsidR="00F22BDD" w:rsidRPr="00F22BDD" w:rsidRDefault="00F22BDD" w:rsidP="00B61B2B">
            <w:pPr>
              <w:rPr>
                <w:rFonts w:asciiTheme="minorHAnsi" w:hAnsiTheme="minorHAnsi"/>
              </w:rPr>
            </w:pPr>
            <w:r w:rsidRPr="00F22BDD">
              <w:rPr>
                <w:rFonts w:asciiTheme="minorHAnsi" w:hAnsiTheme="minorHAnsi"/>
              </w:rPr>
              <w:t>Szerokość</w:t>
            </w:r>
          </w:p>
          <w:p w:rsidR="00F22BDD" w:rsidRPr="00F22BDD" w:rsidRDefault="00F22BDD" w:rsidP="00B61B2B">
            <w:pPr>
              <w:rPr>
                <w:rFonts w:asciiTheme="minorHAnsi" w:hAnsiTheme="minorHAnsi"/>
              </w:rPr>
            </w:pPr>
            <w:r w:rsidRPr="00F22BDD">
              <w:rPr>
                <w:rFonts w:asciiTheme="minorHAnsi" w:hAnsiTheme="minorHAnsi"/>
              </w:rPr>
              <w:t>mm</w:t>
            </w:r>
          </w:p>
        </w:tc>
        <w:tc>
          <w:tcPr>
            <w:tcW w:w="1842" w:type="dxa"/>
          </w:tcPr>
          <w:p w:rsidR="00F22BDD" w:rsidRPr="00F22BDD" w:rsidRDefault="00F22BDD" w:rsidP="00B61B2B">
            <w:pPr>
              <w:rPr>
                <w:rFonts w:asciiTheme="minorHAnsi" w:hAnsiTheme="minorHAnsi"/>
              </w:rPr>
            </w:pPr>
            <w:r w:rsidRPr="00F22BDD">
              <w:rPr>
                <w:rFonts w:asciiTheme="minorHAnsi" w:hAnsiTheme="minorHAnsi"/>
              </w:rPr>
              <w:t>Grubość</w:t>
            </w:r>
          </w:p>
          <w:p w:rsidR="00F22BDD" w:rsidRPr="00F22BDD" w:rsidRDefault="00F22BDD" w:rsidP="00B61B2B">
            <w:pPr>
              <w:rPr>
                <w:rFonts w:asciiTheme="minorHAnsi" w:hAnsiTheme="minorHAnsi"/>
              </w:rPr>
            </w:pPr>
            <w:r w:rsidRPr="00F22BDD">
              <w:rPr>
                <w:rFonts w:asciiTheme="minorHAnsi" w:hAnsiTheme="minorHAnsi"/>
              </w:rPr>
              <w:t>mm</w:t>
            </w:r>
          </w:p>
        </w:tc>
      </w:tr>
      <w:tr w:rsidR="00F22BDD" w:rsidRPr="00F22BDD" w:rsidTr="00B61B2B">
        <w:tc>
          <w:tcPr>
            <w:tcW w:w="1913" w:type="dxa"/>
          </w:tcPr>
          <w:p w:rsidR="00F22BDD" w:rsidRPr="00F22BDD" w:rsidRDefault="00F22BDD" w:rsidP="00B61B2B">
            <w:pPr>
              <w:rPr>
                <w:rFonts w:asciiTheme="minorHAnsi" w:hAnsiTheme="minorHAnsi"/>
              </w:rPr>
            </w:pPr>
            <w:r w:rsidRPr="00F22BDD">
              <w:rPr>
                <w:rFonts w:asciiTheme="minorHAnsi" w:hAnsiTheme="minorHAnsi"/>
              </w:rPr>
              <w:t>Dopuszczalne odchyłki</w:t>
            </w:r>
          </w:p>
        </w:tc>
        <w:tc>
          <w:tcPr>
            <w:tcW w:w="1985" w:type="dxa"/>
          </w:tcPr>
          <w:p w:rsidR="00F22BDD" w:rsidRPr="00F22BDD" w:rsidRDefault="00F22BDD" w:rsidP="00B61B2B">
            <w:pPr>
              <w:rPr>
                <w:rFonts w:asciiTheme="minorHAnsi" w:hAnsiTheme="minorHAnsi"/>
              </w:rPr>
            </w:pPr>
            <w:r w:rsidRPr="00F22BDD">
              <w:rPr>
                <w:rFonts w:asciiTheme="minorHAnsi" w:hAnsiTheme="minorHAnsi"/>
              </w:rPr>
              <w:sym w:font="Symbol" w:char="F0B1"/>
            </w:r>
            <w:r w:rsidRPr="00F22BDD">
              <w:rPr>
                <w:rFonts w:asciiTheme="minorHAnsi" w:hAnsiTheme="minorHAnsi"/>
              </w:rPr>
              <w:t xml:space="preserve"> 2</w:t>
            </w:r>
          </w:p>
        </w:tc>
        <w:tc>
          <w:tcPr>
            <w:tcW w:w="1701" w:type="dxa"/>
          </w:tcPr>
          <w:p w:rsidR="00F22BDD" w:rsidRPr="00F22BDD" w:rsidRDefault="00F22BDD" w:rsidP="00B61B2B">
            <w:pPr>
              <w:rPr>
                <w:rFonts w:asciiTheme="minorHAnsi" w:hAnsiTheme="minorHAnsi"/>
              </w:rPr>
            </w:pPr>
            <w:r w:rsidRPr="00F22BDD">
              <w:rPr>
                <w:rFonts w:asciiTheme="minorHAnsi" w:hAnsiTheme="minorHAnsi"/>
              </w:rPr>
              <w:sym w:font="Symbol" w:char="F0B1"/>
            </w:r>
            <w:r w:rsidRPr="00F22BDD">
              <w:rPr>
                <w:rFonts w:asciiTheme="minorHAnsi" w:hAnsiTheme="minorHAnsi"/>
              </w:rPr>
              <w:t xml:space="preserve"> 2</w:t>
            </w:r>
          </w:p>
        </w:tc>
        <w:tc>
          <w:tcPr>
            <w:tcW w:w="1842" w:type="dxa"/>
          </w:tcPr>
          <w:p w:rsidR="00F22BDD" w:rsidRPr="00F22BDD" w:rsidRDefault="00F22BDD" w:rsidP="00B61B2B">
            <w:pPr>
              <w:rPr>
                <w:rFonts w:asciiTheme="minorHAnsi" w:hAnsiTheme="minorHAnsi"/>
              </w:rPr>
            </w:pPr>
            <w:r w:rsidRPr="00F22BDD">
              <w:rPr>
                <w:rFonts w:asciiTheme="minorHAnsi" w:hAnsiTheme="minorHAnsi"/>
              </w:rPr>
              <w:sym w:font="Symbol" w:char="F0B1"/>
            </w:r>
            <w:r w:rsidRPr="00F22BDD">
              <w:rPr>
                <w:rFonts w:asciiTheme="minorHAnsi" w:hAnsiTheme="minorHAnsi"/>
              </w:rPr>
              <w:t xml:space="preserve"> 3</w:t>
            </w:r>
          </w:p>
        </w:tc>
      </w:tr>
      <w:tr w:rsidR="00F22BDD" w:rsidRPr="00F22BDD" w:rsidTr="00B61B2B">
        <w:tc>
          <w:tcPr>
            <w:tcW w:w="7441" w:type="dxa"/>
            <w:gridSpan w:val="4"/>
          </w:tcPr>
          <w:p w:rsidR="00F22BDD" w:rsidRPr="00F22BDD" w:rsidRDefault="00F22BDD" w:rsidP="0069119B">
            <w:pPr>
              <w:rPr>
                <w:rFonts w:asciiTheme="minorHAnsi" w:hAnsiTheme="minorHAnsi"/>
              </w:rPr>
            </w:pPr>
            <w:r w:rsidRPr="00F22BDD">
              <w:rPr>
                <w:rFonts w:asciiTheme="minorHAnsi" w:hAnsiTheme="minorHAnsi"/>
              </w:rPr>
              <w:t>Różnica pomiędzy dwoma pomiarami grubości tej samej k</w:t>
            </w:r>
            <w:r w:rsidR="0069119B">
              <w:rPr>
                <w:rFonts w:asciiTheme="minorHAnsi" w:hAnsiTheme="minorHAnsi"/>
              </w:rPr>
              <w:t>ształtki</w:t>
            </w:r>
            <w:r w:rsidRPr="00F22BDD">
              <w:rPr>
                <w:rFonts w:asciiTheme="minorHAnsi" w:hAnsiTheme="minorHAnsi"/>
              </w:rPr>
              <w:t xml:space="preserve"> powinna być </w:t>
            </w:r>
            <w:r w:rsidRPr="00F22BDD">
              <w:rPr>
                <w:rFonts w:asciiTheme="minorHAnsi" w:hAnsiTheme="minorHAnsi"/>
              </w:rPr>
              <w:sym w:font="Symbol" w:char="F0A3"/>
            </w:r>
            <w:r w:rsidRPr="00F22BDD">
              <w:rPr>
                <w:rFonts w:asciiTheme="minorHAnsi" w:hAnsiTheme="minorHAnsi"/>
              </w:rPr>
              <w:t xml:space="preserve"> 3 mm.</w:t>
            </w:r>
          </w:p>
        </w:tc>
      </w:tr>
    </w:tbl>
    <w:p w:rsidR="00F22BDD" w:rsidRPr="00F22BDD" w:rsidRDefault="00F22BDD" w:rsidP="00F22BDD">
      <w:pPr>
        <w:rPr>
          <w:rFonts w:asciiTheme="minorHAnsi" w:hAnsiTheme="minorHAnsi"/>
          <w:b/>
        </w:rPr>
      </w:pPr>
    </w:p>
    <w:p w:rsidR="00F22BDD" w:rsidRPr="00F22BDD" w:rsidRDefault="00F22BDD" w:rsidP="00F22BDD">
      <w:pPr>
        <w:rPr>
          <w:rFonts w:asciiTheme="minorHAnsi" w:hAnsiTheme="minorHAnsi"/>
          <w:b/>
        </w:rPr>
      </w:pPr>
      <w:r w:rsidRPr="00F22BDD">
        <w:rPr>
          <w:rFonts w:asciiTheme="minorHAnsi" w:hAnsiTheme="minorHAnsi"/>
          <w:b/>
        </w:rPr>
        <w:t>Odporność na zamrażanie/odmrażanie z udziałem soli odladzających</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921"/>
        <w:gridCol w:w="1276"/>
        <w:gridCol w:w="5244"/>
      </w:tblGrid>
      <w:tr w:rsidR="00F22BDD" w:rsidRPr="00F22BDD" w:rsidTr="00B61B2B">
        <w:tc>
          <w:tcPr>
            <w:tcW w:w="921" w:type="dxa"/>
          </w:tcPr>
          <w:p w:rsidR="00F22BDD" w:rsidRPr="00F22BDD" w:rsidRDefault="00F22BDD" w:rsidP="00B61B2B">
            <w:pPr>
              <w:rPr>
                <w:rFonts w:asciiTheme="minorHAnsi" w:hAnsiTheme="minorHAnsi"/>
              </w:rPr>
            </w:pPr>
            <w:r w:rsidRPr="00F22BDD">
              <w:rPr>
                <w:rFonts w:asciiTheme="minorHAnsi" w:hAnsiTheme="minorHAnsi"/>
              </w:rPr>
              <w:lastRenderedPageBreak/>
              <w:t>Klasa</w:t>
            </w:r>
          </w:p>
        </w:tc>
        <w:tc>
          <w:tcPr>
            <w:tcW w:w="1276" w:type="dxa"/>
          </w:tcPr>
          <w:p w:rsidR="00F22BDD" w:rsidRPr="00F22BDD" w:rsidRDefault="00F22BDD" w:rsidP="00B61B2B">
            <w:pPr>
              <w:rPr>
                <w:rFonts w:asciiTheme="minorHAnsi" w:hAnsiTheme="minorHAnsi"/>
              </w:rPr>
            </w:pPr>
            <w:r w:rsidRPr="00F22BDD">
              <w:rPr>
                <w:rFonts w:asciiTheme="minorHAnsi" w:hAnsiTheme="minorHAnsi"/>
              </w:rPr>
              <w:t>Znakowanie</w:t>
            </w:r>
          </w:p>
        </w:tc>
        <w:tc>
          <w:tcPr>
            <w:tcW w:w="5244" w:type="dxa"/>
          </w:tcPr>
          <w:p w:rsidR="00F22BDD" w:rsidRPr="00F22BDD" w:rsidRDefault="00F22BDD" w:rsidP="00B61B2B">
            <w:pPr>
              <w:rPr>
                <w:rFonts w:asciiTheme="minorHAnsi" w:hAnsiTheme="minorHAnsi"/>
              </w:rPr>
            </w:pPr>
            <w:r w:rsidRPr="00F22BDD">
              <w:rPr>
                <w:rFonts w:asciiTheme="minorHAnsi" w:hAnsiTheme="minorHAnsi"/>
              </w:rPr>
              <w:t>Ubytek masy po badaniu zamrażania/rozmrażania  kg/m</w:t>
            </w:r>
            <w:r w:rsidRPr="00F22BDD">
              <w:rPr>
                <w:rFonts w:asciiTheme="minorHAnsi" w:hAnsiTheme="minorHAnsi"/>
                <w:vertAlign w:val="superscript"/>
              </w:rPr>
              <w:t>2</w:t>
            </w:r>
          </w:p>
        </w:tc>
      </w:tr>
      <w:tr w:rsidR="00F22BDD" w:rsidRPr="00F22BDD" w:rsidTr="00B61B2B">
        <w:tc>
          <w:tcPr>
            <w:tcW w:w="921" w:type="dxa"/>
          </w:tcPr>
          <w:p w:rsidR="00F22BDD" w:rsidRPr="00F22BDD" w:rsidRDefault="00F22BDD" w:rsidP="00B61B2B">
            <w:pPr>
              <w:rPr>
                <w:rFonts w:asciiTheme="minorHAnsi" w:hAnsiTheme="minorHAnsi"/>
              </w:rPr>
            </w:pPr>
            <w:r w:rsidRPr="00F22BDD">
              <w:rPr>
                <w:rFonts w:asciiTheme="minorHAnsi" w:hAnsiTheme="minorHAnsi"/>
              </w:rPr>
              <w:t>3</w:t>
            </w:r>
          </w:p>
        </w:tc>
        <w:tc>
          <w:tcPr>
            <w:tcW w:w="1276" w:type="dxa"/>
          </w:tcPr>
          <w:p w:rsidR="00F22BDD" w:rsidRPr="00F22BDD" w:rsidRDefault="00F22BDD" w:rsidP="00B61B2B">
            <w:pPr>
              <w:rPr>
                <w:rFonts w:asciiTheme="minorHAnsi" w:hAnsiTheme="minorHAnsi"/>
              </w:rPr>
            </w:pPr>
            <w:r w:rsidRPr="00F22BDD">
              <w:rPr>
                <w:rFonts w:asciiTheme="minorHAnsi" w:hAnsiTheme="minorHAnsi"/>
              </w:rPr>
              <w:t>D</w:t>
            </w:r>
          </w:p>
        </w:tc>
        <w:tc>
          <w:tcPr>
            <w:tcW w:w="5244" w:type="dxa"/>
          </w:tcPr>
          <w:p w:rsidR="00F22BDD" w:rsidRPr="00F22BDD" w:rsidRDefault="00F22BDD" w:rsidP="00B61B2B">
            <w:pPr>
              <w:rPr>
                <w:rFonts w:asciiTheme="minorHAnsi" w:hAnsiTheme="minorHAnsi"/>
              </w:rPr>
            </w:pPr>
            <w:r w:rsidRPr="00F22BDD">
              <w:rPr>
                <w:rFonts w:asciiTheme="minorHAnsi" w:hAnsiTheme="minorHAnsi"/>
              </w:rPr>
              <w:t xml:space="preserve">Wartość średnia </w:t>
            </w:r>
            <w:r w:rsidRPr="00F22BDD">
              <w:rPr>
                <w:rFonts w:asciiTheme="minorHAnsi" w:hAnsiTheme="minorHAnsi"/>
              </w:rPr>
              <w:sym w:font="Symbol" w:char="F0A3"/>
            </w:r>
            <w:r w:rsidRPr="00F22BDD">
              <w:rPr>
                <w:rFonts w:asciiTheme="minorHAnsi" w:hAnsiTheme="minorHAnsi"/>
              </w:rPr>
              <w:t xml:space="preserve"> 1,0</w:t>
            </w:r>
          </w:p>
          <w:p w:rsidR="00F22BDD" w:rsidRPr="00F22BDD" w:rsidRDefault="00F22BDD" w:rsidP="00B61B2B">
            <w:pPr>
              <w:rPr>
                <w:rFonts w:asciiTheme="minorHAnsi" w:hAnsiTheme="minorHAnsi"/>
              </w:rPr>
            </w:pPr>
            <w:r w:rsidRPr="00F22BDD">
              <w:rPr>
                <w:rFonts w:asciiTheme="minorHAnsi" w:hAnsiTheme="minorHAnsi"/>
              </w:rPr>
              <w:t>przy czym żaden pojedynczy wynik &gt; 1,5</w:t>
            </w:r>
          </w:p>
        </w:tc>
      </w:tr>
    </w:tbl>
    <w:p w:rsidR="00F22BDD" w:rsidRPr="00F22BDD" w:rsidRDefault="00F22BDD" w:rsidP="00F22BDD">
      <w:pPr>
        <w:rPr>
          <w:rFonts w:asciiTheme="minorHAnsi" w:hAnsiTheme="minorHAnsi"/>
        </w:rPr>
      </w:pPr>
    </w:p>
    <w:p w:rsidR="00F22BDD" w:rsidRPr="00F22BDD" w:rsidRDefault="00F22BDD" w:rsidP="00F22BDD">
      <w:pPr>
        <w:rPr>
          <w:rFonts w:asciiTheme="minorHAnsi" w:hAnsiTheme="minorHAnsi"/>
          <w:b/>
        </w:rPr>
      </w:pPr>
      <w:r w:rsidRPr="00F22BDD">
        <w:rPr>
          <w:rFonts w:asciiTheme="minorHAnsi" w:hAnsiTheme="minorHAnsi"/>
          <w:b/>
        </w:rPr>
        <w:t>Wytrzymałość na rozciąganie przy rozłupywaniu</w:t>
      </w:r>
    </w:p>
    <w:p w:rsidR="00F22BDD" w:rsidRPr="00F22BDD" w:rsidRDefault="00F22BDD" w:rsidP="00F22BDD">
      <w:pPr>
        <w:rPr>
          <w:rFonts w:asciiTheme="minorHAnsi" w:hAnsiTheme="minorHAnsi"/>
        </w:rPr>
      </w:pPr>
      <w:r w:rsidRPr="00F22BDD">
        <w:rPr>
          <w:rFonts w:asciiTheme="minorHAnsi" w:hAnsiTheme="minorHAnsi"/>
        </w:rPr>
        <w:t xml:space="preserve">Wytrzymałość charakterystyczna na rozciąganie przy rozłupywaniu </w:t>
      </w:r>
      <w:r w:rsidRPr="00F22BDD">
        <w:rPr>
          <w:rFonts w:asciiTheme="minorHAnsi" w:hAnsiTheme="minorHAnsi"/>
          <w:i/>
        </w:rPr>
        <w:t xml:space="preserve">T </w:t>
      </w:r>
      <w:r w:rsidRPr="00F22BDD">
        <w:rPr>
          <w:rFonts w:asciiTheme="minorHAnsi" w:hAnsiTheme="minorHAnsi"/>
        </w:rPr>
        <w:t xml:space="preserve"> nie powinna być mniejsza niż 3,6 MPa.</w:t>
      </w:r>
    </w:p>
    <w:p w:rsidR="00F22BDD" w:rsidRPr="00F22BDD" w:rsidRDefault="00F22BDD" w:rsidP="00F22BDD">
      <w:pPr>
        <w:rPr>
          <w:rFonts w:asciiTheme="minorHAnsi" w:hAnsiTheme="minorHAnsi"/>
        </w:rPr>
      </w:pPr>
      <w:r w:rsidRPr="00F22BDD">
        <w:rPr>
          <w:rFonts w:asciiTheme="minorHAnsi" w:hAnsiTheme="minorHAnsi"/>
        </w:rPr>
        <w:t>Żaden pojedynczy wynik nie powinien być mniejszy niż 2,9 MPa i nie powinien wykazywać obciążenia niszczącego mniejszego niż 250 N/mm długości rozłupania.</w:t>
      </w:r>
    </w:p>
    <w:p w:rsidR="00F22BDD" w:rsidRPr="00F22BDD" w:rsidRDefault="00F22BDD" w:rsidP="00F22BDD">
      <w:pPr>
        <w:rPr>
          <w:rFonts w:asciiTheme="minorHAnsi" w:hAnsiTheme="minorHAnsi"/>
          <w:b/>
        </w:rPr>
      </w:pPr>
      <w:r w:rsidRPr="00F22BDD">
        <w:rPr>
          <w:rFonts w:asciiTheme="minorHAnsi" w:hAnsiTheme="minorHAnsi"/>
          <w:b/>
        </w:rPr>
        <w:t xml:space="preserve"> Trwałość (ze względu na wytrzymałość)</w:t>
      </w:r>
    </w:p>
    <w:p w:rsidR="00F22BDD" w:rsidRPr="00F22BDD" w:rsidRDefault="00F22BDD" w:rsidP="00F22BDD">
      <w:pPr>
        <w:rPr>
          <w:rFonts w:asciiTheme="minorHAnsi" w:hAnsiTheme="minorHAnsi"/>
        </w:rPr>
      </w:pPr>
      <w:r w:rsidRPr="00F22BDD">
        <w:rPr>
          <w:rFonts w:asciiTheme="minorHAnsi" w:hAnsiTheme="minorHAnsi"/>
        </w:rPr>
        <w:t>Prefabrykowane betonowe kostki brukowe poddawane działaniu normalnych warunków zewnętrznych zachowują zadowalającą trwałość (wytrzymałość) pod warunkiem spełnienia wymagań wytrzymałości na rozciąganie przy rozłupywaniu (pkt 3.2.2) i poddawaniu normalnej konserwacji.</w:t>
      </w:r>
    </w:p>
    <w:p w:rsidR="00F22BDD" w:rsidRPr="00F22BDD" w:rsidRDefault="00F22BDD" w:rsidP="00F22BDD">
      <w:pPr>
        <w:rPr>
          <w:rFonts w:asciiTheme="minorHAnsi" w:hAnsiTheme="minorHAnsi"/>
          <w:b/>
        </w:rPr>
      </w:pPr>
      <w:r w:rsidRPr="00F22BDD">
        <w:rPr>
          <w:rFonts w:asciiTheme="minorHAnsi" w:hAnsiTheme="minorHAnsi"/>
          <w:b/>
        </w:rPr>
        <w:t xml:space="preserve"> Odporność na ścieranie</w:t>
      </w:r>
    </w:p>
    <w:tbl>
      <w:tblPr>
        <w:tblW w:w="0" w:type="auto"/>
        <w:tblLayout w:type="fixed"/>
        <w:tblCellMar>
          <w:left w:w="70" w:type="dxa"/>
          <w:right w:w="70" w:type="dxa"/>
        </w:tblCellMar>
        <w:tblLook w:val="0000"/>
      </w:tblPr>
      <w:tblGrid>
        <w:gridCol w:w="921"/>
        <w:gridCol w:w="1276"/>
        <w:gridCol w:w="2693"/>
        <w:gridCol w:w="2551"/>
      </w:tblGrid>
      <w:tr w:rsidR="00F22BDD" w:rsidRPr="00F22BDD" w:rsidTr="00B61B2B">
        <w:tc>
          <w:tcPr>
            <w:tcW w:w="921" w:type="dxa"/>
            <w:tcBorders>
              <w:top w:val="single" w:sz="6" w:space="0" w:color="auto"/>
              <w:left w:val="single" w:sz="6" w:space="0" w:color="auto"/>
            </w:tcBorders>
          </w:tcPr>
          <w:p w:rsidR="00F22BDD" w:rsidRPr="00F22BDD" w:rsidRDefault="00F22BDD" w:rsidP="00B61B2B">
            <w:pPr>
              <w:rPr>
                <w:rFonts w:asciiTheme="minorHAnsi" w:hAnsiTheme="minorHAnsi"/>
              </w:rPr>
            </w:pPr>
          </w:p>
        </w:tc>
        <w:tc>
          <w:tcPr>
            <w:tcW w:w="1276" w:type="dxa"/>
            <w:tcBorders>
              <w:top w:val="single" w:sz="6" w:space="0" w:color="auto"/>
              <w:left w:val="single" w:sz="6" w:space="0" w:color="auto"/>
            </w:tcBorders>
          </w:tcPr>
          <w:p w:rsidR="00F22BDD" w:rsidRPr="00F22BDD" w:rsidRDefault="00F22BDD" w:rsidP="00B61B2B">
            <w:pPr>
              <w:rPr>
                <w:rFonts w:asciiTheme="minorHAnsi" w:hAnsiTheme="minorHAnsi"/>
              </w:rPr>
            </w:pPr>
          </w:p>
        </w:tc>
        <w:tc>
          <w:tcPr>
            <w:tcW w:w="5244" w:type="dxa"/>
            <w:gridSpan w:val="2"/>
            <w:tcBorders>
              <w:top w:val="single" w:sz="6" w:space="0" w:color="auto"/>
              <w:left w:val="single" w:sz="6" w:space="0" w:color="auto"/>
              <w:bottom w:val="single" w:sz="6" w:space="0" w:color="auto"/>
              <w:righ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Wymaganie</w:t>
            </w:r>
          </w:p>
        </w:tc>
      </w:tr>
      <w:tr w:rsidR="00F22BDD" w:rsidRPr="00F22BDD" w:rsidTr="00B61B2B">
        <w:tc>
          <w:tcPr>
            <w:tcW w:w="921" w:type="dxa"/>
            <w:tcBorders>
              <w:lef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Klasa</w:t>
            </w:r>
          </w:p>
        </w:tc>
        <w:tc>
          <w:tcPr>
            <w:tcW w:w="1276" w:type="dxa"/>
            <w:tcBorders>
              <w:lef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Oznaczenie</w:t>
            </w:r>
          </w:p>
        </w:tc>
        <w:tc>
          <w:tcPr>
            <w:tcW w:w="2693" w:type="dxa"/>
            <w:tcBorders>
              <w:top w:val="single" w:sz="6" w:space="0" w:color="auto"/>
              <w:left w:val="single" w:sz="6" w:space="0" w:color="auto"/>
              <w:bottom w:val="single" w:sz="6" w:space="0" w:color="auto"/>
              <w:righ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Pomiar wykonany wg zał. G normy (na szerokiej tarczy ściernej)</w:t>
            </w:r>
          </w:p>
        </w:tc>
        <w:tc>
          <w:tcPr>
            <w:tcW w:w="2551" w:type="dxa"/>
            <w:tcBorders>
              <w:top w:val="single" w:sz="6" w:space="0" w:color="auto"/>
              <w:left w:val="single" w:sz="6" w:space="0" w:color="auto"/>
              <w:bottom w:val="single" w:sz="6" w:space="0" w:color="auto"/>
              <w:righ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Pomiar wykonany wg zał. H normy (na tarczy B</w:t>
            </w:r>
            <w:r w:rsidRPr="00F22BDD">
              <w:rPr>
                <w:rFonts w:asciiTheme="minorHAnsi" w:hAnsiTheme="minorHAnsi"/>
              </w:rPr>
              <w:sym w:font="Times New Roman" w:char="00F6"/>
            </w:r>
            <w:r w:rsidRPr="00F22BDD">
              <w:rPr>
                <w:rFonts w:asciiTheme="minorHAnsi" w:hAnsiTheme="minorHAnsi"/>
              </w:rPr>
              <w:t>hmego)</w:t>
            </w:r>
          </w:p>
        </w:tc>
      </w:tr>
      <w:tr w:rsidR="00F22BDD" w:rsidRPr="00F22BDD" w:rsidTr="00B61B2B">
        <w:tc>
          <w:tcPr>
            <w:tcW w:w="921" w:type="dxa"/>
            <w:tcBorders>
              <w:top w:val="single" w:sz="6" w:space="0" w:color="auto"/>
              <w:left w:val="single" w:sz="6" w:space="0" w:color="auto"/>
              <w:bottom w:val="single" w:sz="6" w:space="0" w:color="auto"/>
              <w:righ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3</w:t>
            </w:r>
          </w:p>
        </w:tc>
        <w:tc>
          <w:tcPr>
            <w:tcW w:w="1276" w:type="dxa"/>
            <w:tcBorders>
              <w:top w:val="single" w:sz="6" w:space="0" w:color="auto"/>
              <w:left w:val="single" w:sz="6" w:space="0" w:color="auto"/>
              <w:bottom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t>H</w:t>
            </w:r>
          </w:p>
        </w:tc>
        <w:tc>
          <w:tcPr>
            <w:tcW w:w="2693" w:type="dxa"/>
            <w:tcBorders>
              <w:top w:val="single" w:sz="6" w:space="0" w:color="auto"/>
              <w:left w:val="single" w:sz="6" w:space="0" w:color="auto"/>
              <w:bottom w:val="single" w:sz="6" w:space="0" w:color="auto"/>
              <w:righ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sym w:font="Symbol" w:char="F0A3"/>
            </w:r>
            <w:r w:rsidRPr="00F22BDD">
              <w:rPr>
                <w:rFonts w:asciiTheme="minorHAnsi" w:hAnsiTheme="minorHAnsi"/>
              </w:rPr>
              <w:t xml:space="preserve"> 23 mm</w:t>
            </w:r>
          </w:p>
        </w:tc>
        <w:tc>
          <w:tcPr>
            <w:tcW w:w="2551" w:type="dxa"/>
            <w:tcBorders>
              <w:top w:val="single" w:sz="6" w:space="0" w:color="auto"/>
              <w:left w:val="single" w:sz="6" w:space="0" w:color="auto"/>
              <w:bottom w:val="single" w:sz="6" w:space="0" w:color="auto"/>
              <w:right w:val="single" w:sz="6" w:space="0" w:color="auto"/>
            </w:tcBorders>
          </w:tcPr>
          <w:p w:rsidR="00F22BDD" w:rsidRPr="00F22BDD" w:rsidRDefault="00F22BDD" w:rsidP="00B61B2B">
            <w:pPr>
              <w:rPr>
                <w:rFonts w:asciiTheme="minorHAnsi" w:hAnsiTheme="minorHAnsi"/>
              </w:rPr>
            </w:pPr>
            <w:r w:rsidRPr="00F22BDD">
              <w:rPr>
                <w:rFonts w:asciiTheme="minorHAnsi" w:hAnsiTheme="minorHAnsi"/>
              </w:rPr>
              <w:sym w:font="Symbol" w:char="F0A3"/>
            </w:r>
            <w:r w:rsidRPr="00F22BDD">
              <w:rPr>
                <w:rFonts w:asciiTheme="minorHAnsi" w:hAnsiTheme="minorHAnsi"/>
              </w:rPr>
              <w:t xml:space="preserve"> 20000 mm</w:t>
            </w:r>
            <w:r w:rsidRPr="00F22BDD">
              <w:rPr>
                <w:rFonts w:asciiTheme="minorHAnsi" w:hAnsiTheme="minorHAnsi"/>
                <w:vertAlign w:val="superscript"/>
              </w:rPr>
              <w:t>3</w:t>
            </w:r>
            <w:r w:rsidRPr="00F22BDD">
              <w:rPr>
                <w:rFonts w:asciiTheme="minorHAnsi" w:hAnsiTheme="minorHAnsi"/>
              </w:rPr>
              <w:t>/5000 mm</w:t>
            </w:r>
            <w:r w:rsidRPr="00F22BDD">
              <w:rPr>
                <w:rFonts w:asciiTheme="minorHAnsi" w:hAnsiTheme="minorHAnsi"/>
                <w:vertAlign w:val="superscript"/>
              </w:rPr>
              <w:t>2</w:t>
            </w:r>
          </w:p>
        </w:tc>
      </w:tr>
    </w:tbl>
    <w:p w:rsidR="00F22BDD" w:rsidRPr="00F22BDD" w:rsidRDefault="00F22BDD" w:rsidP="00F22BDD">
      <w:pPr>
        <w:ind w:hanging="1418"/>
        <w:rPr>
          <w:rFonts w:asciiTheme="minorHAnsi" w:hAnsiTheme="minorHAnsi"/>
        </w:rPr>
      </w:pPr>
    </w:p>
    <w:p w:rsidR="00F22BDD" w:rsidRPr="00F22BDD" w:rsidRDefault="00F22BDD" w:rsidP="00F22BDD">
      <w:pPr>
        <w:rPr>
          <w:rFonts w:asciiTheme="minorHAnsi" w:hAnsiTheme="minorHAnsi"/>
          <w:b/>
        </w:rPr>
      </w:pPr>
      <w:r w:rsidRPr="00F22BDD">
        <w:rPr>
          <w:rFonts w:asciiTheme="minorHAnsi" w:hAnsiTheme="minorHAnsi"/>
          <w:b/>
        </w:rPr>
        <w:t>Odporność na poślizg/poślizgnięcie</w:t>
      </w:r>
    </w:p>
    <w:p w:rsidR="00F22BDD" w:rsidRPr="00F22BDD" w:rsidRDefault="00F22BDD" w:rsidP="00F22BDD">
      <w:pPr>
        <w:rPr>
          <w:rFonts w:asciiTheme="minorHAnsi" w:hAnsiTheme="minorHAnsi"/>
        </w:rPr>
      </w:pPr>
      <w:r w:rsidRPr="00F22BDD">
        <w:rPr>
          <w:rFonts w:asciiTheme="minorHAnsi" w:hAnsiTheme="minorHAnsi"/>
        </w:rPr>
        <w:t>Betonowe kostki brukowe</w:t>
      </w:r>
      <w:r w:rsidR="0069119B">
        <w:rPr>
          <w:rFonts w:asciiTheme="minorHAnsi" w:hAnsiTheme="minorHAnsi"/>
        </w:rPr>
        <w:t xml:space="preserve"> i płyty chodnikowe</w:t>
      </w:r>
      <w:r w:rsidRPr="00F22BDD">
        <w:rPr>
          <w:rFonts w:asciiTheme="minorHAnsi" w:hAnsiTheme="minorHAnsi"/>
        </w:rPr>
        <w:t xml:space="preserve"> wykazują zadowalającą odporność na poślizg/poślizgnięcie pod warunkiem, że ich górna powierzchnia nie była szlifowana i/lub polerowana w celu uzyskania bardzo gładkiej powierzchni.</w:t>
      </w:r>
    </w:p>
    <w:p w:rsidR="00F22BDD" w:rsidRPr="00F22BDD" w:rsidRDefault="00F22BDD" w:rsidP="00F22BDD">
      <w:pPr>
        <w:rPr>
          <w:rFonts w:asciiTheme="minorHAnsi" w:hAnsiTheme="minorHAnsi"/>
        </w:rPr>
      </w:pPr>
      <w:r w:rsidRPr="00F22BDD">
        <w:rPr>
          <w:rFonts w:asciiTheme="minorHAnsi" w:hAnsiTheme="minorHAnsi"/>
        </w:rPr>
        <w:t>Jeżeli wyjątkowo wymagane jest podanie wartości odporności na poślizg/poślizgnięcie, to należy zastosować metodę badania opisaną w załączniku I normy i zadeklarować wartość minimalną odporności na poślizg/poślizgnięcie.</w:t>
      </w:r>
    </w:p>
    <w:p w:rsidR="00F22BDD" w:rsidRPr="00F22BDD" w:rsidRDefault="00F22BDD" w:rsidP="00F22BDD">
      <w:pPr>
        <w:rPr>
          <w:rFonts w:asciiTheme="minorHAnsi" w:hAnsiTheme="minorHAnsi"/>
          <w:b/>
        </w:rPr>
      </w:pPr>
      <w:r w:rsidRPr="00F22BDD">
        <w:rPr>
          <w:rFonts w:asciiTheme="minorHAnsi" w:hAnsiTheme="minorHAnsi"/>
          <w:b/>
        </w:rPr>
        <w:t>Wygląd</w:t>
      </w:r>
    </w:p>
    <w:p w:rsidR="00F22BDD" w:rsidRPr="00F22BDD" w:rsidRDefault="00F22BDD" w:rsidP="00F22BDD">
      <w:pPr>
        <w:rPr>
          <w:rFonts w:asciiTheme="minorHAnsi" w:hAnsiTheme="minorHAnsi"/>
        </w:rPr>
      </w:pPr>
      <w:r w:rsidRPr="00F22BDD">
        <w:rPr>
          <w:rFonts w:asciiTheme="minorHAnsi" w:hAnsiTheme="minorHAnsi"/>
        </w:rPr>
        <w:t>Górna powierzchnia betonowych kostek brukowych</w:t>
      </w:r>
      <w:r w:rsidR="0069119B">
        <w:rPr>
          <w:rFonts w:asciiTheme="minorHAnsi" w:hAnsiTheme="minorHAnsi"/>
        </w:rPr>
        <w:t xml:space="preserve"> i płyt chodnikowych</w:t>
      </w:r>
      <w:r w:rsidRPr="00F22BDD">
        <w:rPr>
          <w:rFonts w:asciiTheme="minorHAnsi" w:hAnsiTheme="minorHAnsi"/>
        </w:rPr>
        <w:t xml:space="preserve"> oceniana zgodnie z załącznikiem J normy, nie powinna wykazywać wad, takich jak rysy lub odpryski.</w:t>
      </w:r>
    </w:p>
    <w:p w:rsidR="00F22BDD" w:rsidRPr="00F22BDD" w:rsidRDefault="00F22BDD" w:rsidP="00F22BDD">
      <w:pPr>
        <w:rPr>
          <w:rFonts w:asciiTheme="minorHAnsi" w:hAnsiTheme="minorHAnsi"/>
        </w:rPr>
      </w:pPr>
      <w:r w:rsidRPr="00F22BDD">
        <w:rPr>
          <w:rFonts w:asciiTheme="minorHAnsi" w:hAnsiTheme="minorHAnsi"/>
        </w:rPr>
        <w:t>W przypadku dwuwarstwowych kostek brukowych, ocenianych zgodnie z załącznikiem J normy, nie dopuszcza się występowania rozwarstwienia (rozdzielenia) między warstwami.</w:t>
      </w:r>
    </w:p>
    <w:p w:rsidR="00F22BDD" w:rsidRPr="00F22BDD" w:rsidRDefault="00F22BDD" w:rsidP="00F22BDD">
      <w:pPr>
        <w:rPr>
          <w:rFonts w:asciiTheme="minorHAnsi" w:hAnsiTheme="minorHAnsi"/>
          <w:b/>
        </w:rPr>
      </w:pPr>
      <w:r w:rsidRPr="00F22BDD">
        <w:rPr>
          <w:rFonts w:asciiTheme="minorHAnsi" w:hAnsiTheme="minorHAnsi"/>
          <w:b/>
        </w:rPr>
        <w:t>Tekstura</w:t>
      </w:r>
    </w:p>
    <w:p w:rsidR="00F22BDD" w:rsidRPr="00F22BDD" w:rsidRDefault="00F22BDD" w:rsidP="00F22BDD">
      <w:pPr>
        <w:rPr>
          <w:rFonts w:asciiTheme="minorHAnsi" w:hAnsiTheme="minorHAnsi"/>
        </w:rPr>
      </w:pPr>
      <w:r w:rsidRPr="00F22BDD">
        <w:rPr>
          <w:rFonts w:asciiTheme="minorHAnsi" w:hAnsiTheme="minorHAnsi"/>
        </w:rPr>
        <w:t>Jeżeli kostki brukowe</w:t>
      </w:r>
      <w:r w:rsidR="0069119B">
        <w:rPr>
          <w:rFonts w:asciiTheme="minorHAnsi" w:hAnsiTheme="minorHAnsi"/>
        </w:rPr>
        <w:t xml:space="preserve"> lub płyty chodnikowe</w:t>
      </w:r>
      <w:r w:rsidRPr="00F22BDD">
        <w:rPr>
          <w:rFonts w:asciiTheme="minorHAnsi" w:hAnsiTheme="minorHAnsi"/>
        </w:rPr>
        <w:t xml:space="preserve"> produkowane są z powierzchnią o specjalnej teksturze, to taka tekstura powinna być opisana przez producenta.</w:t>
      </w:r>
    </w:p>
    <w:p w:rsidR="00F22BDD" w:rsidRPr="00F22BDD" w:rsidRDefault="00F22BDD" w:rsidP="00F22BDD">
      <w:pPr>
        <w:rPr>
          <w:rFonts w:asciiTheme="minorHAnsi" w:hAnsiTheme="minorHAnsi"/>
        </w:rPr>
      </w:pPr>
      <w:r w:rsidRPr="00F22BDD">
        <w:rPr>
          <w:rFonts w:asciiTheme="minorHAnsi" w:hAnsiTheme="minorHAnsi"/>
        </w:rPr>
        <w:t>Jeśli nie ma znaczących różnic w teksturze, zgodność elementów ocenianych zgodnie z załącznikiem J normy, powinna być ustalona przez porównanie z próbkami dostarczonymi przez producenta i zatwierdzonymi przez odbiorcę.</w:t>
      </w:r>
    </w:p>
    <w:p w:rsidR="00F22BDD" w:rsidRPr="00F22BDD" w:rsidRDefault="00F22BDD" w:rsidP="00F22BDD">
      <w:pPr>
        <w:rPr>
          <w:rFonts w:asciiTheme="minorHAnsi" w:hAnsiTheme="minorHAnsi"/>
          <w:b/>
        </w:rPr>
      </w:pPr>
      <w:r w:rsidRPr="00F22BDD">
        <w:rPr>
          <w:rFonts w:asciiTheme="minorHAnsi" w:hAnsiTheme="minorHAnsi"/>
          <w:b/>
        </w:rPr>
        <w:t>Zabarwienie</w:t>
      </w:r>
    </w:p>
    <w:p w:rsidR="00F22BDD" w:rsidRPr="00F22BDD" w:rsidRDefault="00F22BDD" w:rsidP="00F22BDD">
      <w:pPr>
        <w:rPr>
          <w:rFonts w:asciiTheme="minorHAnsi" w:hAnsiTheme="minorHAnsi"/>
        </w:rPr>
      </w:pPr>
      <w:r w:rsidRPr="00F22BDD">
        <w:rPr>
          <w:rFonts w:asciiTheme="minorHAnsi" w:hAnsiTheme="minorHAnsi"/>
        </w:rPr>
        <w:t>W zależności od decyzji producenta, barwiona może być warstwa ścieralna lub cały element.</w:t>
      </w:r>
    </w:p>
    <w:p w:rsidR="00F22BDD" w:rsidRPr="00F22BDD" w:rsidRDefault="00F22BDD" w:rsidP="00F22BDD">
      <w:pPr>
        <w:rPr>
          <w:rFonts w:asciiTheme="minorHAnsi" w:hAnsiTheme="minorHAnsi"/>
        </w:rPr>
      </w:pPr>
      <w:r w:rsidRPr="00F22BDD">
        <w:rPr>
          <w:rFonts w:asciiTheme="minorHAnsi" w:hAnsiTheme="minorHAnsi"/>
        </w:rPr>
        <w:t>Jeśli nie ma znaczących różnic w zabarwieniu, zgodność elementów ocenianych zgodnie z załącznikiem J normy, powinna być ustalona przez porównanie z próbkami dostarczonymi przez producenta i zatwierdzonymi przez odbiorcę.</w:t>
      </w:r>
    </w:p>
    <w:p w:rsidR="00F22BDD" w:rsidRPr="00F22BDD" w:rsidRDefault="00F22BDD" w:rsidP="00F22BDD">
      <w:pPr>
        <w:pStyle w:val="Nagwek3"/>
        <w:rPr>
          <w:rFonts w:asciiTheme="minorHAnsi" w:hAnsiTheme="minorHAnsi"/>
        </w:rPr>
      </w:pPr>
      <w:bookmarkStart w:id="1262" w:name="_Toc107903217"/>
      <w:r w:rsidRPr="00F22BDD">
        <w:rPr>
          <w:rFonts w:asciiTheme="minorHAnsi" w:hAnsiTheme="minorHAnsi"/>
        </w:rPr>
        <w:t>3. SPRZĘT</w:t>
      </w:r>
      <w:bookmarkEnd w:id="1262"/>
    </w:p>
    <w:p w:rsidR="00F22BDD" w:rsidRPr="00F22BDD" w:rsidRDefault="00F22BDD" w:rsidP="00F22BDD">
      <w:pPr>
        <w:pStyle w:val="Nagwek4"/>
        <w:rPr>
          <w:rFonts w:asciiTheme="minorHAnsi" w:hAnsiTheme="minorHAnsi"/>
        </w:rPr>
      </w:pPr>
      <w:r w:rsidRPr="00F22BDD">
        <w:rPr>
          <w:rFonts w:asciiTheme="minorHAnsi" w:hAnsiTheme="minorHAnsi"/>
        </w:rPr>
        <w:t>3.1. Ogólne wymagania dotyczące sprzętu</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wymagania dotyczące sprzętu podano w </w:t>
      </w:r>
      <w:r w:rsidR="005B48CA">
        <w:rPr>
          <w:rFonts w:asciiTheme="minorHAnsi" w:hAnsiTheme="minorHAnsi"/>
        </w:rPr>
        <w:t>STWiORB</w:t>
      </w:r>
      <w:r w:rsidRPr="00F22BDD">
        <w:rPr>
          <w:rFonts w:asciiTheme="minorHAnsi" w:hAnsiTheme="minorHAnsi"/>
        </w:rPr>
        <w:t xml:space="preserve"> D-M-00.00.00 „Wymagania ogólne” pkt 3.</w:t>
      </w:r>
    </w:p>
    <w:p w:rsidR="00F22BDD" w:rsidRPr="00F22BDD" w:rsidRDefault="00F22BDD" w:rsidP="00F22BDD">
      <w:pPr>
        <w:pStyle w:val="Nagwek4"/>
        <w:rPr>
          <w:rFonts w:asciiTheme="minorHAnsi" w:hAnsiTheme="minorHAnsi"/>
        </w:rPr>
      </w:pPr>
      <w:r w:rsidRPr="00F22BDD">
        <w:rPr>
          <w:rFonts w:asciiTheme="minorHAnsi" w:hAnsiTheme="minorHAnsi"/>
        </w:rPr>
        <w:t>3.2. Sprzęt do wykonania nawierzchni z kostki brukowej</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Małe powierzchnie </w:t>
      </w:r>
      <w:r w:rsidR="0069119B">
        <w:rPr>
          <w:rFonts w:asciiTheme="minorHAnsi" w:hAnsiTheme="minorHAnsi"/>
        </w:rPr>
        <w:t xml:space="preserve">nawierzchni </w:t>
      </w:r>
      <w:r w:rsidRPr="00F22BDD">
        <w:rPr>
          <w:rFonts w:asciiTheme="minorHAnsi" w:hAnsiTheme="minorHAnsi"/>
        </w:rPr>
        <w:t>wykonuje się ręcznie.</w:t>
      </w:r>
    </w:p>
    <w:p w:rsidR="00F22BDD" w:rsidRPr="00F22BDD" w:rsidRDefault="00F22BDD" w:rsidP="00F22BDD">
      <w:pPr>
        <w:numPr>
          <w:ilvl w:val="12"/>
          <w:numId w:val="0"/>
        </w:numPr>
        <w:rPr>
          <w:rFonts w:asciiTheme="minorHAnsi" w:hAnsiTheme="minorHAnsi"/>
        </w:rPr>
      </w:pPr>
      <w:r w:rsidRPr="00F22BDD">
        <w:rPr>
          <w:rFonts w:asciiTheme="minorHAnsi" w:hAnsiTheme="minorHAnsi"/>
        </w:rPr>
        <w:t>Jeśli powierzchnie są duże, a</w:t>
      </w:r>
      <w:r w:rsidR="0069119B">
        <w:rPr>
          <w:rFonts w:asciiTheme="minorHAnsi" w:hAnsiTheme="minorHAnsi"/>
        </w:rPr>
        <w:t xml:space="preserve"> płyty i</w:t>
      </w:r>
      <w:r w:rsidRPr="00F22BDD">
        <w:rPr>
          <w:rFonts w:asciiTheme="minorHAnsi" w:hAnsiTheme="minorHAnsi"/>
        </w:rPr>
        <w:t xml:space="preserve"> kostki brukowe mają jednolity kształt i kolor, można stosować mechaniczne urządzenia układające. Urządzenie składa się z wózka i chwytaka sterowanego hydraulicznie, służącego do </w:t>
      </w:r>
      <w:r w:rsidRPr="00F22BDD">
        <w:rPr>
          <w:rFonts w:asciiTheme="minorHAnsi" w:hAnsiTheme="minorHAnsi"/>
        </w:rPr>
        <w:lastRenderedPageBreak/>
        <w:t>przenoszenia z palety warstwy kostek na miejsce ich ułożenia. Urządzenie to, po skończonym układaniu kostek, można wykorzystać do wymiatania piasku w szczeliny zamocowanymi do chwytaka szczotkami.</w:t>
      </w:r>
    </w:p>
    <w:p w:rsidR="00F22BDD" w:rsidRPr="00F22BDD" w:rsidRDefault="00F22BDD" w:rsidP="00F22BDD">
      <w:pPr>
        <w:numPr>
          <w:ilvl w:val="12"/>
          <w:numId w:val="0"/>
        </w:numPr>
        <w:rPr>
          <w:rFonts w:asciiTheme="minorHAnsi" w:hAnsiTheme="minorHAnsi"/>
        </w:rPr>
      </w:pPr>
      <w:r w:rsidRPr="00F22BDD">
        <w:rPr>
          <w:rFonts w:asciiTheme="minorHAnsi" w:hAnsiTheme="minorHAnsi"/>
        </w:rPr>
        <w:t>Do zagęszczenia nawierzchni stosuje się wibratory płytowe z osłoną z tworzywa sztucznego.</w:t>
      </w:r>
    </w:p>
    <w:p w:rsidR="00F22BDD" w:rsidRPr="00F22BDD" w:rsidRDefault="00F22BDD" w:rsidP="00F22BDD">
      <w:pPr>
        <w:numPr>
          <w:ilvl w:val="12"/>
          <w:numId w:val="0"/>
        </w:numPr>
        <w:rPr>
          <w:rFonts w:asciiTheme="minorHAnsi" w:hAnsiTheme="minorHAnsi"/>
        </w:rPr>
      </w:pPr>
      <w:r w:rsidRPr="00F22BDD">
        <w:rPr>
          <w:rFonts w:asciiTheme="minorHAnsi" w:hAnsiTheme="minorHAnsi"/>
        </w:rPr>
        <w:t>Do wyrównania podsypki z piasku można stosować mechaniczne urządzenie na rolkach, prowadzone liniami na szynie lub krawężnikach.</w:t>
      </w:r>
    </w:p>
    <w:p w:rsidR="00F22BDD" w:rsidRPr="00F22BDD" w:rsidRDefault="00F22BDD" w:rsidP="00F22BDD">
      <w:pPr>
        <w:pStyle w:val="Nagwek3"/>
        <w:rPr>
          <w:rFonts w:asciiTheme="minorHAnsi" w:hAnsiTheme="minorHAnsi"/>
        </w:rPr>
      </w:pPr>
      <w:bookmarkStart w:id="1263" w:name="_Toc107903218"/>
      <w:r w:rsidRPr="00F22BDD">
        <w:rPr>
          <w:rFonts w:asciiTheme="minorHAnsi" w:hAnsiTheme="minorHAnsi"/>
        </w:rPr>
        <w:t>4. TRANSPORT</w:t>
      </w:r>
      <w:bookmarkEnd w:id="1263"/>
    </w:p>
    <w:p w:rsidR="00F22BDD" w:rsidRPr="00F22BDD" w:rsidRDefault="00F22BDD" w:rsidP="00F22BDD">
      <w:pPr>
        <w:pStyle w:val="Nagwek4"/>
        <w:rPr>
          <w:rFonts w:asciiTheme="minorHAnsi" w:hAnsiTheme="minorHAnsi"/>
        </w:rPr>
      </w:pPr>
      <w:r w:rsidRPr="00F22BDD">
        <w:rPr>
          <w:rFonts w:asciiTheme="minorHAnsi" w:hAnsiTheme="minorHAnsi"/>
        </w:rPr>
        <w:t>4.1. Ogólne wymagania dotyczące transportu</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wymagania dotyczące transportu podano w </w:t>
      </w:r>
      <w:r w:rsidR="005B48CA">
        <w:rPr>
          <w:rFonts w:asciiTheme="minorHAnsi" w:hAnsiTheme="minorHAnsi"/>
        </w:rPr>
        <w:t>STWiORB</w:t>
      </w:r>
      <w:r w:rsidRPr="00F22BDD">
        <w:rPr>
          <w:rFonts w:asciiTheme="minorHAnsi" w:hAnsiTheme="minorHAnsi"/>
        </w:rPr>
        <w:t xml:space="preserve"> D-M-00.00.00 „Wymagania ogólne” pkt 4.</w:t>
      </w:r>
    </w:p>
    <w:p w:rsidR="00F22BDD" w:rsidRPr="00F22BDD" w:rsidRDefault="00F22BDD" w:rsidP="00F22BDD">
      <w:pPr>
        <w:pStyle w:val="Nagwek4"/>
        <w:rPr>
          <w:rFonts w:asciiTheme="minorHAnsi" w:hAnsiTheme="minorHAnsi"/>
        </w:rPr>
      </w:pPr>
      <w:r w:rsidRPr="00F22BDD">
        <w:rPr>
          <w:rFonts w:asciiTheme="minorHAnsi" w:hAnsiTheme="minorHAnsi"/>
        </w:rPr>
        <w:t>4.2. Transport betonowych kostek brukowych</w:t>
      </w:r>
    </w:p>
    <w:p w:rsidR="00F22BDD" w:rsidRPr="00F22BDD" w:rsidRDefault="00F22BDD" w:rsidP="00F22BDD">
      <w:pPr>
        <w:numPr>
          <w:ilvl w:val="12"/>
          <w:numId w:val="0"/>
        </w:numPr>
        <w:rPr>
          <w:rFonts w:asciiTheme="minorHAnsi" w:hAnsiTheme="minorHAnsi"/>
        </w:rPr>
      </w:pPr>
      <w:r w:rsidRPr="00F22BDD">
        <w:rPr>
          <w:rFonts w:asciiTheme="minorHAnsi" w:hAnsiTheme="minorHAnsi"/>
        </w:rPr>
        <w:t>Uformowane w czasie produkcji kostki betonowe</w:t>
      </w:r>
      <w:r w:rsidR="0069119B">
        <w:rPr>
          <w:rFonts w:asciiTheme="minorHAnsi" w:hAnsiTheme="minorHAnsi"/>
        </w:rPr>
        <w:t xml:space="preserve"> i płyty chodnikowe</w:t>
      </w:r>
      <w:r w:rsidRPr="00F22BDD">
        <w:rPr>
          <w:rFonts w:asciiTheme="minorHAnsi" w:hAnsiTheme="minorHAnsi"/>
        </w:rPr>
        <w:t xml:space="preserve"> układane są warstwowo na palecie. Po uzyskaniu wytrzymałości betonu min. 0,7 R, kostki</w:t>
      </w:r>
      <w:r w:rsidR="0069119B">
        <w:rPr>
          <w:rFonts w:asciiTheme="minorHAnsi" w:hAnsiTheme="minorHAnsi"/>
        </w:rPr>
        <w:t xml:space="preserve"> lub płyty</w:t>
      </w:r>
      <w:r w:rsidRPr="00F22BDD">
        <w:rPr>
          <w:rFonts w:asciiTheme="minorHAnsi" w:hAnsiTheme="minorHAnsi"/>
        </w:rPr>
        <w:t xml:space="preserve"> przewożone są na stanowisko, gdzie specjalne urządzenie pakuje je w folię i spina taśmą stalową, co gwarantuje transport samochodami w nienaruszonym stanie.</w:t>
      </w:r>
    </w:p>
    <w:p w:rsidR="00F22BDD" w:rsidRPr="00F22BDD" w:rsidRDefault="00F22BDD" w:rsidP="00F22BDD">
      <w:pPr>
        <w:numPr>
          <w:ilvl w:val="12"/>
          <w:numId w:val="0"/>
        </w:numPr>
        <w:rPr>
          <w:rFonts w:asciiTheme="minorHAnsi" w:hAnsiTheme="minorHAnsi"/>
        </w:rPr>
      </w:pPr>
      <w:r w:rsidRPr="00F22BDD">
        <w:rPr>
          <w:rFonts w:asciiTheme="minorHAnsi" w:hAnsiTheme="minorHAnsi"/>
        </w:rPr>
        <w:t>Kostki betonowe</w:t>
      </w:r>
      <w:r w:rsidR="0069119B">
        <w:rPr>
          <w:rFonts w:asciiTheme="minorHAnsi" w:hAnsiTheme="minorHAnsi"/>
        </w:rPr>
        <w:t xml:space="preserve"> i płyty chodnikowe</w:t>
      </w:r>
      <w:r w:rsidRPr="00F22BDD">
        <w:rPr>
          <w:rFonts w:asciiTheme="minorHAnsi" w:hAnsiTheme="minorHAnsi"/>
        </w:rPr>
        <w:t xml:space="preserve"> można przewozić samochodami na paletach transportowych producenta.</w:t>
      </w:r>
    </w:p>
    <w:p w:rsidR="00F22BDD" w:rsidRPr="00F22BDD" w:rsidRDefault="00F22BDD" w:rsidP="00F22BDD">
      <w:pPr>
        <w:pStyle w:val="Nagwek3"/>
        <w:rPr>
          <w:rFonts w:asciiTheme="minorHAnsi" w:hAnsiTheme="minorHAnsi"/>
        </w:rPr>
      </w:pPr>
      <w:bookmarkStart w:id="1264" w:name="_Toc107903219"/>
      <w:r w:rsidRPr="00F22BDD">
        <w:rPr>
          <w:rFonts w:asciiTheme="minorHAnsi" w:hAnsiTheme="minorHAnsi"/>
        </w:rPr>
        <w:t>5. WYKONANIE ROBÓT</w:t>
      </w:r>
      <w:bookmarkEnd w:id="1264"/>
    </w:p>
    <w:p w:rsidR="00F22BDD" w:rsidRPr="00F22BDD" w:rsidRDefault="00F22BDD" w:rsidP="00F22BDD">
      <w:pPr>
        <w:pStyle w:val="Nagwek4"/>
        <w:rPr>
          <w:rFonts w:asciiTheme="minorHAnsi" w:hAnsiTheme="minorHAnsi"/>
        </w:rPr>
      </w:pPr>
      <w:r w:rsidRPr="00F22BDD">
        <w:rPr>
          <w:rFonts w:asciiTheme="minorHAnsi" w:hAnsiTheme="minorHAnsi"/>
        </w:rPr>
        <w:t>5.1. Ogólne zasady wykonania robót</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zasady wykonania robót podano w </w:t>
      </w:r>
      <w:r w:rsidR="005B48CA">
        <w:rPr>
          <w:rFonts w:asciiTheme="minorHAnsi" w:hAnsiTheme="minorHAnsi"/>
        </w:rPr>
        <w:t>STWiORB</w:t>
      </w:r>
      <w:r w:rsidRPr="00F22BDD">
        <w:rPr>
          <w:rFonts w:asciiTheme="minorHAnsi" w:hAnsiTheme="minorHAnsi"/>
        </w:rPr>
        <w:t xml:space="preserve"> D-M-00.00.00 „Wymagania ogólne” pkt 5.</w:t>
      </w:r>
    </w:p>
    <w:p w:rsidR="00F22BDD" w:rsidRPr="00F22BDD" w:rsidRDefault="00F22BDD" w:rsidP="00F22BDD">
      <w:pPr>
        <w:pStyle w:val="Nagwek4"/>
        <w:rPr>
          <w:rFonts w:asciiTheme="minorHAnsi" w:hAnsiTheme="minorHAnsi"/>
        </w:rPr>
      </w:pPr>
      <w:r w:rsidRPr="00F22BDD">
        <w:rPr>
          <w:rFonts w:asciiTheme="minorHAnsi" w:hAnsiTheme="minorHAnsi"/>
        </w:rPr>
        <w:t>5.2. Podłoże</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Podłoże pod nawierzchnię stanowi podbudowa z kruszywa wykonana wg </w:t>
      </w:r>
      <w:r w:rsidR="005B48CA">
        <w:rPr>
          <w:rFonts w:asciiTheme="minorHAnsi" w:hAnsiTheme="minorHAnsi"/>
        </w:rPr>
        <w:t>STWiORB</w:t>
      </w:r>
      <w:r w:rsidRPr="00F22BDD">
        <w:rPr>
          <w:rFonts w:asciiTheme="minorHAnsi" w:hAnsiTheme="minorHAnsi"/>
        </w:rPr>
        <w:t xml:space="preserve"> D-04.04.02</w:t>
      </w:r>
    </w:p>
    <w:p w:rsidR="00F22BDD" w:rsidRPr="00F22BDD" w:rsidRDefault="00F22BDD" w:rsidP="00F22BDD">
      <w:pPr>
        <w:pStyle w:val="Nagwek4"/>
        <w:rPr>
          <w:rFonts w:asciiTheme="minorHAnsi" w:hAnsiTheme="minorHAnsi"/>
        </w:rPr>
      </w:pPr>
      <w:r w:rsidRPr="00F22BDD">
        <w:rPr>
          <w:rFonts w:asciiTheme="minorHAnsi" w:hAnsiTheme="minorHAnsi"/>
        </w:rPr>
        <w:t>5.3. Obramowanie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rPr>
        <w:t>Obramowania nawierzchni z b</w:t>
      </w:r>
      <w:r w:rsidR="0069119B">
        <w:rPr>
          <w:rFonts w:asciiTheme="minorHAnsi" w:hAnsiTheme="minorHAnsi"/>
        </w:rPr>
        <w:t>etonowych kostek brukowych stan</w:t>
      </w:r>
      <w:r w:rsidRPr="00F22BDD">
        <w:rPr>
          <w:rFonts w:asciiTheme="minorHAnsi" w:hAnsiTheme="minorHAnsi"/>
        </w:rPr>
        <w:t>owią krawężniki betonowe oraz obrzeża betonowe.</w:t>
      </w:r>
    </w:p>
    <w:p w:rsidR="00F22BDD" w:rsidRPr="00F22BDD" w:rsidRDefault="00F22BDD" w:rsidP="00F22BDD">
      <w:pPr>
        <w:pStyle w:val="Nagwek4"/>
        <w:rPr>
          <w:rFonts w:asciiTheme="minorHAnsi" w:hAnsiTheme="minorHAnsi"/>
        </w:rPr>
      </w:pPr>
      <w:r w:rsidRPr="00F22BDD">
        <w:rPr>
          <w:rFonts w:asciiTheme="minorHAnsi" w:hAnsiTheme="minorHAnsi"/>
        </w:rPr>
        <w:t>5.5. Podsypka</w:t>
      </w:r>
    </w:p>
    <w:p w:rsidR="00F22BDD" w:rsidRPr="00F22BDD" w:rsidRDefault="00F22BDD" w:rsidP="00F22BDD">
      <w:pPr>
        <w:numPr>
          <w:ilvl w:val="12"/>
          <w:numId w:val="0"/>
        </w:numPr>
        <w:rPr>
          <w:rFonts w:asciiTheme="minorHAnsi" w:hAnsiTheme="minorHAnsi"/>
        </w:rPr>
      </w:pPr>
      <w:r w:rsidRPr="00F22BDD">
        <w:rPr>
          <w:rFonts w:asciiTheme="minorHAnsi" w:hAnsiTheme="minorHAnsi"/>
        </w:rPr>
        <w:t>Na podsypkę należy stosować piasek gruby,</w:t>
      </w:r>
      <w:r w:rsidR="00B331A7">
        <w:rPr>
          <w:rFonts w:asciiTheme="minorHAnsi" w:hAnsiTheme="minorHAnsi"/>
        </w:rPr>
        <w:t xml:space="preserve"> </w:t>
      </w:r>
      <w:r w:rsidRPr="00F22BDD">
        <w:rPr>
          <w:rFonts w:asciiTheme="minorHAnsi" w:hAnsiTheme="minorHAnsi"/>
        </w:rPr>
        <w:t>odpowiadający wymaganiom PN-EN 12620:2004</w:t>
      </w:r>
      <w:r w:rsidR="00B331A7">
        <w:rPr>
          <w:rFonts w:asciiTheme="minorHAnsi" w:hAnsiTheme="minorHAnsi"/>
        </w:rPr>
        <w:t xml:space="preserve"> lub miał wg normy PN-EN 13043</w:t>
      </w:r>
      <w:r w:rsidRPr="00F22BDD">
        <w:rPr>
          <w:rFonts w:asciiTheme="minorHAnsi" w:hAnsiTheme="minorHAnsi"/>
        </w:rPr>
        <w:t>.</w:t>
      </w:r>
    </w:p>
    <w:p w:rsidR="00F22BDD" w:rsidRPr="00F22BDD" w:rsidRDefault="00F22BDD" w:rsidP="00F22BDD">
      <w:pPr>
        <w:numPr>
          <w:ilvl w:val="12"/>
          <w:numId w:val="0"/>
        </w:numPr>
        <w:rPr>
          <w:rFonts w:asciiTheme="minorHAnsi" w:hAnsiTheme="minorHAnsi"/>
        </w:rPr>
      </w:pPr>
      <w:r w:rsidRPr="00F22BDD">
        <w:rPr>
          <w:rFonts w:asciiTheme="minorHAnsi" w:hAnsiTheme="minorHAnsi"/>
        </w:rPr>
        <w:t>Grubość podsypki po zagęszczeniu powinna zawierać się w granicach od 3 do 5 cm. Podsypka powinna być zwilżona wodą, zagęszczona i wyprofilowana.</w:t>
      </w:r>
    </w:p>
    <w:p w:rsidR="00F22BDD" w:rsidRPr="00F22BDD" w:rsidRDefault="00F22BDD" w:rsidP="00F22BDD">
      <w:pPr>
        <w:pStyle w:val="Nagwek4"/>
        <w:rPr>
          <w:rFonts w:asciiTheme="minorHAnsi" w:hAnsiTheme="minorHAnsi"/>
        </w:rPr>
      </w:pPr>
      <w:r w:rsidRPr="00F22BDD">
        <w:rPr>
          <w:rFonts w:asciiTheme="minorHAnsi" w:hAnsiTheme="minorHAnsi"/>
        </w:rPr>
        <w:t xml:space="preserve">5.6. Układanie nawierzchni </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Z uwagi na różnorodność kształtów i kolorów produkowanych </w:t>
      </w:r>
      <w:r w:rsidR="00A86901" w:rsidRPr="00F22BDD">
        <w:rPr>
          <w:rFonts w:asciiTheme="minorHAnsi" w:hAnsiTheme="minorHAnsi"/>
        </w:rPr>
        <w:t>k</w:t>
      </w:r>
      <w:r w:rsidR="00A86901">
        <w:rPr>
          <w:rFonts w:asciiTheme="minorHAnsi" w:hAnsiTheme="minorHAnsi"/>
        </w:rPr>
        <w:t>ształtek</w:t>
      </w:r>
      <w:r w:rsidRPr="00F22BDD">
        <w:rPr>
          <w:rFonts w:asciiTheme="minorHAnsi" w:hAnsiTheme="minorHAnsi"/>
        </w:rPr>
        <w:t>, możliwe jest ułożenie dowolnego wzoru - wcześniej ustalonego w dokumentacji projektowej i zaakceptowanego przez Inżyniera.</w:t>
      </w:r>
    </w:p>
    <w:p w:rsidR="00F22BDD" w:rsidRPr="00F22BDD" w:rsidRDefault="00F22BDD" w:rsidP="00F22BDD">
      <w:pPr>
        <w:numPr>
          <w:ilvl w:val="12"/>
          <w:numId w:val="0"/>
        </w:numPr>
        <w:rPr>
          <w:rFonts w:asciiTheme="minorHAnsi" w:hAnsiTheme="minorHAnsi"/>
        </w:rPr>
      </w:pPr>
      <w:r w:rsidRPr="00F22BDD">
        <w:rPr>
          <w:rFonts w:asciiTheme="minorHAnsi" w:hAnsiTheme="minorHAnsi"/>
        </w:rPr>
        <w:t>Kostkę</w:t>
      </w:r>
      <w:r w:rsidR="00A86901">
        <w:rPr>
          <w:rFonts w:asciiTheme="minorHAnsi" w:hAnsiTheme="minorHAnsi"/>
        </w:rPr>
        <w:t xml:space="preserve"> i lyty</w:t>
      </w:r>
      <w:r w:rsidRPr="00F22BDD">
        <w:rPr>
          <w:rFonts w:asciiTheme="minorHAnsi" w:hAnsiTheme="minorHAnsi"/>
        </w:rPr>
        <w:t xml:space="preserve"> układa się na podsypce lub podłożu piaszczystym w taki sposób, aby szczeliny między kostkami wynosiły od 2 do 3 mm. Kostkę należy układać ok. 1,5 cm wyżej od projektowanej niwelety nawierzchni, gdyż w czasie wibrowania (ubijania) podsypka ulega zagęszczeniu.</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Po ułożeniu </w:t>
      </w:r>
      <w:r w:rsidR="00A86901">
        <w:rPr>
          <w:rFonts w:asciiTheme="minorHAnsi" w:hAnsiTheme="minorHAnsi"/>
        </w:rPr>
        <w:t>materiału</w:t>
      </w:r>
      <w:r w:rsidRPr="00F22BDD">
        <w:rPr>
          <w:rFonts w:asciiTheme="minorHAnsi" w:hAnsiTheme="minorHAnsi"/>
        </w:rPr>
        <w:t>, szczeliny należy wypełnić piaskiem, a następnie zamieść powierzchnię ułożonych kostek</w:t>
      </w:r>
      <w:r w:rsidR="00A86901">
        <w:rPr>
          <w:rFonts w:asciiTheme="minorHAnsi" w:hAnsiTheme="minorHAnsi"/>
        </w:rPr>
        <w:t xml:space="preserve"> i płyt</w:t>
      </w:r>
      <w:r w:rsidRPr="00F22BDD">
        <w:rPr>
          <w:rFonts w:asciiTheme="minorHAnsi" w:hAnsiTheme="minorHAnsi"/>
        </w:rPr>
        <w:t xml:space="preserve"> przy użyciu szczotek ręcznych lub mechanicznych i przystąpić do ubijania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rPr>
        <w:t>Do</w:t>
      </w:r>
      <w:r w:rsidR="00A86901">
        <w:rPr>
          <w:rFonts w:asciiTheme="minorHAnsi" w:hAnsiTheme="minorHAnsi"/>
        </w:rPr>
        <w:t xml:space="preserve"> ubijania ułożonej nawierzchni</w:t>
      </w:r>
      <w:r w:rsidRPr="00F22BDD">
        <w:rPr>
          <w:rFonts w:asciiTheme="minorHAnsi" w:hAnsiTheme="minorHAnsi"/>
        </w:rPr>
        <w:t xml:space="preserve"> stosuje się wibratory płytowe z osłoną z tworzywa sztucznego dla ochrony kostek przed uszkodzeniem i zabrudzeniem. Wibrowanie należy prowadzić od krawędzi powierzchni ubijanej w kierunku środka i jednocześnie w kierunku poprzecznym kształtek.</w:t>
      </w:r>
    </w:p>
    <w:p w:rsidR="00F22BDD" w:rsidRPr="00F22BDD" w:rsidRDefault="00F22BDD" w:rsidP="00F22BDD">
      <w:pPr>
        <w:numPr>
          <w:ilvl w:val="12"/>
          <w:numId w:val="0"/>
        </w:numPr>
        <w:rPr>
          <w:rFonts w:asciiTheme="minorHAnsi" w:hAnsiTheme="minorHAnsi"/>
        </w:rPr>
      </w:pPr>
      <w:r w:rsidRPr="00F22BDD">
        <w:rPr>
          <w:rFonts w:asciiTheme="minorHAnsi" w:hAnsiTheme="minorHAnsi"/>
        </w:rPr>
        <w:t>Do zagęszczania nawierzchni z betonowych kostek brukowych</w:t>
      </w:r>
      <w:r w:rsidR="00A86901">
        <w:rPr>
          <w:rFonts w:asciiTheme="minorHAnsi" w:hAnsiTheme="minorHAnsi"/>
        </w:rPr>
        <w:t xml:space="preserve"> i płyt chodnikowych</w:t>
      </w:r>
      <w:r w:rsidRPr="00F22BDD">
        <w:rPr>
          <w:rFonts w:asciiTheme="minorHAnsi" w:hAnsiTheme="minorHAnsi"/>
        </w:rPr>
        <w:t xml:space="preserve"> nie wolno używać walca.</w:t>
      </w:r>
    </w:p>
    <w:p w:rsidR="00F22BDD" w:rsidRPr="00F22BDD" w:rsidRDefault="00F22BDD" w:rsidP="00F22BDD">
      <w:pPr>
        <w:numPr>
          <w:ilvl w:val="12"/>
          <w:numId w:val="0"/>
        </w:numPr>
        <w:rPr>
          <w:rFonts w:asciiTheme="minorHAnsi" w:hAnsiTheme="minorHAnsi"/>
        </w:rPr>
      </w:pPr>
      <w:r w:rsidRPr="00F22BDD">
        <w:rPr>
          <w:rFonts w:asciiTheme="minorHAnsi" w:hAnsiTheme="minorHAnsi"/>
        </w:rPr>
        <w:t>Po ubiciu nawierzchni należy uzupełnić szczeliny piaskiem i zamieść nawierzchnię. Nawierzchnia z wypełnieniem spoin piaskiem nie wymaga pielęgnacji - może być zaraz oddana do ruchu.</w:t>
      </w:r>
    </w:p>
    <w:p w:rsidR="00F22BDD" w:rsidRPr="00F22BDD" w:rsidRDefault="00F22BDD" w:rsidP="00F22BDD">
      <w:pPr>
        <w:pStyle w:val="Nagwek3"/>
        <w:rPr>
          <w:rFonts w:asciiTheme="minorHAnsi" w:hAnsiTheme="minorHAnsi"/>
        </w:rPr>
      </w:pPr>
      <w:bookmarkStart w:id="1265" w:name="_Toc107903220"/>
      <w:r w:rsidRPr="00F22BDD">
        <w:rPr>
          <w:rFonts w:asciiTheme="minorHAnsi" w:hAnsiTheme="minorHAnsi"/>
        </w:rPr>
        <w:lastRenderedPageBreak/>
        <w:t>6. KONTROLA JAKOŚCI ROBÓT</w:t>
      </w:r>
      <w:bookmarkEnd w:id="1265"/>
    </w:p>
    <w:p w:rsidR="00F22BDD" w:rsidRPr="00F22BDD" w:rsidRDefault="00F22BDD" w:rsidP="00F22BDD">
      <w:pPr>
        <w:pStyle w:val="Nagwek4"/>
        <w:rPr>
          <w:rFonts w:asciiTheme="minorHAnsi" w:hAnsiTheme="minorHAnsi"/>
        </w:rPr>
      </w:pPr>
      <w:r w:rsidRPr="00F22BDD">
        <w:rPr>
          <w:rFonts w:asciiTheme="minorHAnsi" w:hAnsiTheme="minorHAnsi"/>
        </w:rPr>
        <w:t>6.1. Ogólne zasady kontroli jakości robót</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zasady kontroli jakości robót podano w </w:t>
      </w:r>
      <w:r w:rsidR="005B48CA">
        <w:rPr>
          <w:rFonts w:asciiTheme="minorHAnsi" w:hAnsiTheme="minorHAnsi"/>
        </w:rPr>
        <w:t>STWiORB</w:t>
      </w:r>
      <w:r w:rsidRPr="00F22BDD">
        <w:rPr>
          <w:rFonts w:asciiTheme="minorHAnsi" w:hAnsiTheme="minorHAnsi"/>
        </w:rPr>
        <w:t xml:space="preserve"> D-M-00.00.00 „Wymagania ogólne” pkt 6.</w:t>
      </w:r>
    </w:p>
    <w:p w:rsidR="00F22BDD" w:rsidRPr="00F22BDD" w:rsidRDefault="00F22BDD" w:rsidP="00F22BDD">
      <w:pPr>
        <w:pStyle w:val="Nagwek4"/>
        <w:rPr>
          <w:rFonts w:asciiTheme="minorHAnsi" w:hAnsiTheme="minorHAnsi"/>
        </w:rPr>
      </w:pPr>
      <w:r w:rsidRPr="00F22BDD">
        <w:rPr>
          <w:rFonts w:asciiTheme="minorHAnsi" w:hAnsiTheme="minorHAnsi"/>
        </w:rPr>
        <w:t>6.2. Badania przed przystąpieniem do robót</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Przed przystąpieniem do robót, Wykonawca powinien sprawdzić, czy producent kostek brukowych posiada atest wyrobu wg pkt 2.niniejszej </w:t>
      </w:r>
      <w:r w:rsidR="005B48CA">
        <w:rPr>
          <w:rFonts w:asciiTheme="minorHAnsi" w:hAnsiTheme="minorHAnsi"/>
        </w:rPr>
        <w:t>STWiORB</w:t>
      </w:r>
      <w:r w:rsidRPr="00F22BDD">
        <w:rPr>
          <w:rFonts w:asciiTheme="minorHAnsi" w:hAnsiTheme="minorHAnsi"/>
        </w:rPr>
        <w:t>.</w:t>
      </w:r>
    </w:p>
    <w:p w:rsidR="00F22BDD" w:rsidRPr="00F22BDD" w:rsidRDefault="00F22BDD" w:rsidP="00F22BDD">
      <w:pPr>
        <w:numPr>
          <w:ilvl w:val="12"/>
          <w:numId w:val="0"/>
        </w:numPr>
        <w:rPr>
          <w:rFonts w:asciiTheme="minorHAnsi" w:hAnsiTheme="minorHAnsi"/>
        </w:rPr>
      </w:pPr>
      <w:r w:rsidRPr="00F22BDD">
        <w:rPr>
          <w:rFonts w:asciiTheme="minorHAnsi" w:hAnsiTheme="minorHAnsi"/>
        </w:rPr>
        <w:t>Niezależnie od posiadanego atestu, Wykonawca powinien żądać od producenta wyników bieżących badań wyrobu na ściskanie. Zaleca się, aby do badania wytrzymałości na ściskanie pobierać</w:t>
      </w:r>
      <w:r w:rsidR="00A86901">
        <w:rPr>
          <w:rFonts w:asciiTheme="minorHAnsi" w:hAnsiTheme="minorHAnsi"/>
        </w:rPr>
        <w:t xml:space="preserve"> po</w:t>
      </w:r>
      <w:r w:rsidRPr="00F22BDD">
        <w:rPr>
          <w:rFonts w:asciiTheme="minorHAnsi" w:hAnsiTheme="minorHAnsi"/>
        </w:rPr>
        <w:t xml:space="preserve"> 6 próbek (kostek</w:t>
      </w:r>
      <w:r w:rsidR="00A86901">
        <w:rPr>
          <w:rFonts w:asciiTheme="minorHAnsi" w:hAnsiTheme="minorHAnsi"/>
        </w:rPr>
        <w:t xml:space="preserve"> i płyt</w:t>
      </w:r>
      <w:r w:rsidRPr="00F22BDD">
        <w:rPr>
          <w:rFonts w:asciiTheme="minorHAnsi" w:hAnsiTheme="minorHAnsi"/>
        </w:rPr>
        <w:t>) dziennie (przy produkcji dziennej ok. 600 m</w:t>
      </w:r>
      <w:r w:rsidRPr="00F22BDD">
        <w:rPr>
          <w:rFonts w:asciiTheme="minorHAnsi" w:hAnsiTheme="minorHAnsi"/>
          <w:vertAlign w:val="superscript"/>
        </w:rPr>
        <w:t>2</w:t>
      </w:r>
      <w:r w:rsidRPr="00F22BDD">
        <w:rPr>
          <w:rFonts w:asciiTheme="minorHAnsi" w:hAnsiTheme="minorHAnsi"/>
        </w:rPr>
        <w:t xml:space="preserve"> powierzchni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rPr>
        <w:t>Poza tym, przed przystąpieniem do robót Wykonawca sprawdza wyrób w zakresie wymagań podanych w pkt 2 i wyniki badań przedstawia Inżynierowi do akceptacji.</w:t>
      </w:r>
    </w:p>
    <w:p w:rsidR="00F22BDD" w:rsidRPr="00F22BDD" w:rsidRDefault="00F22BDD" w:rsidP="00F22BDD">
      <w:pPr>
        <w:pStyle w:val="Nagwek4"/>
        <w:rPr>
          <w:rFonts w:asciiTheme="minorHAnsi" w:hAnsiTheme="minorHAnsi"/>
        </w:rPr>
      </w:pPr>
      <w:r w:rsidRPr="00F22BDD">
        <w:rPr>
          <w:rFonts w:asciiTheme="minorHAnsi" w:hAnsiTheme="minorHAnsi"/>
        </w:rPr>
        <w:t>6.3. Badania w czasie robót</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6.3.1. </w:t>
      </w:r>
      <w:r w:rsidRPr="00F22BDD">
        <w:rPr>
          <w:rFonts w:asciiTheme="minorHAnsi" w:hAnsiTheme="minorHAnsi"/>
        </w:rPr>
        <w:t>Sprawdzenie podłoża i podbudowy</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Sprawdzenie podłoża i podbudowy polega na stwierdzeniu ich zgodności z dokumentacją projektową i odpowiednimi </w:t>
      </w:r>
      <w:r w:rsidR="005B48CA">
        <w:rPr>
          <w:rFonts w:asciiTheme="minorHAnsi" w:hAnsiTheme="minorHAnsi"/>
        </w:rPr>
        <w:t>STWiORB</w:t>
      </w:r>
      <w:r w:rsidRPr="00F22BDD">
        <w:rPr>
          <w:rFonts w:asciiTheme="minorHAnsi" w:hAnsiTheme="minorHAnsi"/>
        </w:rPr>
        <w:t>.</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6.3.2. </w:t>
      </w:r>
      <w:r w:rsidRPr="00F22BDD">
        <w:rPr>
          <w:rFonts w:asciiTheme="minorHAnsi" w:hAnsiTheme="minorHAnsi"/>
        </w:rPr>
        <w:t>Sprawdzenie podsypki</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Sprawdzenie podsypki w zakresie grubości i wymaganych spadków poprzecznych i podłużnych polega na stwierdzeniu zgodności z dokumentacją projektową oraz pkt 5.5 niniejszej </w:t>
      </w:r>
      <w:r w:rsidR="005B48CA">
        <w:rPr>
          <w:rFonts w:asciiTheme="minorHAnsi" w:hAnsiTheme="minorHAnsi"/>
        </w:rPr>
        <w:t>STWiORB</w:t>
      </w:r>
      <w:r w:rsidRPr="00F22BDD">
        <w:rPr>
          <w:rFonts w:asciiTheme="minorHAnsi" w:hAnsiTheme="minorHAnsi"/>
        </w:rPr>
        <w:t>.</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6.3.3. </w:t>
      </w:r>
      <w:r w:rsidRPr="00F22BDD">
        <w:rPr>
          <w:rFonts w:asciiTheme="minorHAnsi" w:hAnsiTheme="minorHAnsi"/>
        </w:rPr>
        <w:t>Sprawdzenie wykonania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rPr>
        <w:t>Sprawdzenie prawidłowości wykonania nawierzchni z betonowych kostek brukowych</w:t>
      </w:r>
      <w:r w:rsidR="00A86901">
        <w:rPr>
          <w:rFonts w:asciiTheme="minorHAnsi" w:hAnsiTheme="minorHAnsi"/>
        </w:rPr>
        <w:t xml:space="preserve"> i płyt chodnikowych</w:t>
      </w:r>
      <w:r w:rsidRPr="00F22BDD">
        <w:rPr>
          <w:rFonts w:asciiTheme="minorHAnsi" w:hAnsiTheme="minorHAnsi"/>
        </w:rPr>
        <w:t xml:space="preserve"> polega na stwierdzeniu zgodności wykonania z dokumentacją projektową oraz wymaganiami wg pkt 5.6 niniejszej </w:t>
      </w:r>
      <w:r w:rsidR="005B48CA">
        <w:rPr>
          <w:rFonts w:asciiTheme="minorHAnsi" w:hAnsiTheme="minorHAnsi"/>
        </w:rPr>
        <w:t>STWiORB</w:t>
      </w:r>
      <w:r w:rsidRPr="00F22BDD">
        <w:rPr>
          <w:rFonts w:asciiTheme="minorHAnsi" w:hAnsiTheme="minorHAnsi"/>
        </w:rPr>
        <w:t>:</w:t>
      </w:r>
    </w:p>
    <w:p w:rsidR="00F22BDD" w:rsidRPr="00F22BDD" w:rsidRDefault="00F22BDD" w:rsidP="00973D29">
      <w:pPr>
        <w:numPr>
          <w:ilvl w:val="0"/>
          <w:numId w:val="38"/>
        </w:numPr>
        <w:rPr>
          <w:rFonts w:asciiTheme="minorHAnsi" w:hAnsiTheme="minorHAnsi"/>
        </w:rPr>
      </w:pPr>
      <w:r w:rsidRPr="00F22BDD">
        <w:rPr>
          <w:rFonts w:asciiTheme="minorHAnsi" w:hAnsiTheme="minorHAnsi"/>
        </w:rPr>
        <w:t>pomierzenie szerokości spoin,</w:t>
      </w:r>
    </w:p>
    <w:p w:rsidR="00F22BDD" w:rsidRPr="00F22BDD" w:rsidRDefault="00F22BDD" w:rsidP="00973D29">
      <w:pPr>
        <w:numPr>
          <w:ilvl w:val="0"/>
          <w:numId w:val="38"/>
        </w:numPr>
        <w:rPr>
          <w:rFonts w:asciiTheme="minorHAnsi" w:hAnsiTheme="minorHAnsi"/>
        </w:rPr>
      </w:pPr>
      <w:r w:rsidRPr="00F22BDD">
        <w:rPr>
          <w:rFonts w:asciiTheme="minorHAnsi" w:hAnsiTheme="minorHAnsi"/>
        </w:rPr>
        <w:t>sprawdzenie prawidłowości ubijania (wibrowania),</w:t>
      </w:r>
    </w:p>
    <w:p w:rsidR="00F22BDD" w:rsidRPr="00F22BDD" w:rsidRDefault="00F22BDD" w:rsidP="00973D29">
      <w:pPr>
        <w:numPr>
          <w:ilvl w:val="0"/>
          <w:numId w:val="38"/>
        </w:numPr>
        <w:rPr>
          <w:rFonts w:asciiTheme="minorHAnsi" w:hAnsiTheme="minorHAnsi"/>
        </w:rPr>
      </w:pPr>
      <w:r w:rsidRPr="00F22BDD">
        <w:rPr>
          <w:rFonts w:asciiTheme="minorHAnsi" w:hAnsiTheme="minorHAnsi"/>
        </w:rPr>
        <w:t>sprawdzenie prawidłowości wypełnienia spoin,</w:t>
      </w:r>
    </w:p>
    <w:p w:rsidR="00F22BDD" w:rsidRPr="00F22BDD" w:rsidRDefault="00F22BDD" w:rsidP="00973D29">
      <w:pPr>
        <w:numPr>
          <w:ilvl w:val="0"/>
          <w:numId w:val="38"/>
        </w:numPr>
        <w:rPr>
          <w:rFonts w:asciiTheme="minorHAnsi" w:hAnsiTheme="minorHAnsi"/>
        </w:rPr>
      </w:pPr>
      <w:r w:rsidRPr="00F22BDD">
        <w:rPr>
          <w:rFonts w:asciiTheme="minorHAnsi" w:hAnsiTheme="minorHAnsi"/>
        </w:rPr>
        <w:t>sprawdzenie, czy przyjęty deseń (wzór) i kolor nawierzchni jest zachowany.</w:t>
      </w:r>
    </w:p>
    <w:p w:rsidR="00F22BDD" w:rsidRPr="00F22BDD" w:rsidRDefault="00F22BDD" w:rsidP="00F22BDD">
      <w:pPr>
        <w:pStyle w:val="Nagwek4"/>
        <w:rPr>
          <w:rFonts w:asciiTheme="minorHAnsi" w:hAnsiTheme="minorHAnsi"/>
        </w:rPr>
      </w:pPr>
      <w:r w:rsidRPr="00F22BDD">
        <w:rPr>
          <w:rFonts w:asciiTheme="minorHAnsi" w:hAnsiTheme="minorHAnsi"/>
        </w:rPr>
        <w:t>6.4. Sprawdzenie cech geometrycznych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6.4.1. </w:t>
      </w:r>
      <w:r w:rsidRPr="00F22BDD">
        <w:rPr>
          <w:rFonts w:asciiTheme="minorHAnsi" w:hAnsiTheme="minorHAnsi"/>
        </w:rPr>
        <w:t>Nierówności podłużne</w:t>
      </w:r>
    </w:p>
    <w:p w:rsidR="00F22BDD" w:rsidRPr="00F22BDD" w:rsidRDefault="00F22BDD" w:rsidP="00F22BDD">
      <w:pPr>
        <w:numPr>
          <w:ilvl w:val="12"/>
          <w:numId w:val="0"/>
        </w:numPr>
        <w:rPr>
          <w:rFonts w:asciiTheme="minorHAnsi" w:hAnsiTheme="minorHAnsi"/>
        </w:rPr>
      </w:pPr>
      <w:r w:rsidRPr="00F22BDD">
        <w:rPr>
          <w:rFonts w:asciiTheme="minorHAnsi" w:hAnsiTheme="minorHAnsi"/>
        </w:rPr>
        <w:t>Nierówności podłużne nawierzchni mierzone łatą zgodnie z normą BN-68/8931-04 nie powinny przekraczać 0,8 cm.</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6.4.2. </w:t>
      </w:r>
      <w:r w:rsidRPr="00F22BDD">
        <w:rPr>
          <w:rFonts w:asciiTheme="minorHAnsi" w:hAnsiTheme="minorHAnsi"/>
        </w:rPr>
        <w:t>Spadki poprzeczne</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Spadki poprzeczne nawierzchni powinny być zgodne z dokumentacją projektową z tolerancją </w:t>
      </w:r>
      <w:r w:rsidRPr="00F22BDD">
        <w:rPr>
          <w:rFonts w:asciiTheme="minorHAnsi" w:hAnsiTheme="minorHAnsi"/>
        </w:rPr>
        <w:sym w:font="Symbol" w:char="F0B1"/>
      </w:r>
      <w:r w:rsidRPr="00F22BDD">
        <w:rPr>
          <w:rFonts w:asciiTheme="minorHAnsi" w:hAnsiTheme="minorHAnsi"/>
        </w:rPr>
        <w:t xml:space="preserve"> 0,5%.</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6.4.3. </w:t>
      </w:r>
      <w:r w:rsidRPr="00F22BDD">
        <w:rPr>
          <w:rFonts w:asciiTheme="minorHAnsi" w:hAnsiTheme="minorHAnsi"/>
        </w:rPr>
        <w:t>Niweleta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Różnice pomiędzy rzędnymi wykonanej nawierzchni i rzędnymi projektowanymi nie powinny przekraczać </w:t>
      </w:r>
      <w:r w:rsidRPr="00F22BDD">
        <w:rPr>
          <w:rFonts w:asciiTheme="minorHAnsi" w:hAnsiTheme="minorHAnsi"/>
        </w:rPr>
        <w:sym w:font="Symbol" w:char="F0B1"/>
      </w:r>
      <w:r w:rsidRPr="00F22BDD">
        <w:rPr>
          <w:rFonts w:asciiTheme="minorHAnsi" w:hAnsiTheme="minorHAnsi"/>
        </w:rPr>
        <w:t xml:space="preserve"> 1 cm.</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6.4.4. </w:t>
      </w:r>
      <w:r w:rsidRPr="00F22BDD">
        <w:rPr>
          <w:rFonts w:asciiTheme="minorHAnsi" w:hAnsiTheme="minorHAnsi"/>
        </w:rPr>
        <w:t>Szerokość nawierzchni</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Szerokość nawierzchni nie może różnić się od szerokości projektowanej o więcej niż </w:t>
      </w:r>
      <w:r w:rsidRPr="00F22BDD">
        <w:rPr>
          <w:rFonts w:asciiTheme="minorHAnsi" w:hAnsiTheme="minorHAnsi"/>
        </w:rPr>
        <w:sym w:font="Symbol" w:char="F0B1"/>
      </w:r>
      <w:r w:rsidRPr="00F22BDD">
        <w:rPr>
          <w:rFonts w:asciiTheme="minorHAnsi" w:hAnsiTheme="minorHAnsi"/>
        </w:rPr>
        <w:t xml:space="preserve"> 5 cm.</w:t>
      </w:r>
    </w:p>
    <w:p w:rsidR="00F22BDD" w:rsidRPr="00F22BDD" w:rsidRDefault="00F22BDD" w:rsidP="00F22BDD">
      <w:pPr>
        <w:numPr>
          <w:ilvl w:val="12"/>
          <w:numId w:val="0"/>
        </w:numPr>
        <w:rPr>
          <w:rFonts w:asciiTheme="minorHAnsi" w:hAnsiTheme="minorHAnsi"/>
        </w:rPr>
      </w:pPr>
      <w:r w:rsidRPr="00F22BDD">
        <w:rPr>
          <w:rFonts w:asciiTheme="minorHAnsi" w:hAnsiTheme="minorHAnsi"/>
          <w:b/>
        </w:rPr>
        <w:t xml:space="preserve">6.4.5. </w:t>
      </w:r>
      <w:r w:rsidRPr="00F22BDD">
        <w:rPr>
          <w:rFonts w:asciiTheme="minorHAnsi" w:hAnsiTheme="minorHAnsi"/>
        </w:rPr>
        <w:t>Grubość podsypki</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Dopuszczalne odchyłki od projektowanej grubości podsypki nie powinny przekraczać </w:t>
      </w:r>
      <w:r w:rsidRPr="00F22BDD">
        <w:rPr>
          <w:rFonts w:asciiTheme="minorHAnsi" w:hAnsiTheme="minorHAnsi"/>
        </w:rPr>
        <w:sym w:font="Symbol" w:char="F0B1"/>
      </w:r>
      <w:r w:rsidRPr="00F22BDD">
        <w:rPr>
          <w:rFonts w:asciiTheme="minorHAnsi" w:hAnsiTheme="minorHAnsi"/>
        </w:rPr>
        <w:t xml:space="preserve"> 1,0 cm.</w:t>
      </w:r>
    </w:p>
    <w:p w:rsidR="00F22BDD" w:rsidRPr="00F22BDD" w:rsidRDefault="00F22BDD" w:rsidP="00F22BDD">
      <w:pPr>
        <w:pStyle w:val="Nagwek4"/>
        <w:rPr>
          <w:rFonts w:asciiTheme="minorHAnsi" w:hAnsiTheme="minorHAnsi"/>
        </w:rPr>
      </w:pPr>
      <w:r w:rsidRPr="00F22BDD">
        <w:rPr>
          <w:rFonts w:asciiTheme="minorHAnsi" w:hAnsiTheme="minorHAnsi"/>
        </w:rPr>
        <w:t>6.5. Częstotliwość pomiarów</w:t>
      </w:r>
    </w:p>
    <w:p w:rsidR="00F22BDD" w:rsidRPr="00F22BDD" w:rsidRDefault="00F22BDD" w:rsidP="00F22BDD">
      <w:pPr>
        <w:numPr>
          <w:ilvl w:val="12"/>
          <w:numId w:val="0"/>
        </w:numPr>
        <w:rPr>
          <w:rFonts w:asciiTheme="minorHAnsi" w:hAnsiTheme="minorHAnsi"/>
        </w:rPr>
      </w:pPr>
      <w:r w:rsidRPr="00F22BDD">
        <w:rPr>
          <w:rFonts w:asciiTheme="minorHAnsi" w:hAnsiTheme="minorHAnsi"/>
        </w:rPr>
        <w:t>Częstotliwość pomiarów dla cech geometrycznych nawierzchni z kostki brukowej, wymienionych w pkt 6.4 powinna być dostosowana do powierzchni wykonanych robót.</w:t>
      </w:r>
    </w:p>
    <w:p w:rsidR="00F22BDD" w:rsidRPr="00F22BDD" w:rsidRDefault="00F22BDD" w:rsidP="00F22BDD">
      <w:pPr>
        <w:numPr>
          <w:ilvl w:val="12"/>
          <w:numId w:val="0"/>
        </w:numPr>
        <w:rPr>
          <w:rFonts w:asciiTheme="minorHAnsi" w:hAnsiTheme="minorHAnsi"/>
        </w:rPr>
      </w:pPr>
      <w:r w:rsidRPr="00F22BDD">
        <w:rPr>
          <w:rFonts w:asciiTheme="minorHAnsi" w:hAnsiTheme="minorHAnsi"/>
        </w:rPr>
        <w:t>Zaleca się, aby pomiary cech geometrycznych wymienionych w pkt 6.4 były przeprowadzone nie rzadziej niż 2 razy na 100 m</w:t>
      </w:r>
      <w:r w:rsidRPr="00F22BDD">
        <w:rPr>
          <w:rFonts w:asciiTheme="minorHAnsi" w:hAnsiTheme="minorHAnsi"/>
          <w:vertAlign w:val="superscript"/>
        </w:rPr>
        <w:t>2</w:t>
      </w:r>
      <w:r w:rsidRPr="00F22BDD">
        <w:rPr>
          <w:rFonts w:asciiTheme="minorHAnsi" w:hAnsiTheme="minorHAnsi"/>
        </w:rPr>
        <w:t xml:space="preserve"> nawierzchni i w punktach charakterystycznych dla niwelety lub przekroju poprzecznego oraz wszędzie tam, gdzie poleci Inżynier.</w:t>
      </w:r>
    </w:p>
    <w:p w:rsidR="00F22BDD" w:rsidRPr="00F22BDD" w:rsidRDefault="00F22BDD" w:rsidP="00F22BDD">
      <w:pPr>
        <w:pStyle w:val="Nagwek3"/>
        <w:rPr>
          <w:rFonts w:asciiTheme="minorHAnsi" w:hAnsiTheme="minorHAnsi"/>
        </w:rPr>
      </w:pPr>
      <w:bookmarkStart w:id="1266" w:name="_Toc107903221"/>
      <w:r w:rsidRPr="00F22BDD">
        <w:rPr>
          <w:rFonts w:asciiTheme="minorHAnsi" w:hAnsiTheme="minorHAnsi"/>
        </w:rPr>
        <w:lastRenderedPageBreak/>
        <w:t>7. OBMIAR ROBÓT</w:t>
      </w:r>
      <w:bookmarkEnd w:id="1266"/>
    </w:p>
    <w:p w:rsidR="00EF1952" w:rsidRPr="00203191" w:rsidRDefault="00EF1952" w:rsidP="00EF1952">
      <w:pPr>
        <w:pStyle w:val="Nagwek4"/>
        <w:rPr>
          <w:rFonts w:asciiTheme="minorHAnsi" w:hAnsiTheme="minorHAnsi"/>
        </w:rPr>
      </w:pPr>
      <w:r w:rsidRPr="00203191">
        <w:rPr>
          <w:rFonts w:asciiTheme="minorHAnsi" w:hAnsiTheme="minorHAnsi"/>
        </w:rPr>
        <w:t>7.1. Ogólne zasady obmiaru robót</w:t>
      </w:r>
    </w:p>
    <w:p w:rsidR="00EF1952" w:rsidRPr="00203191" w:rsidRDefault="00EF1952" w:rsidP="00EF1952">
      <w:pPr>
        <w:rPr>
          <w:rFonts w:asciiTheme="minorHAnsi" w:hAnsiTheme="minorHAnsi"/>
        </w:rPr>
      </w:pPr>
      <w:r w:rsidRPr="00203191">
        <w:rPr>
          <w:rFonts w:asciiTheme="minorHAnsi" w:hAnsiTheme="minorHAnsi"/>
        </w:rPr>
        <w:t>Ogólne zasady obmiaru robót podano w SSTWiORB D-M-00.00.00 „Wymagania ogólne” pkt 7.</w:t>
      </w:r>
    </w:p>
    <w:p w:rsidR="00EF1952" w:rsidRPr="00203191" w:rsidRDefault="00EF1952" w:rsidP="00EF1952">
      <w:pPr>
        <w:pStyle w:val="Nagwek4"/>
        <w:rPr>
          <w:rFonts w:asciiTheme="minorHAnsi" w:hAnsiTheme="minorHAnsi"/>
        </w:rPr>
      </w:pPr>
      <w:r w:rsidRPr="00203191">
        <w:rPr>
          <w:rFonts w:asciiTheme="minorHAnsi" w:hAnsiTheme="minorHAnsi"/>
        </w:rPr>
        <w:t>7.2. Jednostka obmiarowa</w:t>
      </w:r>
    </w:p>
    <w:p w:rsidR="00EF1952" w:rsidRPr="00203191" w:rsidRDefault="00EF1952" w:rsidP="00EF1952">
      <w:pPr>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2</w:t>
      </w:r>
      <w:r w:rsidRPr="00203191">
        <w:rPr>
          <w:rFonts w:asciiTheme="minorHAnsi" w:hAnsiTheme="minorHAnsi"/>
        </w:rPr>
        <w:t xml:space="preserve"> (metr kwadratowy) wykonanej nawierzchni z betonowej kostki brukowej.</w:t>
      </w:r>
    </w:p>
    <w:p w:rsidR="00F22BDD" w:rsidRPr="00F22BDD" w:rsidRDefault="00F22BDD" w:rsidP="00F22BDD">
      <w:pPr>
        <w:pStyle w:val="Nagwek3"/>
        <w:rPr>
          <w:rFonts w:asciiTheme="minorHAnsi" w:hAnsiTheme="minorHAnsi"/>
        </w:rPr>
      </w:pPr>
      <w:bookmarkStart w:id="1267" w:name="_Toc107903222"/>
      <w:r w:rsidRPr="00F22BDD">
        <w:rPr>
          <w:rFonts w:asciiTheme="minorHAnsi" w:hAnsiTheme="minorHAnsi"/>
        </w:rPr>
        <w:t>8. ODBIÓR ROBÓT</w:t>
      </w:r>
      <w:bookmarkEnd w:id="1267"/>
    </w:p>
    <w:p w:rsidR="00F22BDD" w:rsidRPr="00F22BDD" w:rsidRDefault="00F22BDD" w:rsidP="00F22BDD">
      <w:pPr>
        <w:pStyle w:val="Nagwek4"/>
        <w:rPr>
          <w:rFonts w:asciiTheme="minorHAnsi" w:hAnsiTheme="minorHAnsi"/>
        </w:rPr>
      </w:pPr>
      <w:r w:rsidRPr="00F22BDD">
        <w:rPr>
          <w:rFonts w:asciiTheme="minorHAnsi" w:hAnsiTheme="minorHAnsi"/>
        </w:rPr>
        <w:t>8.1. Ogólne zasady odbioru robót</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Ogólne zasady odbioru robót podano w </w:t>
      </w:r>
      <w:r w:rsidR="005B48CA">
        <w:rPr>
          <w:rFonts w:asciiTheme="minorHAnsi" w:hAnsiTheme="minorHAnsi"/>
        </w:rPr>
        <w:t>STWiORB</w:t>
      </w:r>
      <w:r w:rsidRPr="00F22BDD">
        <w:rPr>
          <w:rFonts w:asciiTheme="minorHAnsi" w:hAnsiTheme="minorHAnsi"/>
        </w:rPr>
        <w:t xml:space="preserve"> D-M-00.00.00 „Wymagania ogólne” pkt 8.</w:t>
      </w:r>
    </w:p>
    <w:p w:rsidR="00F22BDD" w:rsidRPr="00F22BDD" w:rsidRDefault="00F22BDD" w:rsidP="00F22BDD">
      <w:pPr>
        <w:numPr>
          <w:ilvl w:val="12"/>
          <w:numId w:val="0"/>
        </w:numPr>
        <w:rPr>
          <w:rFonts w:asciiTheme="minorHAnsi" w:hAnsiTheme="minorHAnsi"/>
        </w:rPr>
      </w:pPr>
      <w:r w:rsidRPr="00F22BDD">
        <w:rPr>
          <w:rFonts w:asciiTheme="minorHAnsi" w:hAnsiTheme="minorHAnsi"/>
        </w:rPr>
        <w:t xml:space="preserve">Roboty uznaje się za wykonane zgodnie z dokumentacją projektową, </w:t>
      </w:r>
      <w:r w:rsidR="005B48CA">
        <w:rPr>
          <w:rFonts w:asciiTheme="minorHAnsi" w:hAnsiTheme="minorHAnsi"/>
        </w:rPr>
        <w:t>STWiORB</w:t>
      </w:r>
      <w:r w:rsidRPr="00F22BDD">
        <w:rPr>
          <w:rFonts w:asciiTheme="minorHAnsi" w:hAnsiTheme="minorHAnsi"/>
        </w:rPr>
        <w:t xml:space="preserve"> i wymaganiami Inżyniera, jeżeli wszystkie pomiary i badania z zachowaniem tolerancji według pkt 6 dały wyniki pozytywne.</w:t>
      </w:r>
    </w:p>
    <w:p w:rsidR="00F22BDD" w:rsidRPr="00F22BDD" w:rsidRDefault="00F22BDD" w:rsidP="00F22BDD">
      <w:pPr>
        <w:pStyle w:val="Nagwek4"/>
        <w:rPr>
          <w:rFonts w:asciiTheme="minorHAnsi" w:hAnsiTheme="minorHAnsi"/>
        </w:rPr>
      </w:pPr>
      <w:r w:rsidRPr="00F22BDD">
        <w:rPr>
          <w:rFonts w:asciiTheme="minorHAnsi" w:hAnsiTheme="minorHAnsi"/>
        </w:rPr>
        <w:t>8.2. Odbiór robót zanikających i ulegających  zakryciu</w:t>
      </w:r>
    </w:p>
    <w:p w:rsidR="00F22BDD" w:rsidRPr="00F22BDD" w:rsidRDefault="00F22BDD" w:rsidP="00F22BDD">
      <w:pPr>
        <w:numPr>
          <w:ilvl w:val="12"/>
          <w:numId w:val="0"/>
        </w:numPr>
        <w:rPr>
          <w:rFonts w:asciiTheme="minorHAnsi" w:hAnsiTheme="minorHAnsi"/>
        </w:rPr>
      </w:pPr>
      <w:r w:rsidRPr="00F22BDD">
        <w:rPr>
          <w:rFonts w:asciiTheme="minorHAnsi" w:hAnsiTheme="minorHAnsi"/>
        </w:rPr>
        <w:t>Odbiorowi robót zanikających i ulegających zakryciu podlegają:</w:t>
      </w:r>
    </w:p>
    <w:p w:rsidR="00F22BDD" w:rsidRPr="00F22BDD" w:rsidRDefault="00F22BDD" w:rsidP="00973D29">
      <w:pPr>
        <w:numPr>
          <w:ilvl w:val="0"/>
          <w:numId w:val="38"/>
        </w:numPr>
        <w:rPr>
          <w:rFonts w:asciiTheme="minorHAnsi" w:hAnsiTheme="minorHAnsi"/>
        </w:rPr>
      </w:pPr>
      <w:r w:rsidRPr="00F22BDD">
        <w:rPr>
          <w:rFonts w:asciiTheme="minorHAnsi" w:hAnsiTheme="minorHAnsi"/>
        </w:rPr>
        <w:t>przygotowanie podłoża,</w:t>
      </w:r>
    </w:p>
    <w:p w:rsidR="00F22BDD" w:rsidRPr="00F22BDD" w:rsidRDefault="0069119B" w:rsidP="00973D29">
      <w:pPr>
        <w:numPr>
          <w:ilvl w:val="0"/>
          <w:numId w:val="38"/>
        </w:numPr>
        <w:rPr>
          <w:rFonts w:asciiTheme="minorHAnsi" w:hAnsiTheme="minorHAnsi"/>
        </w:rPr>
      </w:pPr>
      <w:r>
        <w:rPr>
          <w:rFonts w:asciiTheme="minorHAnsi" w:hAnsiTheme="minorHAnsi"/>
        </w:rPr>
        <w:t>w</w:t>
      </w:r>
      <w:r w:rsidR="00F22BDD" w:rsidRPr="00F22BDD">
        <w:rPr>
          <w:rFonts w:asciiTheme="minorHAnsi" w:hAnsiTheme="minorHAnsi"/>
        </w:rPr>
        <w:t>ykonanie podbudowy,</w:t>
      </w:r>
    </w:p>
    <w:p w:rsidR="00F22BDD" w:rsidRPr="00F22BDD" w:rsidRDefault="00F22BDD" w:rsidP="00973D29">
      <w:pPr>
        <w:numPr>
          <w:ilvl w:val="0"/>
          <w:numId w:val="38"/>
        </w:numPr>
        <w:rPr>
          <w:rFonts w:asciiTheme="minorHAnsi" w:hAnsiTheme="minorHAnsi"/>
        </w:rPr>
      </w:pPr>
      <w:r w:rsidRPr="00F22BDD">
        <w:rPr>
          <w:rFonts w:asciiTheme="minorHAnsi" w:hAnsiTheme="minorHAnsi"/>
        </w:rPr>
        <w:t>wykonanie podsypki,</w:t>
      </w:r>
    </w:p>
    <w:p w:rsidR="00F22BDD" w:rsidRPr="00F22BDD" w:rsidRDefault="00F22BDD" w:rsidP="00973D29">
      <w:pPr>
        <w:numPr>
          <w:ilvl w:val="0"/>
          <w:numId w:val="38"/>
        </w:numPr>
        <w:rPr>
          <w:rFonts w:asciiTheme="minorHAnsi" w:hAnsiTheme="minorHAnsi"/>
        </w:rPr>
      </w:pPr>
      <w:r w:rsidRPr="00F22BDD">
        <w:rPr>
          <w:rFonts w:asciiTheme="minorHAnsi" w:hAnsiTheme="minorHAnsi"/>
        </w:rPr>
        <w:t>ewentualnie wykonanie ławy pod krawężniki.</w:t>
      </w:r>
    </w:p>
    <w:p w:rsidR="00F22BDD" w:rsidRPr="00F22BDD" w:rsidRDefault="00F22BDD" w:rsidP="00F22BDD">
      <w:pPr>
        <w:numPr>
          <w:ilvl w:val="12"/>
          <w:numId w:val="0"/>
        </w:numPr>
        <w:rPr>
          <w:rFonts w:asciiTheme="minorHAnsi" w:hAnsiTheme="minorHAnsi"/>
        </w:rPr>
      </w:pPr>
      <w:r w:rsidRPr="00F22BDD">
        <w:rPr>
          <w:rFonts w:asciiTheme="minorHAnsi" w:hAnsiTheme="minorHAnsi"/>
        </w:rPr>
        <w:t>Zasady ich odbioru są określone w D-M-00.00.00 „Wymagania ogólne”.</w:t>
      </w:r>
    </w:p>
    <w:p w:rsidR="00F22BDD" w:rsidRPr="00F22BDD" w:rsidRDefault="00F22BDD" w:rsidP="00F22BDD">
      <w:pPr>
        <w:pStyle w:val="Nagwek3"/>
        <w:rPr>
          <w:rFonts w:asciiTheme="minorHAnsi" w:hAnsiTheme="minorHAnsi"/>
        </w:rPr>
      </w:pPr>
      <w:bookmarkStart w:id="1268" w:name="_Toc107903223"/>
      <w:r w:rsidRPr="00F22BDD">
        <w:rPr>
          <w:rFonts w:asciiTheme="minorHAnsi" w:hAnsiTheme="minorHAnsi"/>
        </w:rPr>
        <w:t>9. PODSTAWA PŁATNOŚCI</w:t>
      </w:r>
      <w:bookmarkEnd w:id="1268"/>
    </w:p>
    <w:p w:rsidR="00EF1952" w:rsidRPr="00203191" w:rsidRDefault="00EF1952" w:rsidP="00EF1952">
      <w:pPr>
        <w:pStyle w:val="Nagwek4"/>
        <w:rPr>
          <w:rFonts w:asciiTheme="minorHAnsi" w:hAnsiTheme="minorHAnsi"/>
        </w:rPr>
      </w:pPr>
      <w:r w:rsidRPr="00203191">
        <w:rPr>
          <w:rFonts w:asciiTheme="minorHAnsi" w:hAnsiTheme="minorHAnsi"/>
        </w:rPr>
        <w:t>9.1. Ogólne ustalenia dotyczące podstawy płatności</w:t>
      </w:r>
    </w:p>
    <w:p w:rsidR="00EF1952" w:rsidRPr="00203191" w:rsidRDefault="00EF1952" w:rsidP="00EF1952">
      <w:pPr>
        <w:rPr>
          <w:rFonts w:asciiTheme="minorHAnsi" w:hAnsiTheme="minorHAnsi"/>
        </w:rPr>
      </w:pPr>
      <w:r w:rsidRPr="00203191">
        <w:rPr>
          <w:rFonts w:asciiTheme="minorHAnsi" w:hAnsiTheme="minorHAnsi"/>
        </w:rPr>
        <w:t>Ogólne ustalenia dotyczą</w:t>
      </w:r>
      <w:r>
        <w:rPr>
          <w:rFonts w:asciiTheme="minorHAnsi" w:hAnsiTheme="minorHAnsi"/>
        </w:rPr>
        <w:t xml:space="preserve">ce podstawy płatności podano w </w:t>
      </w:r>
      <w:r w:rsidRPr="00203191">
        <w:rPr>
          <w:rFonts w:asciiTheme="minorHAnsi" w:hAnsiTheme="minorHAnsi"/>
        </w:rPr>
        <w:t>STWiORB D-M-00.00.00 „Wymagania ogólne” pkt 9.</w:t>
      </w:r>
    </w:p>
    <w:p w:rsidR="00EF1952" w:rsidRPr="00203191" w:rsidRDefault="00EF1952" w:rsidP="00EF1952">
      <w:pPr>
        <w:pStyle w:val="Nagwek3"/>
        <w:numPr>
          <w:ilvl w:val="2"/>
          <w:numId w:val="0"/>
        </w:numPr>
        <w:tabs>
          <w:tab w:val="num" w:pos="0"/>
        </w:tabs>
        <w:suppressAutoHyphens/>
        <w:autoSpaceDN/>
        <w:adjustRightInd/>
        <w:spacing w:before="0" w:after="0"/>
        <w:rPr>
          <w:rFonts w:asciiTheme="minorHAnsi" w:hAnsiTheme="minorHAnsi"/>
        </w:rPr>
      </w:pPr>
    </w:p>
    <w:p w:rsidR="00EF1952" w:rsidRPr="00203191" w:rsidRDefault="00EF1952" w:rsidP="00EF1952">
      <w:pPr>
        <w:pStyle w:val="Nagwek4"/>
        <w:rPr>
          <w:rFonts w:asciiTheme="minorHAnsi" w:hAnsiTheme="minorHAnsi"/>
        </w:rPr>
      </w:pPr>
      <w:r w:rsidRPr="00203191">
        <w:rPr>
          <w:rFonts w:asciiTheme="minorHAnsi" w:hAnsiTheme="minorHAnsi"/>
        </w:rPr>
        <w:t>9.2. Cena jednostki obmiarowej</w:t>
      </w:r>
    </w:p>
    <w:p w:rsidR="00EF1952" w:rsidRPr="00203191" w:rsidRDefault="00EF1952" w:rsidP="00EF1952">
      <w:pPr>
        <w:rPr>
          <w:rFonts w:asciiTheme="minorHAnsi" w:hAnsiTheme="minorHAnsi"/>
        </w:rPr>
      </w:pPr>
      <w:r w:rsidRPr="00203191">
        <w:rPr>
          <w:rFonts w:asciiTheme="minorHAnsi" w:hAnsiTheme="minorHAnsi"/>
        </w:rPr>
        <w:t>Cena wykonania 1 m</w:t>
      </w:r>
      <w:r w:rsidRPr="00203191">
        <w:rPr>
          <w:rFonts w:asciiTheme="minorHAnsi" w:hAnsiTheme="minorHAnsi"/>
          <w:vertAlign w:val="superscript"/>
        </w:rPr>
        <w:t>2</w:t>
      </w:r>
      <w:r w:rsidRPr="00203191">
        <w:rPr>
          <w:rFonts w:asciiTheme="minorHAnsi" w:hAnsiTheme="minorHAnsi"/>
        </w:rPr>
        <w:t xml:space="preserve"> nawierzchni z kostki brukowej betonowej obejmuje:</w:t>
      </w:r>
    </w:p>
    <w:p w:rsidR="00EF1952" w:rsidRPr="00203191"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prace pomiarowe i roboty przygotowawcze,</w:t>
      </w:r>
    </w:p>
    <w:p w:rsidR="00EF1952" w:rsidRPr="00203191"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oznakowanie robót,</w:t>
      </w:r>
    </w:p>
    <w:p w:rsidR="00EF1952" w:rsidRPr="00203191"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przygotowanie podłoża (ewentualnie podbudowy),</w:t>
      </w:r>
    </w:p>
    <w:p w:rsidR="00EF1952" w:rsidRPr="00203191"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dostarczenie materiałów,</w:t>
      </w:r>
    </w:p>
    <w:p w:rsidR="00EF1952" w:rsidRPr="00203191"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wykonanie podsypki,</w:t>
      </w:r>
    </w:p>
    <w:p w:rsidR="00EF1952" w:rsidRPr="00203191"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ułożenie i ubicie kostki,</w:t>
      </w:r>
    </w:p>
    <w:p w:rsidR="00C32050" w:rsidRDefault="00EF1952" w:rsidP="00EF1952">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wypełnienie spoin,</w:t>
      </w:r>
    </w:p>
    <w:p w:rsidR="00F22BDD" w:rsidRPr="00C32050" w:rsidRDefault="00EF1952" w:rsidP="00EF1952">
      <w:pPr>
        <w:numPr>
          <w:ilvl w:val="0"/>
          <w:numId w:val="19"/>
        </w:numPr>
        <w:tabs>
          <w:tab w:val="left" w:pos="283"/>
        </w:tabs>
        <w:suppressAutoHyphens/>
        <w:autoSpaceDN/>
        <w:adjustRightInd/>
        <w:rPr>
          <w:rFonts w:asciiTheme="minorHAnsi" w:hAnsiTheme="minorHAnsi"/>
        </w:rPr>
      </w:pPr>
      <w:r w:rsidRPr="00C32050">
        <w:rPr>
          <w:rFonts w:asciiTheme="minorHAnsi" w:hAnsiTheme="minorHAnsi"/>
        </w:rPr>
        <w:t>przeprowadzenie badań i pomiarów wymaganych w specyfikacji technicznej</w:t>
      </w:r>
    </w:p>
    <w:p w:rsidR="00F22BDD" w:rsidRPr="00F22BDD" w:rsidRDefault="00F22BDD" w:rsidP="00F22BDD">
      <w:pPr>
        <w:pStyle w:val="Nagwek3"/>
        <w:rPr>
          <w:rFonts w:asciiTheme="minorHAnsi" w:hAnsiTheme="minorHAnsi"/>
        </w:rPr>
      </w:pPr>
      <w:bookmarkStart w:id="1269" w:name="_Toc107903224"/>
      <w:r w:rsidRPr="00F22BDD">
        <w:rPr>
          <w:rFonts w:asciiTheme="minorHAnsi" w:hAnsiTheme="minorHAnsi"/>
        </w:rPr>
        <w:t>10. PRZEPISY ZWIĄZANE</w:t>
      </w:r>
      <w:bookmarkEnd w:id="1269"/>
    </w:p>
    <w:p w:rsidR="00F22BDD" w:rsidRPr="00F22BDD" w:rsidRDefault="00F22BDD" w:rsidP="00F22BDD">
      <w:pPr>
        <w:rPr>
          <w:rFonts w:asciiTheme="minorHAnsi" w:hAnsiTheme="minorHAnsi"/>
          <w:b/>
        </w:rPr>
      </w:pPr>
      <w:r w:rsidRPr="00F22BDD">
        <w:rPr>
          <w:rFonts w:asciiTheme="minorHAnsi" w:hAnsiTheme="minorHAnsi"/>
          <w:b/>
        </w:rPr>
        <w:t>Normy</w:t>
      </w:r>
    </w:p>
    <w:tbl>
      <w:tblPr>
        <w:tblW w:w="0" w:type="auto"/>
        <w:tblLayout w:type="fixed"/>
        <w:tblCellMar>
          <w:left w:w="70" w:type="dxa"/>
          <w:right w:w="70" w:type="dxa"/>
        </w:tblCellMar>
        <w:tblLook w:val="0000"/>
      </w:tblPr>
      <w:tblGrid>
        <w:gridCol w:w="496"/>
        <w:gridCol w:w="1701"/>
        <w:gridCol w:w="7582"/>
      </w:tblGrid>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1.</w:t>
            </w:r>
          </w:p>
        </w:tc>
        <w:tc>
          <w:tcPr>
            <w:tcW w:w="1701" w:type="dxa"/>
          </w:tcPr>
          <w:p w:rsidR="00F22BDD" w:rsidRPr="00F22BDD" w:rsidRDefault="00F22BDD" w:rsidP="00B61B2B">
            <w:pPr>
              <w:rPr>
                <w:rFonts w:asciiTheme="minorHAnsi" w:hAnsiTheme="minorHAnsi"/>
              </w:rPr>
            </w:pPr>
            <w:r w:rsidRPr="00F22BDD">
              <w:rPr>
                <w:rFonts w:asciiTheme="minorHAnsi" w:hAnsiTheme="minorHAnsi"/>
              </w:rPr>
              <w:t>PN-B-04111:1984</w:t>
            </w:r>
          </w:p>
        </w:tc>
        <w:tc>
          <w:tcPr>
            <w:tcW w:w="7582" w:type="dxa"/>
          </w:tcPr>
          <w:p w:rsidR="00F22BDD" w:rsidRPr="00F22BDD" w:rsidRDefault="00F22BDD" w:rsidP="00B61B2B">
            <w:pPr>
              <w:rPr>
                <w:rFonts w:asciiTheme="minorHAnsi" w:hAnsiTheme="minorHAnsi"/>
              </w:rPr>
            </w:pPr>
            <w:r w:rsidRPr="00F22BDD">
              <w:rPr>
                <w:rFonts w:asciiTheme="minorHAnsi" w:hAnsiTheme="minorHAnsi"/>
              </w:rPr>
              <w:t>Materiały kamienne. Oznaczenie ścieralności na tarczy Boehmego</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2.</w:t>
            </w:r>
          </w:p>
        </w:tc>
        <w:tc>
          <w:tcPr>
            <w:tcW w:w="1701" w:type="dxa"/>
          </w:tcPr>
          <w:p w:rsidR="00F22BDD" w:rsidRPr="00F22BDD" w:rsidRDefault="00F22BDD" w:rsidP="00B61B2B">
            <w:pPr>
              <w:rPr>
                <w:rFonts w:asciiTheme="minorHAnsi" w:hAnsiTheme="minorHAnsi"/>
              </w:rPr>
            </w:pPr>
            <w:r w:rsidRPr="00F22BDD">
              <w:rPr>
                <w:rFonts w:asciiTheme="minorHAnsi" w:hAnsiTheme="minorHAnsi"/>
              </w:rPr>
              <w:t>PN-B-06250:1988</w:t>
            </w:r>
          </w:p>
        </w:tc>
        <w:tc>
          <w:tcPr>
            <w:tcW w:w="7582" w:type="dxa"/>
          </w:tcPr>
          <w:p w:rsidR="00F22BDD" w:rsidRPr="00F22BDD" w:rsidRDefault="00F22BDD" w:rsidP="00B61B2B">
            <w:pPr>
              <w:rPr>
                <w:rFonts w:asciiTheme="minorHAnsi" w:hAnsiTheme="minorHAnsi"/>
              </w:rPr>
            </w:pPr>
            <w:r w:rsidRPr="00F22BDD">
              <w:rPr>
                <w:rFonts w:asciiTheme="minorHAnsi" w:hAnsiTheme="minorHAnsi"/>
              </w:rPr>
              <w:t>Beton zwykły</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3.</w:t>
            </w:r>
          </w:p>
        </w:tc>
        <w:tc>
          <w:tcPr>
            <w:tcW w:w="1701" w:type="dxa"/>
          </w:tcPr>
          <w:p w:rsidR="00F22BDD" w:rsidRPr="00F22BDD" w:rsidRDefault="00F22BDD" w:rsidP="00B61B2B">
            <w:pPr>
              <w:rPr>
                <w:rFonts w:asciiTheme="minorHAnsi" w:hAnsiTheme="minorHAnsi"/>
              </w:rPr>
            </w:pPr>
            <w:r w:rsidRPr="00F22BDD">
              <w:rPr>
                <w:rFonts w:asciiTheme="minorHAnsi" w:hAnsiTheme="minorHAnsi"/>
              </w:rPr>
              <w:t>PN-B-06712:1986</w:t>
            </w:r>
          </w:p>
        </w:tc>
        <w:tc>
          <w:tcPr>
            <w:tcW w:w="7582" w:type="dxa"/>
          </w:tcPr>
          <w:p w:rsidR="00F22BDD" w:rsidRPr="00F22BDD" w:rsidRDefault="00F22BDD" w:rsidP="00B61B2B">
            <w:pPr>
              <w:rPr>
                <w:rFonts w:asciiTheme="minorHAnsi" w:hAnsiTheme="minorHAnsi"/>
              </w:rPr>
            </w:pPr>
            <w:r w:rsidRPr="00F22BDD">
              <w:rPr>
                <w:rFonts w:asciiTheme="minorHAnsi" w:hAnsiTheme="minorHAnsi"/>
              </w:rPr>
              <w:t>Kruszywa mineralne do betonu zwykłego</w:t>
            </w:r>
          </w:p>
        </w:tc>
      </w:tr>
      <w:tr w:rsidR="00F22BDD" w:rsidRPr="00F22BDD" w:rsidTr="00B61B2B">
        <w:tc>
          <w:tcPr>
            <w:tcW w:w="496" w:type="dxa"/>
          </w:tcPr>
          <w:p w:rsidR="00F22BDD" w:rsidRPr="00F22BDD" w:rsidRDefault="00F22BDD" w:rsidP="00B61B2B">
            <w:pPr>
              <w:rPr>
                <w:rFonts w:asciiTheme="minorHAnsi" w:hAnsiTheme="minorHAnsi"/>
                <w:lang w:val="en-US"/>
              </w:rPr>
            </w:pPr>
            <w:r w:rsidRPr="00F22BDD">
              <w:rPr>
                <w:rFonts w:asciiTheme="minorHAnsi" w:hAnsiTheme="minorHAnsi"/>
                <w:lang w:val="en-US"/>
              </w:rPr>
              <w:t>4.</w:t>
            </w:r>
          </w:p>
        </w:tc>
        <w:tc>
          <w:tcPr>
            <w:tcW w:w="1701" w:type="dxa"/>
          </w:tcPr>
          <w:p w:rsidR="00F22BDD" w:rsidRPr="00F22BDD" w:rsidRDefault="00F22BDD" w:rsidP="00B61B2B">
            <w:pPr>
              <w:rPr>
                <w:rFonts w:asciiTheme="minorHAnsi" w:hAnsiTheme="minorHAnsi"/>
                <w:lang w:val="en-US"/>
              </w:rPr>
            </w:pPr>
            <w:r w:rsidRPr="00F22BDD">
              <w:rPr>
                <w:rFonts w:asciiTheme="minorHAnsi" w:hAnsiTheme="minorHAnsi"/>
                <w:lang w:val="en-US"/>
              </w:rPr>
              <w:t>PN-B-197-1:2002</w:t>
            </w:r>
          </w:p>
        </w:tc>
        <w:tc>
          <w:tcPr>
            <w:tcW w:w="7582" w:type="dxa"/>
          </w:tcPr>
          <w:p w:rsidR="00F22BDD" w:rsidRPr="00F22BDD" w:rsidRDefault="00F22BDD" w:rsidP="00B61B2B">
            <w:pPr>
              <w:rPr>
                <w:rFonts w:asciiTheme="minorHAnsi" w:hAnsiTheme="minorHAnsi"/>
              </w:rPr>
            </w:pPr>
            <w:r w:rsidRPr="00F22BDD">
              <w:rPr>
                <w:rFonts w:asciiTheme="minorHAnsi" w:hAnsiTheme="minorHAnsi"/>
              </w:rPr>
              <w:t>Cement. Część I. Skład, wymagania i kryteria zgodności dotyczące cementów powszechnego użytku</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5.</w:t>
            </w:r>
          </w:p>
        </w:tc>
        <w:tc>
          <w:tcPr>
            <w:tcW w:w="1701" w:type="dxa"/>
          </w:tcPr>
          <w:p w:rsidR="00F22BDD" w:rsidRPr="00F22BDD" w:rsidRDefault="00F22BDD" w:rsidP="00B61B2B">
            <w:pPr>
              <w:rPr>
                <w:rFonts w:asciiTheme="minorHAnsi" w:hAnsiTheme="minorHAnsi"/>
              </w:rPr>
            </w:pPr>
            <w:r w:rsidRPr="00F22BDD">
              <w:rPr>
                <w:rFonts w:asciiTheme="minorHAnsi" w:hAnsiTheme="minorHAnsi"/>
              </w:rPr>
              <w:t>PN-B-32250:1988</w:t>
            </w:r>
          </w:p>
        </w:tc>
        <w:tc>
          <w:tcPr>
            <w:tcW w:w="7582" w:type="dxa"/>
          </w:tcPr>
          <w:p w:rsidR="00F22BDD" w:rsidRPr="00F22BDD" w:rsidRDefault="00F22BDD" w:rsidP="00B61B2B">
            <w:pPr>
              <w:rPr>
                <w:rFonts w:asciiTheme="minorHAnsi" w:hAnsiTheme="minorHAnsi"/>
              </w:rPr>
            </w:pPr>
            <w:r w:rsidRPr="00F22BDD">
              <w:rPr>
                <w:rFonts w:asciiTheme="minorHAnsi" w:hAnsiTheme="minorHAnsi"/>
              </w:rPr>
              <w:t>Materiały budowlane. Woda do betonów i zapraw</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6.</w:t>
            </w:r>
          </w:p>
        </w:tc>
        <w:tc>
          <w:tcPr>
            <w:tcW w:w="1701" w:type="dxa"/>
          </w:tcPr>
          <w:p w:rsidR="00F22BDD" w:rsidRPr="00F22BDD" w:rsidRDefault="00F22BDD" w:rsidP="00B61B2B">
            <w:pPr>
              <w:rPr>
                <w:rFonts w:asciiTheme="minorHAnsi" w:hAnsiTheme="minorHAnsi"/>
              </w:rPr>
            </w:pPr>
            <w:r w:rsidRPr="00F22BDD">
              <w:rPr>
                <w:rFonts w:asciiTheme="minorHAnsi" w:hAnsiTheme="minorHAnsi"/>
              </w:rPr>
              <w:t>BN-80/6775-03/04</w:t>
            </w:r>
          </w:p>
        </w:tc>
        <w:tc>
          <w:tcPr>
            <w:tcW w:w="7582" w:type="dxa"/>
          </w:tcPr>
          <w:p w:rsidR="00F22BDD" w:rsidRPr="00F22BDD" w:rsidRDefault="00F22BDD" w:rsidP="00B61B2B">
            <w:pPr>
              <w:rPr>
                <w:rFonts w:asciiTheme="minorHAnsi" w:hAnsiTheme="minorHAnsi"/>
              </w:rPr>
            </w:pPr>
            <w:r w:rsidRPr="00F22BDD">
              <w:rPr>
                <w:rFonts w:asciiTheme="minorHAnsi" w:hAnsiTheme="minorHAnsi"/>
              </w:rPr>
              <w:t>Prefabrykaty budowlane z betonu. Elementy nawierzchni dróg, ulic, parkingów i torowisk tramwajowych. Krawężniki i obrzeża</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7.</w:t>
            </w:r>
          </w:p>
        </w:tc>
        <w:tc>
          <w:tcPr>
            <w:tcW w:w="1701" w:type="dxa"/>
          </w:tcPr>
          <w:p w:rsidR="00F22BDD" w:rsidRPr="00F22BDD" w:rsidRDefault="00F22BDD" w:rsidP="00B61B2B">
            <w:pPr>
              <w:rPr>
                <w:rFonts w:asciiTheme="minorHAnsi" w:hAnsiTheme="minorHAnsi"/>
              </w:rPr>
            </w:pPr>
            <w:r w:rsidRPr="00F22BDD">
              <w:rPr>
                <w:rFonts w:asciiTheme="minorHAnsi" w:hAnsiTheme="minorHAnsi"/>
              </w:rPr>
              <w:t>BN-68/8931-01</w:t>
            </w:r>
          </w:p>
        </w:tc>
        <w:tc>
          <w:tcPr>
            <w:tcW w:w="7582" w:type="dxa"/>
          </w:tcPr>
          <w:p w:rsidR="00F22BDD" w:rsidRPr="00F22BDD" w:rsidRDefault="00F22BDD" w:rsidP="00B61B2B">
            <w:pPr>
              <w:rPr>
                <w:rFonts w:asciiTheme="minorHAnsi" w:hAnsiTheme="minorHAnsi"/>
              </w:rPr>
            </w:pPr>
            <w:r w:rsidRPr="00F22BDD">
              <w:rPr>
                <w:rFonts w:asciiTheme="minorHAnsi" w:hAnsiTheme="minorHAnsi"/>
              </w:rPr>
              <w:t>Drogi samochodowe. Oznaczenie wskaźnika piaskowego</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lastRenderedPageBreak/>
              <w:t>8.</w:t>
            </w:r>
          </w:p>
        </w:tc>
        <w:tc>
          <w:tcPr>
            <w:tcW w:w="1701" w:type="dxa"/>
          </w:tcPr>
          <w:p w:rsidR="00F22BDD" w:rsidRPr="00F22BDD" w:rsidRDefault="00F22BDD" w:rsidP="00B61B2B">
            <w:pPr>
              <w:rPr>
                <w:rFonts w:asciiTheme="minorHAnsi" w:hAnsiTheme="minorHAnsi"/>
              </w:rPr>
            </w:pPr>
            <w:r w:rsidRPr="00F22BDD">
              <w:rPr>
                <w:rFonts w:asciiTheme="minorHAnsi" w:hAnsiTheme="minorHAnsi"/>
              </w:rPr>
              <w:t>BN-68/8931-04</w:t>
            </w:r>
          </w:p>
        </w:tc>
        <w:tc>
          <w:tcPr>
            <w:tcW w:w="7582" w:type="dxa"/>
          </w:tcPr>
          <w:p w:rsidR="00F22BDD" w:rsidRPr="00F22BDD" w:rsidRDefault="00F22BDD" w:rsidP="00B61B2B">
            <w:pPr>
              <w:rPr>
                <w:rFonts w:asciiTheme="minorHAnsi" w:hAnsiTheme="minorHAnsi"/>
              </w:rPr>
            </w:pPr>
            <w:r w:rsidRPr="00F22BDD">
              <w:rPr>
                <w:rFonts w:asciiTheme="minorHAnsi" w:hAnsiTheme="minorHAnsi"/>
              </w:rPr>
              <w:t>Drogi samochodowe. Pomiar równości nawierzchni planografem i łatą.</w:t>
            </w:r>
          </w:p>
        </w:tc>
      </w:tr>
      <w:tr w:rsidR="00F22BDD" w:rsidRPr="00F22BDD" w:rsidTr="00B61B2B">
        <w:tc>
          <w:tcPr>
            <w:tcW w:w="496" w:type="dxa"/>
          </w:tcPr>
          <w:p w:rsidR="00F22BDD" w:rsidRPr="00F22BDD" w:rsidRDefault="00F22BDD" w:rsidP="00B61B2B">
            <w:pPr>
              <w:rPr>
                <w:rFonts w:asciiTheme="minorHAnsi" w:hAnsiTheme="minorHAnsi"/>
              </w:rPr>
            </w:pPr>
            <w:r w:rsidRPr="00F22BDD">
              <w:rPr>
                <w:rFonts w:asciiTheme="minorHAnsi" w:hAnsiTheme="minorHAnsi"/>
              </w:rPr>
              <w:t>9.</w:t>
            </w:r>
          </w:p>
        </w:tc>
        <w:tc>
          <w:tcPr>
            <w:tcW w:w="1701" w:type="dxa"/>
          </w:tcPr>
          <w:p w:rsidR="00F22BDD" w:rsidRPr="00F22BDD" w:rsidRDefault="00F22BDD" w:rsidP="00B61B2B">
            <w:pPr>
              <w:rPr>
                <w:rFonts w:asciiTheme="minorHAnsi" w:hAnsiTheme="minorHAnsi"/>
              </w:rPr>
            </w:pPr>
            <w:r w:rsidRPr="00F22BDD">
              <w:rPr>
                <w:rFonts w:asciiTheme="minorHAnsi" w:hAnsiTheme="minorHAnsi"/>
              </w:rPr>
              <w:t xml:space="preserve">PN-EN 1338:2005  </w:t>
            </w:r>
          </w:p>
        </w:tc>
        <w:tc>
          <w:tcPr>
            <w:tcW w:w="7582" w:type="dxa"/>
          </w:tcPr>
          <w:p w:rsidR="00F22BDD" w:rsidRPr="00F22BDD" w:rsidRDefault="00F22BDD" w:rsidP="00B61B2B">
            <w:pPr>
              <w:rPr>
                <w:rFonts w:asciiTheme="minorHAnsi" w:hAnsiTheme="minorHAnsi"/>
              </w:rPr>
            </w:pPr>
            <w:r w:rsidRPr="00F22BDD">
              <w:rPr>
                <w:rFonts w:asciiTheme="minorHAnsi" w:hAnsiTheme="minorHAnsi"/>
              </w:rPr>
              <w:t>Betonowa kostka brukowa</w:t>
            </w:r>
          </w:p>
        </w:tc>
      </w:tr>
    </w:tbl>
    <w:p w:rsidR="00F22BDD" w:rsidRPr="00F22BDD" w:rsidRDefault="00F22BDD" w:rsidP="00F22BDD">
      <w:pPr>
        <w:rPr>
          <w:rFonts w:asciiTheme="minorHAnsi" w:hAnsiTheme="minorHAnsi"/>
        </w:rPr>
      </w:pPr>
    </w:p>
    <w:p w:rsidR="005E6FEF" w:rsidRDefault="005E6FEF">
      <w:pPr>
        <w:overflowPunct/>
        <w:autoSpaceDE/>
        <w:autoSpaceDN/>
        <w:adjustRightInd/>
        <w:jc w:val="left"/>
        <w:textAlignment w:val="auto"/>
        <w:rPr>
          <w:rFonts w:asciiTheme="minorHAnsi" w:hAnsiTheme="minorHAnsi"/>
        </w:rPr>
      </w:pPr>
    </w:p>
    <w:p w:rsidR="005E6FEF" w:rsidRDefault="005E6FEF">
      <w:pPr>
        <w:overflowPunct/>
        <w:autoSpaceDE/>
        <w:autoSpaceDN/>
        <w:adjustRightInd/>
        <w:jc w:val="left"/>
        <w:textAlignment w:val="auto"/>
        <w:rPr>
          <w:rFonts w:asciiTheme="minorHAnsi" w:hAnsiTheme="minorHAnsi"/>
        </w:rPr>
      </w:pPr>
    </w:p>
    <w:p w:rsidR="005E6FEF" w:rsidRPr="008C309F" w:rsidRDefault="005E6FEF" w:rsidP="005E6FEF">
      <w:pPr>
        <w:pStyle w:val="Nagwek2"/>
      </w:pPr>
      <w:r w:rsidRPr="008C309F">
        <w:lastRenderedPageBreak/>
        <w:t>SPECYFIKACJA TECHNICZNA WYKONANIA I ODBIORU ROBÓT BUDOWLANYCH</w:t>
      </w:r>
    </w:p>
    <w:p w:rsidR="005E6FEF" w:rsidRPr="008C309F" w:rsidRDefault="005E6FEF" w:rsidP="005E6FEF">
      <w:pPr>
        <w:pStyle w:val="Nagwek1"/>
        <w:rPr>
          <w:bCs w:val="0"/>
        </w:rPr>
      </w:pPr>
      <w:bookmarkStart w:id="1270" w:name="_Toc285044236"/>
      <w:bookmarkStart w:id="1271" w:name="_Toc377823417"/>
      <w:bookmarkStart w:id="1272" w:name="_Toc459929682"/>
      <w:r w:rsidRPr="008C309F">
        <w:rPr>
          <w:bCs w:val="0"/>
        </w:rPr>
        <w:t>D - 05.03.01 NAWIERZCHNIA Z KOSTKI KAMIENNEJ</w:t>
      </w:r>
      <w:bookmarkEnd w:id="1270"/>
      <w:bookmarkEnd w:id="1271"/>
      <w:bookmarkEnd w:id="1272"/>
    </w:p>
    <w:p w:rsidR="005E6FEF" w:rsidRPr="005E6FEF" w:rsidRDefault="005E6FEF" w:rsidP="005E6FEF">
      <w:pPr>
        <w:pStyle w:val="Nagwek3"/>
        <w:rPr>
          <w:rFonts w:asciiTheme="minorHAnsi" w:hAnsiTheme="minorHAnsi"/>
        </w:rPr>
      </w:pPr>
      <w:bookmarkStart w:id="1273" w:name="_Toc422115846"/>
      <w:r w:rsidRPr="005E6FEF">
        <w:rPr>
          <w:rFonts w:asciiTheme="minorHAnsi" w:hAnsiTheme="minorHAnsi"/>
        </w:rPr>
        <w:t>1. WSTĘP</w:t>
      </w:r>
      <w:bookmarkEnd w:id="1273"/>
    </w:p>
    <w:p w:rsidR="005E6FEF" w:rsidRPr="005E6FEF" w:rsidRDefault="005E6FEF" w:rsidP="005E6FEF">
      <w:pPr>
        <w:pStyle w:val="Nagwek4"/>
        <w:rPr>
          <w:rFonts w:asciiTheme="minorHAnsi" w:hAnsiTheme="minorHAnsi"/>
        </w:rPr>
      </w:pPr>
      <w:r w:rsidRPr="005E6FEF">
        <w:rPr>
          <w:rFonts w:asciiTheme="minorHAnsi" w:hAnsiTheme="minorHAnsi"/>
        </w:rPr>
        <w:t>1.1. Przedmiot STWiORB</w:t>
      </w:r>
    </w:p>
    <w:p w:rsidR="005E6FEF" w:rsidRPr="005E6FEF" w:rsidRDefault="005E6FEF" w:rsidP="005E6FEF">
      <w:pPr>
        <w:pStyle w:val="Standardowytekst"/>
        <w:rPr>
          <w:rFonts w:asciiTheme="minorHAnsi" w:hAnsiTheme="minorHAnsi"/>
        </w:rPr>
      </w:pPr>
      <w:r w:rsidRPr="005E6FEF">
        <w:rPr>
          <w:rFonts w:asciiTheme="minorHAnsi" w:hAnsiTheme="minorHAnsi"/>
        </w:rPr>
        <w:t>Przedmiotem niniejszej specyfikacji technicznej wykonania i odbioru robót budowlanych (STWiORB) są wymagania dotyczące wykonania i odbioru robót związanych z wykonywaniem nawierzchni z kostki kamiennej.</w:t>
      </w:r>
    </w:p>
    <w:p w:rsidR="005E6FEF" w:rsidRPr="005E6FEF" w:rsidRDefault="005E6FEF" w:rsidP="005E6FEF">
      <w:pPr>
        <w:pStyle w:val="Nagwek4"/>
        <w:rPr>
          <w:rFonts w:asciiTheme="minorHAnsi" w:hAnsiTheme="minorHAnsi"/>
        </w:rPr>
      </w:pPr>
      <w:r w:rsidRPr="005E6FEF">
        <w:rPr>
          <w:rFonts w:asciiTheme="minorHAnsi" w:hAnsiTheme="minorHAnsi"/>
        </w:rPr>
        <w:t>1.2. Zakres stosowania STWiORB</w:t>
      </w:r>
    </w:p>
    <w:p w:rsidR="005E6FEF" w:rsidRDefault="005E6FEF" w:rsidP="005E6FEF">
      <w:pPr>
        <w:rPr>
          <w:rFonts w:asciiTheme="minorHAnsi" w:hAnsiTheme="minorHAnsi" w:cs="Calibri"/>
        </w:rPr>
      </w:pPr>
      <w:r>
        <w:rPr>
          <w:rFonts w:asciiTheme="minorHAnsi" w:hAnsiTheme="minorHAnsi" w:cs="Calibri"/>
        </w:rPr>
        <w:t xml:space="preserve">Specyfikacja techniczna stanowi dokument przetargowy i kontraktowy przy realizacji  zadania </w:t>
      </w:r>
      <w:r>
        <w:rPr>
          <w:rFonts w:ascii="Calibri" w:hAnsi="Calibri" w:cs="Calibri"/>
        </w:rPr>
        <w:t>„</w:t>
      </w:r>
      <w:r w:rsidRPr="00F57D49">
        <w:rPr>
          <w:rFonts w:asciiTheme="minorHAnsi" w:hAnsiTheme="minorHAnsi"/>
        </w:rPr>
        <w:t>Budowa parkingu wraz z drogą manewrową przy ul. Armii Krajowej w Wałbrzychu zlokalizowanego na dz. nr ew. 113, 116/1, obr. 20 Stary Zdrój (przy budynkach mieszkalnych nr 46 i 54)"</w:t>
      </w:r>
    </w:p>
    <w:p w:rsidR="005E6FEF" w:rsidRPr="005E6FEF" w:rsidRDefault="005E6FEF" w:rsidP="005E6FEF">
      <w:pPr>
        <w:pStyle w:val="Nagwek4"/>
        <w:rPr>
          <w:rFonts w:asciiTheme="minorHAnsi" w:hAnsiTheme="minorHAnsi"/>
        </w:rPr>
      </w:pPr>
      <w:r w:rsidRPr="005E6FEF">
        <w:rPr>
          <w:rFonts w:asciiTheme="minorHAnsi" w:hAnsiTheme="minorHAnsi"/>
        </w:rPr>
        <w:t>1.3. Zakres robót objętych STWiORB</w:t>
      </w:r>
    </w:p>
    <w:p w:rsidR="005E6FEF" w:rsidRPr="005E6FEF" w:rsidRDefault="005E6FEF" w:rsidP="005E6FEF">
      <w:pPr>
        <w:rPr>
          <w:rFonts w:asciiTheme="minorHAnsi" w:hAnsiTheme="minorHAnsi"/>
        </w:rPr>
      </w:pPr>
      <w:r w:rsidRPr="005E6FEF">
        <w:rPr>
          <w:rFonts w:asciiTheme="minorHAnsi" w:hAnsiTheme="minorHAnsi"/>
        </w:rPr>
        <w:t xml:space="preserve">Ustalenia zawarte w niniejszej specyfikacji dotyczą zasad prowadzenia robót związanych z wykonywaniem nawierzchni kostkowych - z kostki kamiennej </w:t>
      </w:r>
      <w:r>
        <w:rPr>
          <w:rFonts w:asciiTheme="minorHAnsi" w:hAnsiTheme="minorHAnsi"/>
        </w:rPr>
        <w:t>brukowej</w:t>
      </w:r>
    </w:p>
    <w:p w:rsidR="005E6FEF" w:rsidRPr="005E6FEF" w:rsidRDefault="005E6FEF" w:rsidP="005E6FEF">
      <w:pPr>
        <w:pStyle w:val="Nagwek4"/>
        <w:rPr>
          <w:rFonts w:asciiTheme="minorHAnsi" w:hAnsiTheme="minorHAnsi"/>
        </w:rPr>
      </w:pPr>
      <w:r w:rsidRPr="005E6FEF">
        <w:rPr>
          <w:rFonts w:asciiTheme="minorHAnsi" w:hAnsiTheme="minorHAnsi"/>
        </w:rPr>
        <w:t>1.4. Określenia podstawowe</w:t>
      </w:r>
    </w:p>
    <w:p w:rsidR="005E6FEF" w:rsidRPr="005E6FEF" w:rsidRDefault="005E6FEF" w:rsidP="005E6FEF">
      <w:pPr>
        <w:rPr>
          <w:rFonts w:asciiTheme="minorHAnsi" w:hAnsiTheme="minorHAnsi"/>
        </w:rPr>
      </w:pPr>
      <w:r w:rsidRPr="005E6FEF">
        <w:rPr>
          <w:rFonts w:asciiTheme="minorHAnsi" w:hAnsiTheme="minorHAnsi"/>
          <w:b/>
        </w:rPr>
        <w:t xml:space="preserve">1.4.1. </w:t>
      </w:r>
      <w:r w:rsidRPr="005E6FEF">
        <w:rPr>
          <w:rFonts w:asciiTheme="minorHAnsi" w:hAnsiTheme="minorHAnsi"/>
        </w:rPr>
        <w:t>Nawierzchnia twarda ulepszona - nawierzchnia bezpylna i dostatecznie równa, przystosowana do szybkiego ruchu samochodowego.</w:t>
      </w:r>
    </w:p>
    <w:p w:rsidR="005E6FEF" w:rsidRPr="005E6FEF" w:rsidRDefault="005E6FEF" w:rsidP="005E6FEF">
      <w:pPr>
        <w:rPr>
          <w:rFonts w:asciiTheme="minorHAnsi" w:hAnsiTheme="minorHAnsi"/>
        </w:rPr>
      </w:pPr>
      <w:r w:rsidRPr="005E6FEF">
        <w:rPr>
          <w:rFonts w:asciiTheme="minorHAnsi" w:hAnsiTheme="minorHAnsi"/>
          <w:b/>
        </w:rPr>
        <w:t xml:space="preserve">1.4.2. </w:t>
      </w:r>
      <w:r w:rsidRPr="005E6FEF">
        <w:rPr>
          <w:rFonts w:asciiTheme="minorHAnsi" w:hAnsiTheme="minorHAnsi"/>
        </w:rPr>
        <w:t>Nawierzchnia kostkowa - nawierzchnia, której warstwa ścieralna jest wykonana z kostek kamiennych.</w:t>
      </w:r>
    </w:p>
    <w:p w:rsidR="005E6FEF" w:rsidRPr="005E6FEF" w:rsidRDefault="005E6FEF" w:rsidP="005E6FEF">
      <w:pPr>
        <w:rPr>
          <w:rFonts w:asciiTheme="minorHAnsi" w:hAnsiTheme="minorHAnsi"/>
        </w:rPr>
      </w:pPr>
      <w:r w:rsidRPr="005E6FEF">
        <w:rPr>
          <w:rFonts w:asciiTheme="minorHAnsi" w:hAnsiTheme="minorHAnsi"/>
          <w:b/>
        </w:rPr>
        <w:t xml:space="preserve">1.4.3. </w:t>
      </w:r>
      <w:r w:rsidRPr="005E6FEF">
        <w:rPr>
          <w:rFonts w:asciiTheme="minorHAnsi" w:hAnsiTheme="minorHAnsi"/>
        </w:rPr>
        <w:t>Pozostałe określenia podstawowe są zgodne z obowiązującymi, odpowiednimi polskimi normami i z definicjami podanymi w STWiORB D-M-00.00.00 „Wymagania ogólne” pkt 1.4.</w:t>
      </w:r>
    </w:p>
    <w:p w:rsidR="005E6FEF" w:rsidRPr="005E6FEF" w:rsidRDefault="005E6FEF" w:rsidP="005E6FEF">
      <w:pPr>
        <w:pStyle w:val="Nagwek4"/>
        <w:rPr>
          <w:rFonts w:asciiTheme="minorHAnsi" w:hAnsiTheme="minorHAnsi"/>
        </w:rPr>
      </w:pPr>
      <w:r w:rsidRPr="005E6FEF">
        <w:rPr>
          <w:rFonts w:asciiTheme="minorHAnsi" w:hAnsiTheme="minorHAnsi"/>
        </w:rPr>
        <w:t xml:space="preserve">1.5. Ogólne wymagania dotyczące robót </w:t>
      </w:r>
    </w:p>
    <w:p w:rsidR="005E6FEF" w:rsidRPr="005E6FEF" w:rsidRDefault="005E6FEF" w:rsidP="005E6FEF">
      <w:pPr>
        <w:rPr>
          <w:rFonts w:asciiTheme="minorHAnsi" w:hAnsiTheme="minorHAnsi"/>
        </w:rPr>
      </w:pPr>
      <w:r w:rsidRPr="005E6FEF">
        <w:rPr>
          <w:rFonts w:asciiTheme="minorHAnsi" w:hAnsiTheme="minorHAnsi"/>
        </w:rPr>
        <w:t>Ogólne wymagania dotyczące robót podano w STWiORB D-M-00.00.00 „Wymagania ogólne” pkt 1.5.</w:t>
      </w:r>
    </w:p>
    <w:p w:rsidR="005E6FEF" w:rsidRPr="005E6FEF" w:rsidRDefault="005E6FEF" w:rsidP="005E6FEF">
      <w:pPr>
        <w:pStyle w:val="Nagwek3"/>
        <w:rPr>
          <w:rFonts w:asciiTheme="minorHAnsi" w:hAnsiTheme="minorHAnsi"/>
        </w:rPr>
      </w:pPr>
      <w:bookmarkStart w:id="1274" w:name="_Toc421686544"/>
      <w:bookmarkStart w:id="1275" w:name="_Toc421940497"/>
      <w:bookmarkStart w:id="1276" w:name="_Toc422115847"/>
      <w:r w:rsidRPr="005E6FEF">
        <w:rPr>
          <w:rFonts w:asciiTheme="minorHAnsi" w:hAnsiTheme="minorHAnsi"/>
        </w:rPr>
        <w:t>2. WYROBY BUDOWLANE I MATERIAŁY</w:t>
      </w:r>
      <w:bookmarkEnd w:id="1274"/>
      <w:bookmarkEnd w:id="1275"/>
      <w:bookmarkEnd w:id="1276"/>
    </w:p>
    <w:p w:rsidR="005E6FEF" w:rsidRPr="005E6FEF" w:rsidRDefault="005E6FEF" w:rsidP="005E6FEF">
      <w:pPr>
        <w:pStyle w:val="Nagwek4"/>
        <w:rPr>
          <w:rFonts w:asciiTheme="minorHAnsi" w:hAnsiTheme="minorHAnsi"/>
        </w:rPr>
      </w:pPr>
      <w:r w:rsidRPr="005E6FEF">
        <w:rPr>
          <w:rFonts w:asciiTheme="minorHAnsi" w:hAnsiTheme="minorHAnsi"/>
        </w:rPr>
        <w:t>2.1. Ogólne wymagania dotyczące wyrobów</w:t>
      </w:r>
    </w:p>
    <w:p w:rsidR="005E6FEF" w:rsidRPr="005E6FEF" w:rsidRDefault="005E6FEF" w:rsidP="005E6FEF">
      <w:pPr>
        <w:rPr>
          <w:rFonts w:asciiTheme="minorHAnsi" w:hAnsiTheme="minorHAnsi"/>
        </w:rPr>
      </w:pPr>
      <w:r w:rsidRPr="005E6FEF">
        <w:rPr>
          <w:rFonts w:asciiTheme="minorHAnsi" w:hAnsiTheme="minorHAnsi"/>
        </w:rPr>
        <w:t>Ogólne wymagania dotyczące wyrobów, ich pozyskiwania i składowania, podano w STWiORB D-M-00.00.00 „Wymagania ogólne” pkt 2.</w:t>
      </w:r>
    </w:p>
    <w:p w:rsidR="005E6FEF" w:rsidRPr="005E6FEF" w:rsidRDefault="005E6FEF" w:rsidP="005E6FEF">
      <w:pPr>
        <w:pStyle w:val="Nagwek4"/>
        <w:rPr>
          <w:rFonts w:asciiTheme="minorHAnsi" w:hAnsiTheme="minorHAnsi"/>
        </w:rPr>
      </w:pPr>
      <w:r w:rsidRPr="005E6FEF">
        <w:rPr>
          <w:rFonts w:asciiTheme="minorHAnsi" w:hAnsiTheme="minorHAnsi"/>
        </w:rPr>
        <w:t>2.2. Kamienna kostka drogowa</w:t>
      </w:r>
      <w:r w:rsidR="00C32050">
        <w:rPr>
          <w:rFonts w:asciiTheme="minorHAnsi" w:hAnsiTheme="minorHAnsi"/>
        </w:rPr>
        <w:t xml:space="preserve"> kostka nowa</w:t>
      </w:r>
    </w:p>
    <w:p w:rsidR="005E6FEF" w:rsidRPr="005E6FEF" w:rsidRDefault="005E6FEF" w:rsidP="005E6FEF">
      <w:pPr>
        <w:rPr>
          <w:rFonts w:asciiTheme="minorHAnsi" w:hAnsiTheme="minorHAnsi"/>
        </w:rPr>
      </w:pPr>
      <w:r w:rsidRPr="005E6FEF">
        <w:rPr>
          <w:rFonts w:asciiTheme="minorHAnsi" w:hAnsiTheme="minorHAnsi"/>
          <w:b/>
        </w:rPr>
        <w:t xml:space="preserve">2.2.1. </w:t>
      </w:r>
      <w:r w:rsidRPr="005E6FEF">
        <w:rPr>
          <w:rFonts w:asciiTheme="minorHAnsi" w:hAnsiTheme="minorHAnsi"/>
        </w:rPr>
        <w:t>Wymagania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b/>
          <w:bCs/>
        </w:rPr>
        <w:t xml:space="preserve">2.2.1.1. </w:t>
      </w:r>
      <w:r w:rsidRPr="005E6FEF">
        <w:rPr>
          <w:rFonts w:asciiTheme="minorHAnsi" w:hAnsiTheme="minorHAnsi"/>
        </w:rPr>
        <w:t>Kostka brukowa z kamienia naturalnego obrabiana (rz</w:t>
      </w:r>
      <w:r w:rsidRPr="005E6FEF">
        <w:rPr>
          <w:rFonts w:asciiTheme="minorHAnsi" w:eastAsia="TimesNewRoman" w:hAnsiTheme="minorHAnsi"/>
        </w:rPr>
        <w:t>ę</w:t>
      </w:r>
      <w:r w:rsidRPr="005E6FEF">
        <w:rPr>
          <w:rFonts w:asciiTheme="minorHAnsi" w:hAnsiTheme="minorHAnsi"/>
        </w:rPr>
        <w:t>dowa) wg PN-EN 1342</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Kostka brukowa z kamienia naturalnego obrabiana (rz</w:t>
      </w:r>
      <w:r w:rsidRPr="005E6FEF">
        <w:rPr>
          <w:rFonts w:asciiTheme="minorHAnsi" w:eastAsia="TimesNewRoman" w:hAnsiTheme="minorHAnsi"/>
        </w:rPr>
        <w:t>ę</w:t>
      </w:r>
      <w:r w:rsidRPr="005E6FEF">
        <w:rPr>
          <w:rFonts w:asciiTheme="minorHAnsi" w:hAnsiTheme="minorHAnsi"/>
        </w:rPr>
        <w:t>dowa) wg PN-EN 1342winna spełniać poni</w:t>
      </w:r>
      <w:r w:rsidRPr="005E6FEF">
        <w:rPr>
          <w:rFonts w:asciiTheme="minorHAnsi" w:eastAsia="TimesNewRoman" w:hAnsiTheme="minorHAnsi"/>
        </w:rPr>
        <w:t>ż</w:t>
      </w:r>
      <w:r w:rsidRPr="005E6FEF">
        <w:rPr>
          <w:rFonts w:asciiTheme="minorHAnsi" w:hAnsiTheme="minorHAnsi"/>
        </w:rPr>
        <w:t>sze wymagania.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Powierzchnia dolna ciosana a pozostałe obrobione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Odchyłki od nominalnych wymiarów powierzchni</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mi</w:t>
      </w:r>
      <w:r w:rsidRPr="005E6FEF">
        <w:rPr>
          <w:rFonts w:asciiTheme="minorHAnsi" w:eastAsia="TimesNewRoman" w:hAnsiTheme="minorHAnsi"/>
        </w:rPr>
        <w:t>ę</w:t>
      </w:r>
      <w:r w:rsidRPr="005E6FEF">
        <w:rPr>
          <w:rFonts w:asciiTheme="minorHAnsi" w:hAnsiTheme="minorHAnsi"/>
        </w:rPr>
        <w:t>dzy obrobion</w:t>
      </w:r>
      <w:r w:rsidRPr="005E6FEF">
        <w:rPr>
          <w:rFonts w:asciiTheme="minorHAnsi" w:eastAsia="TimesNewRoman" w:hAnsiTheme="minorHAnsi"/>
        </w:rPr>
        <w:t xml:space="preserve">ą </w:t>
      </w:r>
      <w:r w:rsidRPr="005E6FEF">
        <w:rPr>
          <w:rFonts w:asciiTheme="minorHAnsi" w:hAnsiTheme="minorHAnsi"/>
        </w:rPr>
        <w:t>a ciosan</w:t>
      </w:r>
      <w:r w:rsidRPr="005E6FEF">
        <w:rPr>
          <w:rFonts w:asciiTheme="minorHAnsi" w:eastAsia="TimesNewRoman" w:hAnsiTheme="minorHAnsi"/>
        </w:rPr>
        <w:t xml:space="preserve">ą </w:t>
      </w:r>
      <w:r w:rsidRPr="005E6FEF">
        <w:rPr>
          <w:rFonts w:asciiTheme="minorHAnsi" w:hAnsiTheme="minorHAnsi"/>
        </w:rPr>
        <w:t>max ±10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mi</w:t>
      </w:r>
      <w:r w:rsidRPr="005E6FEF">
        <w:rPr>
          <w:rFonts w:asciiTheme="minorHAnsi" w:eastAsia="TimesNewRoman" w:hAnsiTheme="minorHAnsi"/>
        </w:rPr>
        <w:t>ę</w:t>
      </w:r>
      <w:r w:rsidRPr="005E6FEF">
        <w:rPr>
          <w:rFonts w:asciiTheme="minorHAnsi" w:hAnsiTheme="minorHAnsi"/>
        </w:rPr>
        <w:t>dzy obrobionymi max ±5mm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Odchyłki od nominalnej grubo</w:t>
      </w:r>
      <w:r w:rsidRPr="005E6FEF">
        <w:rPr>
          <w:rFonts w:asciiTheme="minorHAnsi" w:eastAsia="TimesNewRoman" w:hAnsiTheme="minorHAnsi"/>
        </w:rPr>
        <w:t>ś</w:t>
      </w:r>
      <w:r w:rsidRPr="005E6FEF">
        <w:rPr>
          <w:rFonts w:asciiTheme="minorHAnsi" w:hAnsiTheme="minorHAnsi"/>
        </w:rPr>
        <w:t>ci dla klasy T2</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mi</w:t>
      </w:r>
      <w:r w:rsidRPr="005E6FEF">
        <w:rPr>
          <w:rFonts w:asciiTheme="minorHAnsi" w:eastAsia="TimesNewRoman" w:hAnsiTheme="minorHAnsi"/>
        </w:rPr>
        <w:t>ę</w:t>
      </w:r>
      <w:r w:rsidRPr="005E6FEF">
        <w:rPr>
          <w:rFonts w:asciiTheme="minorHAnsi" w:hAnsiTheme="minorHAnsi"/>
        </w:rPr>
        <w:t>dzy powierzchni</w:t>
      </w:r>
      <w:r w:rsidRPr="005E6FEF">
        <w:rPr>
          <w:rFonts w:asciiTheme="minorHAnsi" w:eastAsia="TimesNewRoman" w:hAnsiTheme="minorHAnsi"/>
        </w:rPr>
        <w:t xml:space="preserve">ą </w:t>
      </w:r>
      <w:r w:rsidRPr="005E6FEF">
        <w:rPr>
          <w:rFonts w:asciiTheme="minorHAnsi" w:hAnsiTheme="minorHAnsi"/>
        </w:rPr>
        <w:t>obrobion</w:t>
      </w:r>
      <w:r w:rsidRPr="005E6FEF">
        <w:rPr>
          <w:rFonts w:asciiTheme="minorHAnsi" w:eastAsia="TimesNewRoman" w:hAnsiTheme="minorHAnsi"/>
        </w:rPr>
        <w:t xml:space="preserve">ą </w:t>
      </w:r>
      <w:r w:rsidRPr="005E6FEF">
        <w:rPr>
          <w:rFonts w:asciiTheme="minorHAnsi" w:hAnsiTheme="minorHAnsi"/>
        </w:rPr>
        <w:t>a ciosan</w:t>
      </w:r>
      <w:r w:rsidRPr="005E6FEF">
        <w:rPr>
          <w:rFonts w:asciiTheme="minorHAnsi" w:eastAsia="TimesNewRoman" w:hAnsiTheme="minorHAnsi"/>
        </w:rPr>
        <w:t xml:space="preserve">ą </w:t>
      </w:r>
      <w:r w:rsidRPr="005E6FEF">
        <w:rPr>
          <w:rFonts w:asciiTheme="minorHAnsi" w:hAnsiTheme="minorHAnsi"/>
        </w:rPr>
        <w:t>max ±10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mi</w:t>
      </w:r>
      <w:r w:rsidRPr="005E6FEF">
        <w:rPr>
          <w:rFonts w:asciiTheme="minorHAnsi" w:eastAsia="TimesNewRoman" w:hAnsiTheme="minorHAnsi"/>
        </w:rPr>
        <w:t>ę</w:t>
      </w:r>
      <w:r w:rsidRPr="005E6FEF">
        <w:rPr>
          <w:rFonts w:asciiTheme="minorHAnsi" w:hAnsiTheme="minorHAnsi"/>
        </w:rPr>
        <w:t>dzy powierzchniami obrobionymi max ±5mm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Odchyłki od prostopadło</w:t>
      </w:r>
      <w:r w:rsidRPr="005E6FEF">
        <w:rPr>
          <w:rFonts w:asciiTheme="minorHAnsi" w:eastAsia="TimesNewRoman" w:hAnsiTheme="minorHAnsi"/>
        </w:rPr>
        <w:t>ś</w:t>
      </w:r>
      <w:r w:rsidRPr="005E6FEF">
        <w:rPr>
          <w:rFonts w:asciiTheme="minorHAnsi" w:hAnsiTheme="minorHAnsi"/>
        </w:rPr>
        <w:t>ci powierzchni bocznej max 15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Nierówno</w:t>
      </w:r>
      <w:r w:rsidRPr="005E6FEF">
        <w:rPr>
          <w:rFonts w:asciiTheme="minorHAnsi" w:eastAsia="TimesNewRoman" w:hAnsiTheme="minorHAnsi"/>
        </w:rPr>
        <w:t>ś</w:t>
      </w:r>
      <w:r w:rsidRPr="005E6FEF">
        <w:rPr>
          <w:rFonts w:asciiTheme="minorHAnsi" w:hAnsiTheme="minorHAnsi"/>
        </w:rPr>
        <w:t>ci powierzchni innych ni</w:t>
      </w:r>
      <w:r w:rsidRPr="005E6FEF">
        <w:rPr>
          <w:rFonts w:asciiTheme="minorHAnsi" w:eastAsia="TimesNewRoman" w:hAnsiTheme="minorHAnsi"/>
        </w:rPr>
        <w:t xml:space="preserve">ż </w:t>
      </w:r>
      <w:r w:rsidRPr="005E6FEF">
        <w:rPr>
          <w:rFonts w:asciiTheme="minorHAnsi" w:hAnsiTheme="minorHAnsi"/>
        </w:rPr>
        <w:t>dolne max 3 mm, a dolnych max 5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Odporno</w:t>
      </w:r>
      <w:r w:rsidRPr="005E6FEF">
        <w:rPr>
          <w:rFonts w:asciiTheme="minorHAnsi" w:eastAsia="TimesNewRoman" w:hAnsiTheme="minorHAnsi"/>
        </w:rPr>
        <w:t xml:space="preserve">ść </w:t>
      </w:r>
      <w:r w:rsidRPr="005E6FEF">
        <w:rPr>
          <w:rFonts w:asciiTheme="minorHAnsi" w:hAnsiTheme="minorHAnsi"/>
        </w:rPr>
        <w:t>na zamra</w:t>
      </w:r>
      <w:r w:rsidRPr="005E6FEF">
        <w:rPr>
          <w:rFonts w:asciiTheme="minorHAnsi" w:eastAsia="TimesNewRoman" w:hAnsiTheme="minorHAnsi"/>
        </w:rPr>
        <w:t>ż</w:t>
      </w:r>
      <w:r w:rsidRPr="005E6FEF">
        <w:rPr>
          <w:rFonts w:asciiTheme="minorHAnsi" w:hAnsiTheme="minorHAnsi"/>
        </w:rPr>
        <w:t>anie/rozmra</w:t>
      </w:r>
      <w:r w:rsidRPr="005E6FEF">
        <w:rPr>
          <w:rFonts w:asciiTheme="minorHAnsi" w:eastAsia="TimesNewRoman" w:hAnsiTheme="minorHAnsi"/>
        </w:rPr>
        <w:t>ż</w:t>
      </w:r>
      <w:r w:rsidRPr="005E6FEF">
        <w:rPr>
          <w:rFonts w:asciiTheme="minorHAnsi" w:hAnsiTheme="minorHAnsi"/>
        </w:rPr>
        <w:t>anie klasa F1 £ 20% zmiany wytrzymało</w:t>
      </w:r>
      <w:r w:rsidRPr="005E6FEF">
        <w:rPr>
          <w:rFonts w:asciiTheme="minorHAnsi" w:eastAsia="TimesNewRoman" w:hAnsiTheme="minorHAnsi"/>
        </w:rPr>
        <w:t>ś</w:t>
      </w:r>
      <w:r w:rsidRPr="005E6FEF">
        <w:rPr>
          <w:rFonts w:asciiTheme="minorHAnsi" w:hAnsiTheme="minorHAnsi"/>
        </w:rPr>
        <w:t>ci na</w:t>
      </w:r>
      <w:r w:rsidRPr="005E6FEF">
        <w:rPr>
          <w:rFonts w:asciiTheme="minorHAnsi" w:eastAsia="TimesNewRoman" w:hAnsiTheme="minorHAnsi"/>
        </w:rPr>
        <w:t>ś</w:t>
      </w:r>
      <w:r w:rsidRPr="005E6FEF">
        <w:rPr>
          <w:rFonts w:asciiTheme="minorHAnsi" w:hAnsiTheme="minorHAnsi"/>
        </w:rPr>
        <w:t>ciskanie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Wytrzymało</w:t>
      </w:r>
      <w:r w:rsidRPr="005E6FEF">
        <w:rPr>
          <w:rFonts w:asciiTheme="minorHAnsi" w:eastAsia="TimesNewRoman" w:hAnsiTheme="minorHAnsi"/>
        </w:rPr>
        <w:t xml:space="preserve">ść </w:t>
      </w:r>
      <w:r w:rsidRPr="005E6FEF">
        <w:rPr>
          <w:rFonts w:asciiTheme="minorHAnsi" w:hAnsiTheme="minorHAnsi"/>
        </w:rPr>
        <w:t xml:space="preserve">na </w:t>
      </w:r>
      <w:r w:rsidRPr="005E6FEF">
        <w:rPr>
          <w:rFonts w:asciiTheme="minorHAnsi" w:eastAsia="TimesNewRoman" w:hAnsiTheme="minorHAnsi"/>
        </w:rPr>
        <w:t>ś</w:t>
      </w:r>
      <w:r w:rsidRPr="005E6FEF">
        <w:rPr>
          <w:rFonts w:asciiTheme="minorHAnsi" w:hAnsiTheme="minorHAnsi"/>
        </w:rPr>
        <w:t>ciskanie 160 MPa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lastRenderedPageBreak/>
        <w:t>Wytrzymało</w:t>
      </w:r>
      <w:r w:rsidRPr="005E6FEF">
        <w:rPr>
          <w:rFonts w:asciiTheme="minorHAnsi" w:eastAsia="TimesNewRoman" w:hAnsiTheme="minorHAnsi"/>
        </w:rPr>
        <w:t xml:space="preserve">ść </w:t>
      </w:r>
      <w:r w:rsidRPr="005E6FEF">
        <w:rPr>
          <w:rFonts w:asciiTheme="minorHAnsi" w:hAnsiTheme="minorHAnsi"/>
        </w:rPr>
        <w:t xml:space="preserve">na </w:t>
      </w:r>
      <w:r w:rsidRPr="005E6FEF">
        <w:rPr>
          <w:rFonts w:asciiTheme="minorHAnsi" w:eastAsia="TimesNewRoman" w:hAnsiTheme="minorHAnsi"/>
        </w:rPr>
        <w:t>ś</w:t>
      </w:r>
      <w:r w:rsidRPr="005E6FEF">
        <w:rPr>
          <w:rFonts w:asciiTheme="minorHAnsi" w:hAnsiTheme="minorHAnsi"/>
        </w:rPr>
        <w:t>cieranie max 25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Odporno</w:t>
      </w:r>
      <w:r w:rsidRPr="005E6FEF">
        <w:rPr>
          <w:rFonts w:asciiTheme="minorHAnsi" w:eastAsia="TimesNewRoman" w:hAnsiTheme="minorHAnsi"/>
        </w:rPr>
        <w:t xml:space="preserve">ść </w:t>
      </w:r>
      <w:r w:rsidRPr="005E6FEF">
        <w:rPr>
          <w:rFonts w:asciiTheme="minorHAnsi" w:hAnsiTheme="minorHAnsi"/>
        </w:rPr>
        <w:t>na po</w:t>
      </w:r>
      <w:r w:rsidRPr="005E6FEF">
        <w:rPr>
          <w:rFonts w:asciiTheme="minorHAnsi" w:eastAsia="TimesNewRoman" w:hAnsiTheme="minorHAnsi"/>
        </w:rPr>
        <w:t>ś</w:t>
      </w:r>
      <w:r w:rsidRPr="005E6FEF">
        <w:rPr>
          <w:rFonts w:asciiTheme="minorHAnsi" w:hAnsiTheme="minorHAnsi"/>
        </w:rPr>
        <w:t>lizg nie jest okre</w:t>
      </w:r>
      <w:r w:rsidRPr="005E6FEF">
        <w:rPr>
          <w:rFonts w:asciiTheme="minorHAnsi" w:eastAsia="TimesNewRoman" w:hAnsiTheme="minorHAnsi"/>
        </w:rPr>
        <w:t>ś</w:t>
      </w:r>
      <w:r w:rsidRPr="005E6FEF">
        <w:rPr>
          <w:rFonts w:asciiTheme="minorHAnsi" w:hAnsiTheme="minorHAnsi"/>
        </w:rPr>
        <w:t>lana.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Powy</w:t>
      </w:r>
      <w:r w:rsidRPr="005E6FEF">
        <w:rPr>
          <w:rFonts w:asciiTheme="minorHAnsi" w:eastAsia="TimesNewRoman" w:hAnsiTheme="minorHAnsi"/>
        </w:rPr>
        <w:t>ż</w:t>
      </w:r>
      <w:r w:rsidRPr="005E6FEF">
        <w:rPr>
          <w:rFonts w:asciiTheme="minorHAnsi" w:hAnsiTheme="minorHAnsi"/>
        </w:rPr>
        <w:t>sze wymagania dotycz</w:t>
      </w:r>
      <w:r w:rsidRPr="005E6FEF">
        <w:rPr>
          <w:rFonts w:asciiTheme="minorHAnsi" w:eastAsia="TimesNewRoman" w:hAnsiTheme="minorHAnsi"/>
        </w:rPr>
        <w:t xml:space="preserve">ą </w:t>
      </w:r>
      <w:r w:rsidRPr="005E6FEF">
        <w:rPr>
          <w:rFonts w:asciiTheme="minorHAnsi" w:hAnsiTheme="minorHAnsi"/>
        </w:rPr>
        <w:t>kostki nowej.</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Dla kostki starou</w:t>
      </w:r>
      <w:r w:rsidRPr="005E6FEF">
        <w:rPr>
          <w:rFonts w:asciiTheme="minorHAnsi" w:eastAsia="TimesNewRoman" w:hAnsiTheme="minorHAnsi"/>
        </w:rPr>
        <w:t>ż</w:t>
      </w:r>
      <w:r w:rsidRPr="005E6FEF">
        <w:rPr>
          <w:rFonts w:asciiTheme="minorHAnsi" w:hAnsiTheme="minorHAnsi"/>
        </w:rPr>
        <w:t>ytecznej (z rozbiórek) nie okre</w:t>
      </w:r>
      <w:r w:rsidRPr="005E6FEF">
        <w:rPr>
          <w:rFonts w:asciiTheme="minorHAnsi" w:eastAsia="TimesNewRoman" w:hAnsiTheme="minorHAnsi"/>
        </w:rPr>
        <w:t>ś</w:t>
      </w:r>
      <w:r w:rsidRPr="005E6FEF">
        <w:rPr>
          <w:rFonts w:asciiTheme="minorHAnsi" w:hAnsiTheme="minorHAnsi"/>
        </w:rPr>
        <w:t>la si</w:t>
      </w:r>
      <w:r w:rsidRPr="005E6FEF">
        <w:rPr>
          <w:rFonts w:asciiTheme="minorHAnsi" w:eastAsia="TimesNewRoman" w:hAnsiTheme="minorHAnsi"/>
        </w:rPr>
        <w:t xml:space="preserve">ę </w:t>
      </w:r>
      <w:r w:rsidRPr="005E6FEF">
        <w:rPr>
          <w:rFonts w:asciiTheme="minorHAnsi" w:hAnsiTheme="minorHAnsi"/>
        </w:rPr>
        <w:t>wymaga</w:t>
      </w:r>
      <w:r w:rsidRPr="005E6FEF">
        <w:rPr>
          <w:rFonts w:asciiTheme="minorHAnsi" w:eastAsia="TimesNewRoman" w:hAnsiTheme="minorHAnsi"/>
        </w:rPr>
        <w:t xml:space="preserve">ń </w:t>
      </w:r>
      <w:r w:rsidRPr="005E6FEF">
        <w:rPr>
          <w:rFonts w:asciiTheme="minorHAnsi" w:hAnsiTheme="minorHAnsi"/>
        </w:rPr>
        <w:t>innych ni</w:t>
      </w:r>
      <w:r w:rsidRPr="005E6FEF">
        <w:rPr>
          <w:rFonts w:asciiTheme="minorHAnsi" w:eastAsia="TimesNewRoman" w:hAnsiTheme="minorHAnsi"/>
        </w:rPr>
        <w:t xml:space="preserve">ż </w:t>
      </w:r>
      <w:r w:rsidRPr="005E6FEF">
        <w:rPr>
          <w:rFonts w:asciiTheme="minorHAnsi" w:hAnsiTheme="minorHAnsi"/>
        </w:rPr>
        <w:t>grubo</w:t>
      </w:r>
      <w:r w:rsidRPr="005E6FEF">
        <w:rPr>
          <w:rFonts w:asciiTheme="minorHAnsi" w:eastAsia="TimesNewRoman" w:hAnsiTheme="minorHAnsi"/>
        </w:rPr>
        <w:t>ść</w:t>
      </w:r>
      <w:r w:rsidRPr="005E6FEF">
        <w:rPr>
          <w:rFonts w:asciiTheme="minorHAnsi" w:hAnsiTheme="minorHAnsi"/>
        </w:rPr>
        <w:t>.</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Odchylenia grubo</w:t>
      </w:r>
      <w:r w:rsidRPr="005E6FEF">
        <w:rPr>
          <w:rFonts w:asciiTheme="minorHAnsi" w:eastAsia="TimesNewRoman" w:hAnsiTheme="minorHAnsi"/>
        </w:rPr>
        <w:t>ś</w:t>
      </w:r>
      <w:r w:rsidRPr="005E6FEF">
        <w:rPr>
          <w:rFonts w:asciiTheme="minorHAnsi" w:hAnsiTheme="minorHAnsi"/>
        </w:rPr>
        <w:t>ci mog</w:t>
      </w:r>
      <w:r w:rsidRPr="005E6FEF">
        <w:rPr>
          <w:rFonts w:asciiTheme="minorHAnsi" w:eastAsia="TimesNewRoman" w:hAnsiTheme="minorHAnsi"/>
        </w:rPr>
        <w:t xml:space="preserve">ą </w:t>
      </w:r>
      <w:r w:rsidRPr="005E6FEF">
        <w:rPr>
          <w:rFonts w:asciiTheme="minorHAnsi" w:hAnsiTheme="minorHAnsi"/>
        </w:rPr>
        <w:t>wynosi</w:t>
      </w:r>
      <w:r w:rsidRPr="005E6FEF">
        <w:rPr>
          <w:rFonts w:asciiTheme="minorHAnsi" w:eastAsia="TimesNewRoman" w:hAnsiTheme="minorHAnsi"/>
        </w:rPr>
        <w:t xml:space="preserve">ć </w:t>
      </w:r>
      <w:r w:rsidRPr="005E6FEF">
        <w:rPr>
          <w:rFonts w:asciiTheme="minorHAnsi" w:hAnsiTheme="minorHAnsi"/>
        </w:rPr>
        <w:t>max ±15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b/>
          <w:bCs/>
        </w:rPr>
        <w:t xml:space="preserve">2.2.1.2. </w:t>
      </w:r>
      <w:r w:rsidRPr="005E6FEF">
        <w:rPr>
          <w:rFonts w:asciiTheme="minorHAnsi" w:hAnsiTheme="minorHAnsi"/>
        </w:rPr>
        <w:t>Kostka brukowa z kamienia naturalnego ciosana (nieregularna) wg PN-EN 1342</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Kostka brukowa z kamienia naturalnego ciosana (nieregularna) wg PN-EN 1342winna spełniać poni</w:t>
      </w:r>
      <w:r w:rsidRPr="005E6FEF">
        <w:rPr>
          <w:rFonts w:asciiTheme="minorHAnsi" w:eastAsia="TimesNewRoman" w:hAnsiTheme="minorHAnsi"/>
        </w:rPr>
        <w:t>ż</w:t>
      </w:r>
      <w:r w:rsidRPr="005E6FEF">
        <w:rPr>
          <w:rFonts w:asciiTheme="minorHAnsi" w:hAnsiTheme="minorHAnsi"/>
        </w:rPr>
        <w:t>sze wymagania.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Odchyłki od nominalnych wymiarów powierzchni ±15mm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Odchyłki od nominalnej grubo</w:t>
      </w:r>
      <w:r w:rsidRPr="005E6FEF">
        <w:rPr>
          <w:rFonts w:asciiTheme="minorHAnsi" w:eastAsia="TimesNewRoman" w:hAnsiTheme="minorHAnsi"/>
        </w:rPr>
        <w:t>ś</w:t>
      </w:r>
      <w:r w:rsidRPr="005E6FEF">
        <w:rPr>
          <w:rFonts w:asciiTheme="minorHAnsi" w:hAnsiTheme="minorHAnsi"/>
        </w:rPr>
        <w:t>ci dla klasy T2 max ±15mm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Odchyłki od prostopadło</w:t>
      </w:r>
      <w:r w:rsidRPr="005E6FEF">
        <w:rPr>
          <w:rFonts w:asciiTheme="minorHAnsi" w:eastAsia="TimesNewRoman" w:hAnsiTheme="minorHAnsi"/>
        </w:rPr>
        <w:t>ś</w:t>
      </w:r>
      <w:r w:rsidRPr="005E6FEF">
        <w:rPr>
          <w:rFonts w:asciiTheme="minorHAnsi" w:hAnsiTheme="minorHAnsi"/>
        </w:rPr>
        <w:t>ci powierzchni bocznej max 15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Nierówno</w:t>
      </w:r>
      <w:r w:rsidRPr="005E6FEF">
        <w:rPr>
          <w:rFonts w:asciiTheme="minorHAnsi" w:eastAsia="TimesNewRoman" w:hAnsiTheme="minorHAnsi"/>
        </w:rPr>
        <w:t>ś</w:t>
      </w:r>
      <w:r w:rsidRPr="005E6FEF">
        <w:rPr>
          <w:rFonts w:asciiTheme="minorHAnsi" w:hAnsiTheme="minorHAnsi"/>
        </w:rPr>
        <w:t>ci powierzchni max 5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Odporno</w:t>
      </w:r>
      <w:r w:rsidRPr="005E6FEF">
        <w:rPr>
          <w:rFonts w:asciiTheme="minorHAnsi" w:eastAsia="TimesNewRoman" w:hAnsiTheme="minorHAnsi"/>
        </w:rPr>
        <w:t xml:space="preserve">ść </w:t>
      </w:r>
      <w:r w:rsidRPr="005E6FEF">
        <w:rPr>
          <w:rFonts w:asciiTheme="minorHAnsi" w:hAnsiTheme="minorHAnsi"/>
        </w:rPr>
        <w:t>na zamra</w:t>
      </w:r>
      <w:r w:rsidRPr="005E6FEF">
        <w:rPr>
          <w:rFonts w:asciiTheme="minorHAnsi" w:eastAsia="TimesNewRoman" w:hAnsiTheme="minorHAnsi"/>
        </w:rPr>
        <w:t>ż</w:t>
      </w:r>
      <w:r w:rsidRPr="005E6FEF">
        <w:rPr>
          <w:rFonts w:asciiTheme="minorHAnsi" w:hAnsiTheme="minorHAnsi"/>
        </w:rPr>
        <w:t>anie/rozmra</w:t>
      </w:r>
      <w:r w:rsidRPr="005E6FEF">
        <w:rPr>
          <w:rFonts w:asciiTheme="minorHAnsi" w:eastAsia="TimesNewRoman" w:hAnsiTheme="minorHAnsi"/>
        </w:rPr>
        <w:t>ż</w:t>
      </w:r>
      <w:r w:rsidRPr="005E6FEF">
        <w:rPr>
          <w:rFonts w:asciiTheme="minorHAnsi" w:hAnsiTheme="minorHAnsi"/>
        </w:rPr>
        <w:t>anie klasa F1 £ 20% zmiany wytrzymało</w:t>
      </w:r>
      <w:r w:rsidRPr="005E6FEF">
        <w:rPr>
          <w:rFonts w:asciiTheme="minorHAnsi" w:eastAsia="TimesNewRoman" w:hAnsiTheme="minorHAnsi"/>
        </w:rPr>
        <w:t>ś</w:t>
      </w:r>
      <w:r w:rsidRPr="005E6FEF">
        <w:rPr>
          <w:rFonts w:asciiTheme="minorHAnsi" w:hAnsiTheme="minorHAnsi"/>
        </w:rPr>
        <w:t xml:space="preserve">ci na </w:t>
      </w:r>
      <w:r w:rsidRPr="005E6FEF">
        <w:rPr>
          <w:rFonts w:asciiTheme="minorHAnsi" w:eastAsia="TimesNewRoman" w:hAnsiTheme="minorHAnsi"/>
        </w:rPr>
        <w:t>ś</w:t>
      </w:r>
      <w:r w:rsidRPr="005E6FEF">
        <w:rPr>
          <w:rFonts w:asciiTheme="minorHAnsi" w:hAnsiTheme="minorHAnsi"/>
        </w:rPr>
        <w:t>ciskanie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Wytrzymało</w:t>
      </w:r>
      <w:r w:rsidRPr="005E6FEF">
        <w:rPr>
          <w:rFonts w:asciiTheme="minorHAnsi" w:eastAsia="TimesNewRoman" w:hAnsiTheme="minorHAnsi"/>
        </w:rPr>
        <w:t xml:space="preserve">ść </w:t>
      </w:r>
      <w:r w:rsidRPr="005E6FEF">
        <w:rPr>
          <w:rFonts w:asciiTheme="minorHAnsi" w:hAnsiTheme="minorHAnsi"/>
        </w:rPr>
        <w:t xml:space="preserve">na </w:t>
      </w:r>
      <w:r w:rsidRPr="005E6FEF">
        <w:rPr>
          <w:rFonts w:asciiTheme="minorHAnsi" w:eastAsia="TimesNewRoman" w:hAnsiTheme="minorHAnsi"/>
        </w:rPr>
        <w:t>ś</w:t>
      </w:r>
      <w:r w:rsidRPr="005E6FEF">
        <w:rPr>
          <w:rFonts w:asciiTheme="minorHAnsi" w:hAnsiTheme="minorHAnsi"/>
        </w:rPr>
        <w:t>ciskanie 160 MPa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Wytrzymało</w:t>
      </w:r>
      <w:r w:rsidRPr="005E6FEF">
        <w:rPr>
          <w:rFonts w:asciiTheme="minorHAnsi" w:eastAsia="TimesNewRoman" w:hAnsiTheme="minorHAnsi"/>
        </w:rPr>
        <w:t xml:space="preserve">ść </w:t>
      </w:r>
      <w:r w:rsidRPr="005E6FEF">
        <w:rPr>
          <w:rFonts w:asciiTheme="minorHAnsi" w:hAnsiTheme="minorHAnsi"/>
        </w:rPr>
        <w:t xml:space="preserve">na </w:t>
      </w:r>
      <w:r w:rsidRPr="005E6FEF">
        <w:rPr>
          <w:rFonts w:asciiTheme="minorHAnsi" w:eastAsia="TimesNewRoman" w:hAnsiTheme="minorHAnsi"/>
        </w:rPr>
        <w:t>ś</w:t>
      </w:r>
      <w:r w:rsidRPr="005E6FEF">
        <w:rPr>
          <w:rFonts w:asciiTheme="minorHAnsi" w:hAnsiTheme="minorHAnsi"/>
        </w:rPr>
        <w:t>cieranie max 25 mm</w:t>
      </w:r>
    </w:p>
    <w:p w:rsidR="005E6FEF" w:rsidRPr="005E6FEF" w:rsidRDefault="005E6FEF" w:rsidP="005E6FEF">
      <w:pPr>
        <w:pStyle w:val="Nagwek4"/>
        <w:spacing w:before="0"/>
        <w:rPr>
          <w:rFonts w:asciiTheme="minorHAnsi" w:hAnsiTheme="minorHAnsi"/>
          <w:b w:val="0"/>
        </w:rPr>
      </w:pPr>
      <w:r w:rsidRPr="005E6FEF">
        <w:rPr>
          <w:rFonts w:asciiTheme="minorHAnsi" w:hAnsiTheme="minorHAnsi"/>
          <w:b w:val="0"/>
        </w:rPr>
        <w:t>Odporno</w:t>
      </w:r>
      <w:r w:rsidRPr="005E6FEF">
        <w:rPr>
          <w:rFonts w:asciiTheme="minorHAnsi" w:eastAsia="TimesNewRoman" w:hAnsiTheme="minorHAnsi" w:cs="TimesNewRoman"/>
          <w:b w:val="0"/>
        </w:rPr>
        <w:t xml:space="preserve">ść </w:t>
      </w:r>
      <w:r w:rsidRPr="005E6FEF">
        <w:rPr>
          <w:rFonts w:asciiTheme="minorHAnsi" w:hAnsiTheme="minorHAnsi"/>
          <w:b w:val="0"/>
        </w:rPr>
        <w:t>na po</w:t>
      </w:r>
      <w:r w:rsidRPr="005E6FEF">
        <w:rPr>
          <w:rFonts w:asciiTheme="minorHAnsi" w:eastAsia="TimesNewRoman" w:hAnsiTheme="minorHAnsi" w:cs="TimesNewRoman"/>
          <w:b w:val="0"/>
        </w:rPr>
        <w:t>ś</w:t>
      </w:r>
      <w:r w:rsidRPr="005E6FEF">
        <w:rPr>
          <w:rFonts w:asciiTheme="minorHAnsi" w:hAnsiTheme="minorHAnsi"/>
          <w:b w:val="0"/>
        </w:rPr>
        <w:t>lizg nie jest okre</w:t>
      </w:r>
      <w:r w:rsidRPr="005E6FEF">
        <w:rPr>
          <w:rFonts w:asciiTheme="minorHAnsi" w:eastAsia="TimesNewRoman" w:hAnsiTheme="minorHAnsi" w:cs="TimesNewRoman"/>
          <w:b w:val="0"/>
        </w:rPr>
        <w:t>ś</w:t>
      </w:r>
      <w:r w:rsidRPr="005E6FEF">
        <w:rPr>
          <w:rFonts w:asciiTheme="minorHAnsi" w:hAnsiTheme="minorHAnsi"/>
          <w:b w:val="0"/>
        </w:rPr>
        <w:t xml:space="preserve">lana </w:t>
      </w:r>
    </w:p>
    <w:p w:rsidR="00C32050" w:rsidRDefault="005E6FEF" w:rsidP="005E6FEF">
      <w:pPr>
        <w:pStyle w:val="Nagwek4"/>
        <w:rPr>
          <w:rFonts w:asciiTheme="minorHAnsi" w:hAnsiTheme="minorHAnsi"/>
        </w:rPr>
      </w:pPr>
      <w:r w:rsidRPr="005E6FEF">
        <w:rPr>
          <w:rFonts w:asciiTheme="minorHAnsi" w:hAnsiTheme="minorHAnsi"/>
        </w:rPr>
        <w:t>2.3.</w:t>
      </w:r>
      <w:r w:rsidR="00C32050">
        <w:rPr>
          <w:rFonts w:asciiTheme="minorHAnsi" w:hAnsiTheme="minorHAnsi"/>
        </w:rPr>
        <w:t>Kostka kamienna staroużyteczna</w:t>
      </w:r>
    </w:p>
    <w:p w:rsidR="00C32050" w:rsidRPr="00C32050" w:rsidRDefault="00C32050" w:rsidP="005E6FEF">
      <w:pPr>
        <w:pStyle w:val="Nagwek4"/>
        <w:rPr>
          <w:rFonts w:asciiTheme="minorHAnsi" w:hAnsiTheme="minorHAnsi"/>
          <w:b w:val="0"/>
        </w:rPr>
      </w:pPr>
      <w:r w:rsidRPr="00C32050">
        <w:rPr>
          <w:rFonts w:asciiTheme="minorHAnsi" w:hAnsiTheme="minorHAnsi"/>
          <w:b w:val="0"/>
        </w:rPr>
        <w:t>Dla</w:t>
      </w:r>
      <w:r>
        <w:rPr>
          <w:rFonts w:asciiTheme="minorHAnsi" w:hAnsiTheme="minorHAnsi"/>
          <w:b w:val="0"/>
        </w:rPr>
        <w:t xml:space="preserve"> kostki staroużytecznej dostarczanej przez Zamawiającego nie określa się wymagań</w:t>
      </w:r>
    </w:p>
    <w:p w:rsidR="005E6FEF" w:rsidRPr="005E6FEF" w:rsidRDefault="00C32050" w:rsidP="005E6FEF">
      <w:pPr>
        <w:pStyle w:val="Nagwek4"/>
        <w:rPr>
          <w:rFonts w:asciiTheme="minorHAnsi" w:hAnsiTheme="minorHAnsi"/>
        </w:rPr>
      </w:pPr>
      <w:r>
        <w:rPr>
          <w:rFonts w:asciiTheme="minorHAnsi" w:hAnsiTheme="minorHAnsi"/>
        </w:rPr>
        <w:t xml:space="preserve">2.4 </w:t>
      </w:r>
      <w:r w:rsidR="005E6FEF" w:rsidRPr="005E6FEF">
        <w:rPr>
          <w:rFonts w:asciiTheme="minorHAnsi" w:hAnsiTheme="minorHAnsi"/>
        </w:rPr>
        <w:t>Cement</w:t>
      </w:r>
    </w:p>
    <w:p w:rsidR="005E6FEF" w:rsidRPr="005E6FEF" w:rsidRDefault="005E6FEF" w:rsidP="005E6FEF">
      <w:pPr>
        <w:rPr>
          <w:rFonts w:asciiTheme="minorHAnsi" w:hAnsiTheme="minorHAnsi"/>
        </w:rPr>
      </w:pPr>
      <w:r w:rsidRPr="005E6FEF">
        <w:rPr>
          <w:rFonts w:asciiTheme="minorHAnsi" w:hAnsiTheme="minorHAnsi"/>
        </w:rPr>
        <w:t>Cement stosowany do podsypki i wypełnienia spoin powinien być cementem portlandzkim CEM I klasy N 32,5, odpowiadający wymaganiom PN-EN-197-1:2002.</w:t>
      </w:r>
    </w:p>
    <w:p w:rsidR="005E6FEF" w:rsidRPr="005E6FEF" w:rsidRDefault="005E6FEF" w:rsidP="005E6FEF">
      <w:pPr>
        <w:rPr>
          <w:rFonts w:asciiTheme="minorHAnsi" w:hAnsiTheme="minorHAnsi"/>
        </w:rPr>
      </w:pPr>
      <w:r w:rsidRPr="005E6FEF">
        <w:rPr>
          <w:rFonts w:asciiTheme="minorHAnsi" w:hAnsiTheme="minorHAnsi"/>
        </w:rPr>
        <w:t>Transport i przechowywanie cementu powinny być zgodne z BN-88/6731-08.</w:t>
      </w:r>
    </w:p>
    <w:p w:rsidR="005E6FEF" w:rsidRPr="005E6FEF" w:rsidRDefault="00C32050" w:rsidP="005E6FEF">
      <w:pPr>
        <w:pStyle w:val="Nagwek4"/>
        <w:rPr>
          <w:rFonts w:asciiTheme="minorHAnsi" w:hAnsiTheme="minorHAnsi"/>
        </w:rPr>
      </w:pPr>
      <w:r>
        <w:rPr>
          <w:rFonts w:asciiTheme="minorHAnsi" w:hAnsiTheme="minorHAnsi"/>
        </w:rPr>
        <w:t>2.5</w:t>
      </w:r>
      <w:r w:rsidR="005E6FEF" w:rsidRPr="005E6FEF">
        <w:rPr>
          <w:rFonts w:asciiTheme="minorHAnsi" w:hAnsiTheme="minorHAnsi"/>
        </w:rPr>
        <w:t>. Kruszywo</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Na podsypk</w:t>
      </w:r>
      <w:r w:rsidRPr="005E6FEF">
        <w:rPr>
          <w:rFonts w:asciiTheme="minorHAnsi" w:eastAsia="TimesNewRoman" w:hAnsiTheme="minorHAnsi"/>
        </w:rPr>
        <w:t xml:space="preserve">ę </w:t>
      </w:r>
      <w:r w:rsidRPr="005E6FEF">
        <w:rPr>
          <w:rFonts w:asciiTheme="minorHAnsi" w:hAnsiTheme="minorHAnsi"/>
        </w:rPr>
        <w:t>należy stosowa</w:t>
      </w:r>
      <w:r w:rsidRPr="005E6FEF">
        <w:rPr>
          <w:rFonts w:asciiTheme="minorHAnsi" w:eastAsia="TimesNewRoman" w:hAnsiTheme="minorHAnsi"/>
        </w:rPr>
        <w:t xml:space="preserve">ć </w:t>
      </w:r>
      <w:r w:rsidRPr="005E6FEF">
        <w:rPr>
          <w:rFonts w:asciiTheme="minorHAnsi" w:hAnsiTheme="minorHAnsi"/>
        </w:rPr>
        <w:t>kruszywo naturalne 0/2, odpowiadaj</w:t>
      </w:r>
      <w:r w:rsidRPr="005E6FEF">
        <w:rPr>
          <w:rFonts w:asciiTheme="minorHAnsi" w:eastAsia="TimesNewRoman" w:hAnsiTheme="minorHAnsi"/>
        </w:rPr>
        <w:t>ą</w:t>
      </w:r>
      <w:r w:rsidRPr="005E6FEF">
        <w:rPr>
          <w:rFonts w:asciiTheme="minorHAnsi" w:hAnsiTheme="minorHAnsi"/>
        </w:rPr>
        <w:t>ce wymaganiom PN-EN 13242, kat. GF80 i f7.</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Do piel</w:t>
      </w:r>
      <w:r w:rsidRPr="005E6FEF">
        <w:rPr>
          <w:rFonts w:asciiTheme="minorHAnsi" w:eastAsia="TimesNewRoman" w:hAnsiTheme="minorHAnsi"/>
        </w:rPr>
        <w:t>ę</w:t>
      </w:r>
      <w:r w:rsidRPr="005E6FEF">
        <w:rPr>
          <w:rFonts w:asciiTheme="minorHAnsi" w:hAnsiTheme="minorHAnsi"/>
        </w:rPr>
        <w:t>gnacji nawierzchni – należy uży</w:t>
      </w:r>
      <w:r w:rsidRPr="005E6FEF">
        <w:rPr>
          <w:rFonts w:asciiTheme="minorHAnsi" w:eastAsia="TimesNewRoman" w:hAnsiTheme="minorHAnsi"/>
        </w:rPr>
        <w:t xml:space="preserve">ć </w:t>
      </w:r>
      <w:r w:rsidRPr="005E6FEF">
        <w:rPr>
          <w:rFonts w:asciiTheme="minorHAnsi" w:hAnsiTheme="minorHAnsi"/>
        </w:rPr>
        <w:t>grunt piaszczysty. Do zaprawy należy stosowa</w:t>
      </w:r>
      <w:r w:rsidRPr="005E6FEF">
        <w:rPr>
          <w:rFonts w:asciiTheme="minorHAnsi" w:eastAsia="TimesNewRoman" w:hAnsiTheme="minorHAnsi"/>
        </w:rPr>
        <w:t xml:space="preserve">ć </w:t>
      </w:r>
      <w:r w:rsidRPr="005E6FEF">
        <w:rPr>
          <w:rFonts w:asciiTheme="minorHAnsi" w:hAnsiTheme="minorHAnsi"/>
        </w:rPr>
        <w:t>kruszywo 0/2 wg PN-EN 13139 kat 2 może zawiera</w:t>
      </w:r>
      <w:r w:rsidRPr="005E6FEF">
        <w:rPr>
          <w:rFonts w:asciiTheme="minorHAnsi" w:eastAsia="TimesNewRoman" w:hAnsiTheme="minorHAnsi"/>
        </w:rPr>
        <w:t xml:space="preserve">ć </w:t>
      </w:r>
      <w:r w:rsidRPr="005E6FEF">
        <w:rPr>
          <w:rFonts w:asciiTheme="minorHAnsi" w:hAnsiTheme="minorHAnsi"/>
        </w:rPr>
        <w:t>do 5% pyłów (ziarna pon. 0,063%).</w:t>
      </w:r>
    </w:p>
    <w:p w:rsidR="005E6FEF" w:rsidRPr="005E6FEF" w:rsidRDefault="005E6FEF" w:rsidP="005E6FEF">
      <w:pPr>
        <w:pStyle w:val="Nagwek4"/>
        <w:rPr>
          <w:rFonts w:asciiTheme="minorHAnsi" w:hAnsiTheme="minorHAnsi"/>
        </w:rPr>
      </w:pPr>
      <w:r w:rsidRPr="005E6FEF">
        <w:rPr>
          <w:rFonts w:asciiTheme="minorHAnsi" w:hAnsiTheme="minorHAnsi"/>
        </w:rPr>
        <w:t>2.</w:t>
      </w:r>
      <w:r w:rsidR="00C32050">
        <w:rPr>
          <w:rFonts w:asciiTheme="minorHAnsi" w:hAnsiTheme="minorHAnsi"/>
        </w:rPr>
        <w:t>6</w:t>
      </w:r>
      <w:r w:rsidRPr="005E6FEF">
        <w:rPr>
          <w:rFonts w:asciiTheme="minorHAnsi" w:hAnsiTheme="minorHAnsi"/>
        </w:rPr>
        <w:t>. Woda</w:t>
      </w:r>
    </w:p>
    <w:p w:rsidR="005E6FEF" w:rsidRPr="005E6FEF" w:rsidRDefault="005E6FEF" w:rsidP="005E6FEF">
      <w:pPr>
        <w:rPr>
          <w:rFonts w:asciiTheme="minorHAnsi" w:hAnsiTheme="minorHAnsi"/>
        </w:rPr>
      </w:pPr>
      <w:r w:rsidRPr="005E6FEF">
        <w:rPr>
          <w:rFonts w:asciiTheme="minorHAnsi" w:hAnsiTheme="minorHAnsi"/>
        </w:rPr>
        <w:t>Woda stosowana do podsypki i zaprawy cementowo-piaskowej, powinna odpowiadać wymaganiom PN-EN-1008:2004. Badania wody należy wykonywać:</w:t>
      </w:r>
    </w:p>
    <w:p w:rsidR="005E6FEF" w:rsidRPr="005E6FEF" w:rsidRDefault="005E6FEF" w:rsidP="005E6FEF">
      <w:pPr>
        <w:numPr>
          <w:ilvl w:val="0"/>
          <w:numId w:val="38"/>
        </w:numPr>
        <w:ind w:left="284" w:hanging="284"/>
        <w:rPr>
          <w:rFonts w:asciiTheme="minorHAnsi" w:hAnsiTheme="minorHAnsi"/>
        </w:rPr>
      </w:pPr>
      <w:r w:rsidRPr="005E6FEF">
        <w:rPr>
          <w:rFonts w:asciiTheme="minorHAnsi" w:hAnsiTheme="minorHAnsi"/>
        </w:rPr>
        <w:t>w przypadku nowego źródła poboru wody,</w:t>
      </w:r>
    </w:p>
    <w:p w:rsidR="005E6FEF" w:rsidRPr="005E6FEF" w:rsidRDefault="005E6FEF" w:rsidP="005E6FEF">
      <w:pPr>
        <w:numPr>
          <w:ilvl w:val="0"/>
          <w:numId w:val="38"/>
        </w:numPr>
        <w:ind w:left="284" w:hanging="284"/>
        <w:rPr>
          <w:rFonts w:asciiTheme="minorHAnsi" w:hAnsiTheme="minorHAnsi"/>
        </w:rPr>
      </w:pPr>
      <w:r w:rsidRPr="005E6FEF">
        <w:rPr>
          <w:rFonts w:asciiTheme="minorHAnsi" w:hAnsiTheme="minorHAnsi"/>
        </w:rPr>
        <w:t>w przypadku podejrzeń dotyczących zmiany parametrów wody, np. zmętnienia, zapachu, barwy.</w:t>
      </w:r>
    </w:p>
    <w:p w:rsidR="005E6FEF" w:rsidRPr="005E6FEF" w:rsidRDefault="005E6FEF" w:rsidP="005E6FEF">
      <w:pPr>
        <w:rPr>
          <w:rFonts w:asciiTheme="minorHAnsi" w:hAnsiTheme="minorHAnsi"/>
        </w:rPr>
      </w:pPr>
    </w:p>
    <w:p w:rsidR="005E6FEF" w:rsidRPr="005E6FEF" w:rsidRDefault="005E6FEF" w:rsidP="005E6FEF">
      <w:pPr>
        <w:overflowPunct/>
        <w:jc w:val="left"/>
        <w:textAlignment w:val="auto"/>
        <w:rPr>
          <w:rFonts w:asciiTheme="minorHAnsi" w:hAnsiTheme="minorHAnsi"/>
          <w:b/>
          <w:bCs/>
        </w:rPr>
      </w:pPr>
      <w:r w:rsidRPr="005E6FEF">
        <w:rPr>
          <w:rFonts w:asciiTheme="minorHAnsi" w:hAnsiTheme="minorHAnsi"/>
          <w:b/>
          <w:bCs/>
        </w:rPr>
        <w:t>2.</w:t>
      </w:r>
      <w:r w:rsidR="00C32050">
        <w:rPr>
          <w:rFonts w:asciiTheme="minorHAnsi" w:hAnsiTheme="minorHAnsi"/>
          <w:b/>
          <w:bCs/>
        </w:rPr>
        <w:t>7</w:t>
      </w:r>
      <w:r w:rsidRPr="005E6FEF">
        <w:rPr>
          <w:rFonts w:asciiTheme="minorHAnsi" w:hAnsiTheme="minorHAnsi"/>
          <w:b/>
          <w:bCs/>
        </w:rPr>
        <w:t>. Zalewa drogowa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Nale</w:t>
      </w:r>
      <w:r w:rsidRPr="005E6FEF">
        <w:rPr>
          <w:rFonts w:asciiTheme="minorHAnsi" w:eastAsia="TimesNewRoman" w:hAnsiTheme="minorHAnsi" w:cs="TimesNewRoman"/>
        </w:rPr>
        <w:t>ż</w:t>
      </w:r>
      <w:r w:rsidRPr="005E6FEF">
        <w:rPr>
          <w:rFonts w:asciiTheme="minorHAnsi" w:hAnsiTheme="minorHAnsi"/>
        </w:rPr>
        <w:t>y stosowa</w:t>
      </w:r>
      <w:r w:rsidRPr="005E6FEF">
        <w:rPr>
          <w:rFonts w:asciiTheme="minorHAnsi" w:eastAsia="TimesNewRoman" w:hAnsiTheme="minorHAnsi" w:cs="TimesNewRoman"/>
        </w:rPr>
        <w:t xml:space="preserve">ć </w:t>
      </w:r>
      <w:r w:rsidRPr="005E6FEF">
        <w:rPr>
          <w:rFonts w:asciiTheme="minorHAnsi" w:hAnsiTheme="minorHAnsi"/>
        </w:rPr>
        <w:t>zalewy drogowe nagor</w:t>
      </w:r>
      <w:r w:rsidRPr="005E6FEF">
        <w:rPr>
          <w:rFonts w:asciiTheme="minorHAnsi" w:eastAsia="TimesNewRoman" w:hAnsiTheme="minorHAnsi" w:cs="TimesNewRoman"/>
        </w:rPr>
        <w:t>ą</w:t>
      </w:r>
      <w:r w:rsidRPr="005E6FEF">
        <w:rPr>
          <w:rFonts w:asciiTheme="minorHAnsi" w:hAnsiTheme="minorHAnsi"/>
        </w:rPr>
        <w:t>co wg PN-EN 14188-1 lub na zimno wg PN-EN 14188-2.</w:t>
      </w:r>
    </w:p>
    <w:p w:rsidR="005E6FEF" w:rsidRPr="005E6FEF" w:rsidRDefault="005E6FEF" w:rsidP="005E6FEF">
      <w:pPr>
        <w:pStyle w:val="Nagwek3"/>
        <w:rPr>
          <w:rFonts w:asciiTheme="minorHAnsi" w:hAnsiTheme="minorHAnsi"/>
        </w:rPr>
      </w:pPr>
      <w:bookmarkStart w:id="1277" w:name="_Toc422115848"/>
      <w:r w:rsidRPr="005E6FEF">
        <w:rPr>
          <w:rFonts w:asciiTheme="minorHAnsi" w:hAnsiTheme="minorHAnsi"/>
        </w:rPr>
        <w:t>3. SPRZĘT</w:t>
      </w:r>
      <w:bookmarkEnd w:id="1277"/>
    </w:p>
    <w:p w:rsidR="005E6FEF" w:rsidRPr="005E6FEF" w:rsidRDefault="005E6FEF" w:rsidP="005E6FEF">
      <w:pPr>
        <w:pStyle w:val="Nagwek4"/>
        <w:rPr>
          <w:rFonts w:asciiTheme="minorHAnsi" w:hAnsiTheme="minorHAnsi"/>
        </w:rPr>
      </w:pPr>
      <w:r w:rsidRPr="005E6FEF">
        <w:rPr>
          <w:rFonts w:asciiTheme="minorHAnsi" w:hAnsiTheme="minorHAnsi"/>
        </w:rPr>
        <w:t>3.1. Ogólne wymagania dotyczące sprzętu</w:t>
      </w:r>
    </w:p>
    <w:p w:rsidR="005E6FEF" w:rsidRPr="005E6FEF" w:rsidRDefault="005E6FEF" w:rsidP="005E6FEF">
      <w:pPr>
        <w:rPr>
          <w:rFonts w:asciiTheme="minorHAnsi" w:hAnsiTheme="minorHAnsi"/>
        </w:rPr>
      </w:pPr>
      <w:r w:rsidRPr="005E6FEF">
        <w:rPr>
          <w:rFonts w:asciiTheme="minorHAnsi" w:hAnsiTheme="minorHAnsi"/>
        </w:rPr>
        <w:t>Ogólne wymagania dotyczące sprzętu podano w STWiORB D-M-00.00.00 „Wymagania ogólne” pkt 3.</w:t>
      </w:r>
    </w:p>
    <w:p w:rsidR="005E6FEF" w:rsidRPr="005E6FEF" w:rsidRDefault="005E6FEF" w:rsidP="005E6FEF">
      <w:pPr>
        <w:pStyle w:val="Nagwek4"/>
        <w:rPr>
          <w:rFonts w:asciiTheme="minorHAnsi" w:hAnsiTheme="minorHAnsi"/>
        </w:rPr>
      </w:pPr>
      <w:r w:rsidRPr="005E6FEF">
        <w:rPr>
          <w:rFonts w:asciiTheme="minorHAnsi" w:hAnsiTheme="minorHAnsi"/>
        </w:rPr>
        <w:t>3.2. Sprzęt do wykonania nawierzchni z kostki kamiennej</w:t>
      </w:r>
    </w:p>
    <w:p w:rsidR="005E6FEF" w:rsidRPr="005E6FEF" w:rsidRDefault="005E6FEF" w:rsidP="005E6FEF">
      <w:pPr>
        <w:rPr>
          <w:rFonts w:asciiTheme="minorHAnsi" w:hAnsiTheme="minorHAnsi"/>
        </w:rPr>
      </w:pPr>
      <w:r w:rsidRPr="005E6FEF">
        <w:rPr>
          <w:rFonts w:asciiTheme="minorHAnsi" w:hAnsiTheme="minorHAnsi"/>
        </w:rPr>
        <w:t>Wykonawca przystępujący do wykonania nawierzchni z kostek kamiennych powinien wykazać się możliwością korzystania z następującego sprzętu:</w:t>
      </w:r>
    </w:p>
    <w:p w:rsidR="005E6FEF" w:rsidRPr="005E6FEF" w:rsidRDefault="005E6FEF" w:rsidP="005E6FEF">
      <w:pPr>
        <w:numPr>
          <w:ilvl w:val="0"/>
          <w:numId w:val="38"/>
        </w:numPr>
        <w:ind w:left="284" w:hanging="284"/>
        <w:rPr>
          <w:rFonts w:asciiTheme="minorHAnsi" w:hAnsiTheme="minorHAnsi"/>
        </w:rPr>
      </w:pPr>
      <w:r w:rsidRPr="005E6FEF">
        <w:rPr>
          <w:rFonts w:asciiTheme="minorHAnsi" w:hAnsiTheme="minorHAnsi"/>
        </w:rPr>
        <w:t>betoniarki, do wytwarzania betonu i zapraw oraz przygotowywania podsypki cementowo-piaskowej,</w:t>
      </w:r>
    </w:p>
    <w:p w:rsidR="005E6FEF" w:rsidRPr="005E6FEF" w:rsidRDefault="005E6FEF" w:rsidP="005E6FEF">
      <w:pPr>
        <w:numPr>
          <w:ilvl w:val="0"/>
          <w:numId w:val="38"/>
        </w:numPr>
        <w:ind w:left="284" w:hanging="284"/>
        <w:rPr>
          <w:rFonts w:asciiTheme="minorHAnsi" w:hAnsiTheme="minorHAnsi"/>
        </w:rPr>
      </w:pPr>
      <w:r w:rsidRPr="005E6FEF">
        <w:rPr>
          <w:rFonts w:asciiTheme="minorHAnsi" w:hAnsiTheme="minorHAnsi"/>
        </w:rPr>
        <w:t>ubijaków ręcznych i mechanicznych, do ubijania kostki,</w:t>
      </w:r>
    </w:p>
    <w:p w:rsidR="005E6FEF" w:rsidRPr="005E6FEF" w:rsidRDefault="005E6FEF" w:rsidP="005E6FEF">
      <w:pPr>
        <w:numPr>
          <w:ilvl w:val="0"/>
          <w:numId w:val="38"/>
        </w:numPr>
        <w:ind w:left="284" w:hanging="284"/>
        <w:rPr>
          <w:rFonts w:asciiTheme="minorHAnsi" w:hAnsiTheme="minorHAnsi"/>
        </w:rPr>
      </w:pPr>
      <w:r w:rsidRPr="005E6FEF">
        <w:rPr>
          <w:rFonts w:asciiTheme="minorHAnsi" w:hAnsiTheme="minorHAnsi"/>
        </w:rPr>
        <w:t>wibratorów płytowych i lekkich walców wibracyjnych, do ubijania kostki po pierwszym ubiciu ręcznym.</w:t>
      </w:r>
    </w:p>
    <w:p w:rsidR="005E6FEF" w:rsidRPr="005E6FEF" w:rsidRDefault="005E6FEF" w:rsidP="005E6FEF">
      <w:pPr>
        <w:pStyle w:val="Nagwek3"/>
        <w:rPr>
          <w:rFonts w:asciiTheme="minorHAnsi" w:hAnsiTheme="minorHAnsi"/>
        </w:rPr>
      </w:pPr>
      <w:bookmarkStart w:id="1278" w:name="_Toc422115849"/>
      <w:r w:rsidRPr="005E6FEF">
        <w:rPr>
          <w:rFonts w:asciiTheme="minorHAnsi" w:hAnsiTheme="minorHAnsi"/>
        </w:rPr>
        <w:lastRenderedPageBreak/>
        <w:t>4. TRANSPORT</w:t>
      </w:r>
      <w:bookmarkEnd w:id="1278"/>
    </w:p>
    <w:p w:rsidR="005E6FEF" w:rsidRPr="005E6FEF" w:rsidRDefault="005E6FEF" w:rsidP="005E6FEF">
      <w:pPr>
        <w:pStyle w:val="Nagwek4"/>
        <w:rPr>
          <w:rFonts w:asciiTheme="minorHAnsi" w:hAnsiTheme="minorHAnsi"/>
        </w:rPr>
      </w:pPr>
      <w:r w:rsidRPr="005E6FEF">
        <w:rPr>
          <w:rFonts w:asciiTheme="minorHAnsi" w:hAnsiTheme="minorHAnsi"/>
        </w:rPr>
        <w:t>4.1. Ogólne wymagania dotyczące transportu</w:t>
      </w:r>
    </w:p>
    <w:p w:rsidR="005E6FEF" w:rsidRPr="005E6FEF" w:rsidRDefault="005E6FEF" w:rsidP="005E6FEF">
      <w:pPr>
        <w:rPr>
          <w:rFonts w:asciiTheme="minorHAnsi" w:hAnsiTheme="minorHAnsi"/>
        </w:rPr>
      </w:pPr>
      <w:r w:rsidRPr="005E6FEF">
        <w:rPr>
          <w:rFonts w:asciiTheme="minorHAnsi" w:hAnsiTheme="minorHAnsi"/>
        </w:rPr>
        <w:t>Ogólne wymagania dotyczące transportu podano w STWiORB D-M-00.00.00 „Wymagania ogólne” pkt 4.</w:t>
      </w:r>
    </w:p>
    <w:p w:rsidR="005E6FEF" w:rsidRPr="005E6FEF" w:rsidRDefault="005E6FEF" w:rsidP="005E6FEF">
      <w:pPr>
        <w:pStyle w:val="Nagwek4"/>
        <w:rPr>
          <w:rFonts w:asciiTheme="minorHAnsi" w:hAnsiTheme="minorHAnsi"/>
        </w:rPr>
      </w:pPr>
      <w:r w:rsidRPr="005E6FEF">
        <w:rPr>
          <w:rFonts w:asciiTheme="minorHAnsi" w:hAnsiTheme="minorHAnsi"/>
        </w:rPr>
        <w:t>4.2. Transport wyrobów</w:t>
      </w:r>
    </w:p>
    <w:p w:rsidR="005E6FEF" w:rsidRPr="005E6FEF" w:rsidRDefault="005E6FEF" w:rsidP="005E6FEF">
      <w:pPr>
        <w:pStyle w:val="Nagwek5"/>
        <w:rPr>
          <w:rFonts w:asciiTheme="minorHAnsi" w:hAnsiTheme="minorHAnsi"/>
        </w:rPr>
      </w:pPr>
      <w:r w:rsidRPr="005E6FEF">
        <w:rPr>
          <w:rFonts w:asciiTheme="minorHAnsi" w:hAnsiTheme="minorHAnsi"/>
        </w:rPr>
        <w:t>4.2.1. Transport kostek kamiennych</w:t>
      </w:r>
    </w:p>
    <w:p w:rsidR="005E6FEF" w:rsidRPr="005E6FEF" w:rsidRDefault="005E6FEF" w:rsidP="005E6FEF">
      <w:pPr>
        <w:rPr>
          <w:rFonts w:asciiTheme="minorHAnsi" w:hAnsiTheme="minorHAnsi"/>
        </w:rPr>
      </w:pPr>
      <w:r w:rsidRPr="005E6FEF">
        <w:rPr>
          <w:rFonts w:asciiTheme="minorHAnsi" w:hAnsiTheme="minorHAnsi"/>
        </w:rPr>
        <w:t>Kostki kamienne przewozi się dowolnymi środkami transportowymi.</w:t>
      </w:r>
    </w:p>
    <w:p w:rsidR="005E6FEF" w:rsidRPr="005E6FEF" w:rsidRDefault="005E6FEF" w:rsidP="005E6FEF">
      <w:pPr>
        <w:rPr>
          <w:rFonts w:asciiTheme="minorHAnsi" w:hAnsiTheme="minorHAnsi"/>
        </w:rPr>
      </w:pPr>
      <w:r w:rsidRPr="005E6FEF">
        <w:rPr>
          <w:rFonts w:asciiTheme="minorHAnsi" w:hAnsiTheme="minorHAnsi"/>
        </w:rPr>
        <w:t>Kostkę należy układać na podłodze obok siebie tak, aby wypełniła całą powierzchnię środka transportowego. Na tak ułożonej warstwie należy bezpośrednio układać następne warstwy.</w:t>
      </w:r>
    </w:p>
    <w:p w:rsidR="005E6FEF" w:rsidRPr="005E6FEF" w:rsidRDefault="005E6FEF" w:rsidP="005E6FEF">
      <w:pPr>
        <w:rPr>
          <w:rFonts w:asciiTheme="minorHAnsi" w:hAnsiTheme="minorHAnsi"/>
        </w:rPr>
      </w:pPr>
      <w:r w:rsidRPr="005E6FEF">
        <w:rPr>
          <w:rFonts w:asciiTheme="minorHAnsi" w:hAnsiTheme="minorHAnsi"/>
        </w:rPr>
        <w:t xml:space="preserve">Kostkę należy ustawiać w stosy. </w:t>
      </w:r>
    </w:p>
    <w:p w:rsidR="005E6FEF" w:rsidRPr="005E6FEF" w:rsidRDefault="005E6FEF" w:rsidP="005E6FEF">
      <w:pPr>
        <w:pStyle w:val="Nagwek5"/>
        <w:rPr>
          <w:rFonts w:asciiTheme="minorHAnsi" w:hAnsiTheme="minorHAnsi"/>
        </w:rPr>
      </w:pPr>
      <w:r w:rsidRPr="005E6FEF">
        <w:rPr>
          <w:rFonts w:asciiTheme="minorHAnsi" w:hAnsiTheme="minorHAnsi"/>
        </w:rPr>
        <w:t>4.2.2.  Transport kruszywa</w:t>
      </w:r>
    </w:p>
    <w:p w:rsidR="005E6FEF" w:rsidRPr="005E6FEF" w:rsidRDefault="005E6FEF" w:rsidP="005E6FEF">
      <w:pPr>
        <w:rPr>
          <w:rFonts w:asciiTheme="minorHAnsi" w:hAnsiTheme="minorHAnsi"/>
        </w:rPr>
      </w:pPr>
      <w:r w:rsidRPr="005E6FEF">
        <w:rPr>
          <w:rFonts w:asciiTheme="minorHAnsi" w:hAnsiTheme="minorHAnsi"/>
        </w:rPr>
        <w:t>Kruszywo można przewozić dowolnymi środkami transportowymi w warunkach zabezpieczających je przed rozsypywaniem i zanieczyszczeniem.</w:t>
      </w:r>
    </w:p>
    <w:p w:rsidR="005E6FEF" w:rsidRPr="005E6FEF" w:rsidRDefault="005E6FEF" w:rsidP="005E6FEF">
      <w:pPr>
        <w:pStyle w:val="Nagwek3"/>
        <w:rPr>
          <w:rFonts w:asciiTheme="minorHAnsi" w:hAnsiTheme="minorHAnsi"/>
        </w:rPr>
      </w:pPr>
      <w:bookmarkStart w:id="1279" w:name="_Toc422115850"/>
      <w:r w:rsidRPr="005E6FEF">
        <w:rPr>
          <w:rFonts w:asciiTheme="minorHAnsi" w:hAnsiTheme="minorHAnsi"/>
        </w:rPr>
        <w:t>5. WYKONANIE ROBÓT</w:t>
      </w:r>
      <w:bookmarkEnd w:id="1279"/>
    </w:p>
    <w:p w:rsidR="005E6FEF" w:rsidRPr="005E6FEF" w:rsidRDefault="005E6FEF" w:rsidP="005E6FEF">
      <w:pPr>
        <w:pStyle w:val="Nagwek4"/>
        <w:rPr>
          <w:rFonts w:asciiTheme="minorHAnsi" w:hAnsiTheme="minorHAnsi"/>
        </w:rPr>
      </w:pPr>
      <w:r w:rsidRPr="005E6FEF">
        <w:rPr>
          <w:rFonts w:asciiTheme="minorHAnsi" w:hAnsiTheme="minorHAnsi"/>
        </w:rPr>
        <w:t>5.1. Ogólne zasady wykonania robót</w:t>
      </w:r>
    </w:p>
    <w:p w:rsidR="005E6FEF" w:rsidRPr="005E6FEF" w:rsidRDefault="005E6FEF" w:rsidP="005E6FEF">
      <w:pPr>
        <w:rPr>
          <w:rFonts w:asciiTheme="minorHAnsi" w:hAnsiTheme="minorHAnsi"/>
        </w:rPr>
      </w:pPr>
      <w:r w:rsidRPr="005E6FEF">
        <w:rPr>
          <w:rFonts w:asciiTheme="minorHAnsi" w:hAnsiTheme="minorHAnsi"/>
        </w:rPr>
        <w:t>Ogólne zasady wykonania robót podano w STWiORB D-M-00.00.00 „Wymagania ogólne” pkt 5.</w:t>
      </w:r>
    </w:p>
    <w:p w:rsidR="005E6FEF" w:rsidRPr="005E6FEF" w:rsidRDefault="005E6FEF" w:rsidP="005E6FEF">
      <w:pPr>
        <w:pStyle w:val="Nagwek4"/>
        <w:rPr>
          <w:rFonts w:asciiTheme="minorHAnsi" w:hAnsiTheme="minorHAnsi"/>
        </w:rPr>
      </w:pPr>
      <w:r w:rsidRPr="005E6FEF">
        <w:rPr>
          <w:rFonts w:asciiTheme="minorHAnsi" w:hAnsiTheme="minorHAnsi"/>
        </w:rPr>
        <w:t>5.2. Przygotowanie podbudowy</w:t>
      </w:r>
    </w:p>
    <w:p w:rsidR="005E6FEF" w:rsidRPr="005E6FEF" w:rsidRDefault="005E6FEF" w:rsidP="005E6FEF">
      <w:pPr>
        <w:rPr>
          <w:rFonts w:asciiTheme="minorHAnsi" w:hAnsiTheme="minorHAnsi"/>
        </w:rPr>
      </w:pPr>
      <w:r w:rsidRPr="005E6FEF">
        <w:rPr>
          <w:rFonts w:asciiTheme="minorHAnsi" w:hAnsiTheme="minorHAnsi"/>
        </w:rPr>
        <w:t>Podłoże powinno odpowiadać wymaganiom zawartym w STWiORB D-04.06.01   Podbudowa z betonu,</w:t>
      </w:r>
    </w:p>
    <w:p w:rsidR="005E6FEF" w:rsidRPr="005E6FEF" w:rsidRDefault="005E6FEF" w:rsidP="005E6FEF">
      <w:pPr>
        <w:pStyle w:val="Nagwek4"/>
        <w:rPr>
          <w:rFonts w:asciiTheme="minorHAnsi" w:hAnsiTheme="minorHAnsi"/>
        </w:rPr>
      </w:pPr>
      <w:r w:rsidRPr="005E6FEF">
        <w:rPr>
          <w:rFonts w:asciiTheme="minorHAnsi" w:hAnsiTheme="minorHAnsi"/>
        </w:rPr>
        <w:t>5.3. Podsypka</w:t>
      </w:r>
    </w:p>
    <w:p w:rsidR="005E6FEF" w:rsidRPr="005E6FEF" w:rsidRDefault="005E6FEF" w:rsidP="005E6FEF">
      <w:pPr>
        <w:rPr>
          <w:rFonts w:asciiTheme="minorHAnsi" w:hAnsiTheme="minorHAnsi"/>
        </w:rPr>
      </w:pPr>
      <w:r w:rsidRPr="005E6FEF">
        <w:rPr>
          <w:rFonts w:asciiTheme="minorHAnsi" w:hAnsiTheme="minorHAnsi"/>
        </w:rPr>
        <w:t>Do wykonania nawierzchni z kostki kamiennej należy stosować podsypkę cementowo-piaskową,</w:t>
      </w:r>
    </w:p>
    <w:p w:rsidR="005E6FEF" w:rsidRPr="005E6FEF" w:rsidRDefault="005E6FEF" w:rsidP="005E6FEF">
      <w:pPr>
        <w:rPr>
          <w:rFonts w:asciiTheme="minorHAnsi" w:hAnsiTheme="minorHAnsi"/>
        </w:rPr>
      </w:pPr>
      <w:r w:rsidRPr="005E6FEF">
        <w:rPr>
          <w:rFonts w:asciiTheme="minorHAnsi" w:hAnsiTheme="minorHAnsi"/>
        </w:rPr>
        <w:t>Wymagania dla wyrobów stosowanych na podsypkę powinny być zgodne z pkt 2 niniejszej STWiORB oraz z PN-S-96026:1958.</w:t>
      </w:r>
    </w:p>
    <w:p w:rsidR="005E6FEF" w:rsidRPr="005E6FEF" w:rsidRDefault="005E6FEF" w:rsidP="005E6FEF">
      <w:pPr>
        <w:rPr>
          <w:rFonts w:asciiTheme="minorHAnsi" w:hAnsiTheme="minorHAnsi"/>
        </w:rPr>
      </w:pPr>
      <w:r w:rsidRPr="005E6FEF">
        <w:rPr>
          <w:rFonts w:asciiTheme="minorHAnsi" w:hAnsiTheme="minorHAnsi"/>
        </w:rPr>
        <w:t>Grubość podsypki powinna być zgodna z dokumentacją projektową.</w:t>
      </w:r>
    </w:p>
    <w:p w:rsidR="005E6FEF" w:rsidRPr="005E6FEF" w:rsidRDefault="005E6FEF" w:rsidP="005E6FEF">
      <w:pPr>
        <w:rPr>
          <w:rFonts w:asciiTheme="minorHAnsi" w:hAnsiTheme="minorHAnsi"/>
        </w:rPr>
      </w:pPr>
      <w:r w:rsidRPr="005E6FEF">
        <w:rPr>
          <w:rFonts w:asciiTheme="minorHAnsi" w:hAnsiTheme="minorHAnsi"/>
        </w:rPr>
        <w:t>Współczynnik wodnocementowy dla podsypki cementowo-piaskowej powinien wynosić od 0,20 do 0,35, a wytrzymałość na ściskanie R</w:t>
      </w:r>
      <w:r w:rsidRPr="005E6FEF">
        <w:rPr>
          <w:rFonts w:asciiTheme="minorHAnsi" w:hAnsiTheme="minorHAnsi"/>
          <w:vertAlign w:val="subscript"/>
        </w:rPr>
        <w:t>7</w:t>
      </w:r>
      <w:r w:rsidRPr="005E6FEF">
        <w:rPr>
          <w:rFonts w:asciiTheme="minorHAnsi" w:hAnsiTheme="minorHAnsi"/>
        </w:rPr>
        <w:t xml:space="preserve"> = 10 MPa, R</w:t>
      </w:r>
      <w:r w:rsidRPr="005E6FEF">
        <w:rPr>
          <w:rFonts w:asciiTheme="minorHAnsi" w:hAnsiTheme="minorHAnsi"/>
          <w:vertAlign w:val="subscript"/>
        </w:rPr>
        <w:t>28</w:t>
      </w:r>
      <w:r w:rsidRPr="005E6FEF">
        <w:rPr>
          <w:rFonts w:asciiTheme="minorHAnsi" w:hAnsiTheme="minorHAnsi"/>
        </w:rPr>
        <w:t xml:space="preserve"> = 14 MPa. </w:t>
      </w:r>
    </w:p>
    <w:p w:rsidR="005E6FEF" w:rsidRPr="005E6FEF" w:rsidRDefault="005E6FEF" w:rsidP="005E6FEF">
      <w:pPr>
        <w:pStyle w:val="Nagwek4"/>
        <w:rPr>
          <w:rFonts w:asciiTheme="minorHAnsi" w:hAnsiTheme="minorHAnsi"/>
        </w:rPr>
      </w:pPr>
      <w:r w:rsidRPr="005E6FEF">
        <w:rPr>
          <w:rFonts w:asciiTheme="minorHAnsi" w:hAnsiTheme="minorHAnsi"/>
        </w:rPr>
        <w:t>5.5. Układanie nawierzchni z kostki kamiennej</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a) układanie kostki</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Roboty zwi</w:t>
      </w:r>
      <w:r w:rsidRPr="005E6FEF">
        <w:rPr>
          <w:rFonts w:asciiTheme="minorHAnsi" w:eastAsia="TimesNewRoman" w:hAnsiTheme="minorHAnsi"/>
        </w:rPr>
        <w:t>ą</w:t>
      </w:r>
      <w:r w:rsidRPr="005E6FEF">
        <w:rPr>
          <w:rFonts w:asciiTheme="minorHAnsi" w:hAnsiTheme="minorHAnsi"/>
        </w:rPr>
        <w:t>zane z układaniem kostki wykonane b</w:t>
      </w:r>
      <w:r w:rsidRPr="005E6FEF">
        <w:rPr>
          <w:rFonts w:asciiTheme="minorHAnsi" w:eastAsia="TimesNewRoman" w:hAnsiTheme="minorHAnsi"/>
        </w:rPr>
        <w:t>ę</w:t>
      </w:r>
      <w:r w:rsidRPr="005E6FEF">
        <w:rPr>
          <w:rFonts w:asciiTheme="minorHAnsi" w:hAnsiTheme="minorHAnsi"/>
        </w:rPr>
        <w:t>d</w:t>
      </w:r>
      <w:r w:rsidRPr="005E6FEF">
        <w:rPr>
          <w:rFonts w:asciiTheme="minorHAnsi" w:eastAsia="TimesNewRoman" w:hAnsiTheme="minorHAnsi"/>
        </w:rPr>
        <w:t xml:space="preserve">ą </w:t>
      </w:r>
      <w:r w:rsidRPr="005E6FEF">
        <w:rPr>
          <w:rFonts w:asciiTheme="minorHAnsi" w:hAnsiTheme="minorHAnsi"/>
        </w:rPr>
        <w:t>r</w:t>
      </w:r>
      <w:r w:rsidRPr="005E6FEF">
        <w:rPr>
          <w:rFonts w:asciiTheme="minorHAnsi" w:eastAsia="TimesNewRoman" w:hAnsiTheme="minorHAnsi"/>
        </w:rPr>
        <w:t>ę</w:t>
      </w:r>
      <w:r w:rsidRPr="005E6FEF">
        <w:rPr>
          <w:rFonts w:asciiTheme="minorHAnsi" w:hAnsiTheme="minorHAnsi"/>
        </w:rPr>
        <w:t>cznie.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Szeroko</w:t>
      </w:r>
      <w:r w:rsidRPr="005E6FEF">
        <w:rPr>
          <w:rFonts w:asciiTheme="minorHAnsi" w:eastAsia="TimesNewRoman" w:hAnsiTheme="minorHAnsi"/>
        </w:rPr>
        <w:t xml:space="preserve">ść </w:t>
      </w:r>
      <w:r w:rsidRPr="005E6FEF">
        <w:rPr>
          <w:rFonts w:asciiTheme="minorHAnsi" w:hAnsiTheme="minorHAnsi"/>
        </w:rPr>
        <w:t>spoin mi</w:t>
      </w:r>
      <w:r w:rsidRPr="005E6FEF">
        <w:rPr>
          <w:rFonts w:asciiTheme="minorHAnsi" w:eastAsia="TimesNewRoman" w:hAnsiTheme="minorHAnsi"/>
        </w:rPr>
        <w:t>ę</w:t>
      </w:r>
      <w:r w:rsidRPr="005E6FEF">
        <w:rPr>
          <w:rFonts w:asciiTheme="minorHAnsi" w:hAnsiTheme="minorHAnsi"/>
        </w:rPr>
        <w:t>dzy kostkami oraz mi</w:t>
      </w:r>
      <w:r w:rsidRPr="005E6FEF">
        <w:rPr>
          <w:rFonts w:asciiTheme="minorHAnsi" w:eastAsia="TimesNewRoman" w:hAnsiTheme="minorHAnsi"/>
        </w:rPr>
        <w:t>ę</w:t>
      </w:r>
      <w:r w:rsidRPr="005E6FEF">
        <w:rPr>
          <w:rFonts w:asciiTheme="minorHAnsi" w:hAnsiTheme="minorHAnsi"/>
        </w:rPr>
        <w:t>dzy kostkami i kraw</w:t>
      </w:r>
      <w:r w:rsidRPr="005E6FEF">
        <w:rPr>
          <w:rFonts w:asciiTheme="minorHAnsi" w:eastAsia="TimesNewRoman" w:hAnsiTheme="minorHAnsi"/>
        </w:rPr>
        <w:t>ęż</w:t>
      </w:r>
      <w:r w:rsidRPr="005E6FEF">
        <w:rPr>
          <w:rFonts w:asciiTheme="minorHAnsi" w:hAnsiTheme="minorHAnsi"/>
        </w:rPr>
        <w:t>nikami nie powinna przekracza</w:t>
      </w:r>
      <w:r w:rsidRPr="005E6FEF">
        <w:rPr>
          <w:rFonts w:asciiTheme="minorHAnsi" w:eastAsia="TimesNewRoman" w:hAnsiTheme="minorHAnsi"/>
        </w:rPr>
        <w:t xml:space="preserve">ć </w:t>
      </w:r>
      <w:r w:rsidRPr="005E6FEF">
        <w:rPr>
          <w:rFonts w:asciiTheme="minorHAnsi" w:hAnsiTheme="minorHAnsi"/>
        </w:rPr>
        <w:t>1</w:t>
      </w:r>
      <w:r w:rsidR="00C32050">
        <w:rPr>
          <w:rFonts w:asciiTheme="minorHAnsi" w:hAnsiTheme="minorHAnsi"/>
        </w:rPr>
        <w:t>2</w:t>
      </w:r>
      <w:r w:rsidRPr="005E6FEF">
        <w:rPr>
          <w:rFonts w:asciiTheme="minorHAnsi" w:hAnsiTheme="minorHAnsi"/>
        </w:rPr>
        <w:t xml:space="preserve"> mm. Konieczne jest zatem odpowiednie docinanie kostek usytuowanych przy kraw</w:t>
      </w:r>
      <w:r w:rsidRPr="005E6FEF">
        <w:rPr>
          <w:rFonts w:asciiTheme="minorHAnsi" w:eastAsia="TimesNewRoman" w:hAnsiTheme="minorHAnsi"/>
        </w:rPr>
        <w:t>ęż</w:t>
      </w:r>
      <w:r w:rsidRPr="005E6FEF">
        <w:rPr>
          <w:rFonts w:asciiTheme="minorHAnsi" w:hAnsiTheme="minorHAnsi"/>
        </w:rPr>
        <w:t>nikach i szczelinach dylatacyjnych. Spoiny w s</w:t>
      </w:r>
      <w:r w:rsidRPr="005E6FEF">
        <w:rPr>
          <w:rFonts w:asciiTheme="minorHAnsi" w:eastAsia="TimesNewRoman" w:hAnsiTheme="minorHAnsi"/>
        </w:rPr>
        <w:t>ą</w:t>
      </w:r>
      <w:r w:rsidRPr="005E6FEF">
        <w:rPr>
          <w:rFonts w:asciiTheme="minorHAnsi" w:hAnsiTheme="minorHAnsi"/>
        </w:rPr>
        <w:t>siednich rz</w:t>
      </w:r>
      <w:r w:rsidRPr="005E6FEF">
        <w:rPr>
          <w:rFonts w:asciiTheme="minorHAnsi" w:eastAsia="TimesNewRoman" w:hAnsiTheme="minorHAnsi"/>
        </w:rPr>
        <w:t>ę</w:t>
      </w:r>
      <w:r w:rsidRPr="005E6FEF">
        <w:rPr>
          <w:rFonts w:asciiTheme="minorHAnsi" w:hAnsiTheme="minorHAnsi"/>
        </w:rPr>
        <w:t>dach powinny si</w:t>
      </w:r>
      <w:r w:rsidRPr="005E6FEF">
        <w:rPr>
          <w:rFonts w:asciiTheme="minorHAnsi" w:eastAsia="TimesNewRoman" w:hAnsiTheme="minorHAnsi"/>
        </w:rPr>
        <w:t xml:space="preserve">ę </w:t>
      </w:r>
      <w:r w:rsidRPr="005E6FEF">
        <w:rPr>
          <w:rFonts w:asciiTheme="minorHAnsi" w:hAnsiTheme="minorHAnsi"/>
        </w:rPr>
        <w:t>mija</w:t>
      </w:r>
      <w:r w:rsidRPr="005E6FEF">
        <w:rPr>
          <w:rFonts w:asciiTheme="minorHAnsi" w:eastAsia="TimesNewRoman" w:hAnsiTheme="minorHAnsi"/>
        </w:rPr>
        <w:t xml:space="preserve">ć </w:t>
      </w:r>
      <w:r w:rsidRPr="005E6FEF">
        <w:rPr>
          <w:rFonts w:asciiTheme="minorHAnsi" w:hAnsiTheme="minorHAnsi"/>
        </w:rPr>
        <w:t>co najmniej o ¼ szeroko</w:t>
      </w:r>
      <w:r w:rsidRPr="005E6FEF">
        <w:rPr>
          <w:rFonts w:asciiTheme="minorHAnsi" w:eastAsia="TimesNewRoman" w:hAnsiTheme="minorHAnsi"/>
        </w:rPr>
        <w:t>ś</w:t>
      </w:r>
      <w:r w:rsidRPr="005E6FEF">
        <w:rPr>
          <w:rFonts w:asciiTheme="minorHAnsi" w:hAnsiTheme="minorHAnsi"/>
        </w:rPr>
        <w:t>ci kostki.</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b) szczeliny dylatacyjne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Szczeliny nale</w:t>
      </w:r>
      <w:r w:rsidRPr="005E6FEF">
        <w:rPr>
          <w:rFonts w:asciiTheme="minorHAnsi" w:eastAsia="TimesNewRoman" w:hAnsiTheme="minorHAnsi"/>
        </w:rPr>
        <w:t>ż</w:t>
      </w:r>
      <w:r w:rsidRPr="005E6FEF">
        <w:rPr>
          <w:rFonts w:asciiTheme="minorHAnsi" w:hAnsiTheme="minorHAnsi"/>
        </w:rPr>
        <w:t>y stosowa</w:t>
      </w:r>
      <w:r w:rsidRPr="005E6FEF">
        <w:rPr>
          <w:rFonts w:asciiTheme="minorHAnsi" w:eastAsia="TimesNewRoman" w:hAnsiTheme="minorHAnsi"/>
        </w:rPr>
        <w:t xml:space="preserve">ć </w:t>
      </w:r>
      <w:r w:rsidRPr="005E6FEF">
        <w:rPr>
          <w:rFonts w:asciiTheme="minorHAnsi" w:hAnsiTheme="minorHAnsi"/>
        </w:rPr>
        <w:t>w nawierzchniach na podsypce cementowo-kruszywowej ze spoinami wypełnionymi zapraw</w:t>
      </w:r>
      <w:r w:rsidRPr="005E6FEF">
        <w:rPr>
          <w:rFonts w:asciiTheme="minorHAnsi" w:eastAsia="TimesNewRoman" w:hAnsiTheme="minorHAnsi"/>
        </w:rPr>
        <w:t xml:space="preserve">ą </w:t>
      </w:r>
      <w:r w:rsidRPr="005E6FEF">
        <w:rPr>
          <w:rFonts w:asciiTheme="minorHAnsi" w:hAnsiTheme="minorHAnsi"/>
        </w:rPr>
        <w:t>cementowo-kruszywow</w:t>
      </w:r>
      <w:r w:rsidRPr="005E6FEF">
        <w:rPr>
          <w:rFonts w:asciiTheme="minorHAnsi" w:eastAsia="TimesNewRoman" w:hAnsiTheme="minorHAnsi"/>
        </w:rPr>
        <w:t>ą</w:t>
      </w:r>
      <w:r w:rsidRPr="005E6FEF">
        <w:rPr>
          <w:rFonts w:asciiTheme="minorHAnsi" w:hAnsiTheme="minorHAnsi"/>
        </w:rPr>
        <w:t>.</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Szczeliny podłu</w:t>
      </w:r>
      <w:r w:rsidRPr="005E6FEF">
        <w:rPr>
          <w:rFonts w:asciiTheme="minorHAnsi" w:eastAsia="TimesNewRoman" w:hAnsiTheme="minorHAnsi"/>
        </w:rPr>
        <w:t>ż</w:t>
      </w:r>
      <w:r w:rsidRPr="005E6FEF">
        <w:rPr>
          <w:rFonts w:asciiTheme="minorHAnsi" w:hAnsiTheme="minorHAnsi"/>
        </w:rPr>
        <w:t>ne nale</w:t>
      </w:r>
      <w:r w:rsidRPr="005E6FEF">
        <w:rPr>
          <w:rFonts w:asciiTheme="minorHAnsi" w:eastAsia="TimesNewRoman" w:hAnsiTheme="minorHAnsi"/>
        </w:rPr>
        <w:t>ż</w:t>
      </w:r>
      <w:r w:rsidRPr="005E6FEF">
        <w:rPr>
          <w:rFonts w:asciiTheme="minorHAnsi" w:hAnsiTheme="minorHAnsi"/>
        </w:rPr>
        <w:t>y stosowa</w:t>
      </w:r>
      <w:r w:rsidRPr="005E6FEF">
        <w:rPr>
          <w:rFonts w:asciiTheme="minorHAnsi" w:eastAsia="TimesNewRoman" w:hAnsiTheme="minorHAnsi"/>
        </w:rPr>
        <w:t xml:space="preserve">ć </w:t>
      </w:r>
      <w:r w:rsidRPr="005E6FEF">
        <w:rPr>
          <w:rFonts w:asciiTheme="minorHAnsi" w:hAnsiTheme="minorHAnsi"/>
        </w:rPr>
        <w:t xml:space="preserve">przy </w:t>
      </w:r>
      <w:r w:rsidRPr="005E6FEF">
        <w:rPr>
          <w:rFonts w:asciiTheme="minorHAnsi" w:eastAsia="TimesNewRoman" w:hAnsiTheme="minorHAnsi"/>
        </w:rPr>
        <w:t>ś</w:t>
      </w:r>
      <w:r w:rsidRPr="005E6FEF">
        <w:rPr>
          <w:rFonts w:asciiTheme="minorHAnsi" w:hAnsiTheme="minorHAnsi"/>
        </w:rPr>
        <w:t>ciekach a poprzeczne co 10 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Szeroko</w:t>
      </w:r>
      <w:r w:rsidRPr="005E6FEF">
        <w:rPr>
          <w:rFonts w:asciiTheme="minorHAnsi" w:eastAsia="TimesNewRoman" w:hAnsiTheme="minorHAnsi"/>
        </w:rPr>
        <w:t xml:space="preserve">ść </w:t>
      </w:r>
      <w:r w:rsidRPr="005E6FEF">
        <w:rPr>
          <w:rFonts w:asciiTheme="minorHAnsi" w:hAnsiTheme="minorHAnsi"/>
        </w:rPr>
        <w:t>szczeliny powinna wynosi</w:t>
      </w:r>
      <w:r w:rsidRPr="005E6FEF">
        <w:rPr>
          <w:rFonts w:asciiTheme="minorHAnsi" w:eastAsia="TimesNewRoman" w:hAnsiTheme="minorHAnsi"/>
        </w:rPr>
        <w:t xml:space="preserve">ć </w:t>
      </w:r>
      <w:r w:rsidRPr="005E6FEF">
        <w:rPr>
          <w:rFonts w:asciiTheme="minorHAnsi" w:hAnsiTheme="minorHAnsi"/>
        </w:rPr>
        <w:t>8-12 mm.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Szczeliny nale</w:t>
      </w:r>
      <w:r w:rsidRPr="005E6FEF">
        <w:rPr>
          <w:rFonts w:asciiTheme="minorHAnsi" w:eastAsia="TimesNewRoman" w:hAnsiTheme="minorHAnsi"/>
        </w:rPr>
        <w:t>ż</w:t>
      </w:r>
      <w:r w:rsidRPr="005E6FEF">
        <w:rPr>
          <w:rFonts w:asciiTheme="minorHAnsi" w:hAnsiTheme="minorHAnsi"/>
        </w:rPr>
        <w:t>y wypełni</w:t>
      </w:r>
      <w:r w:rsidRPr="005E6FEF">
        <w:rPr>
          <w:rFonts w:asciiTheme="minorHAnsi" w:eastAsia="TimesNewRoman" w:hAnsiTheme="minorHAnsi"/>
        </w:rPr>
        <w:t xml:space="preserve">ć </w:t>
      </w:r>
      <w:r w:rsidRPr="005E6FEF">
        <w:rPr>
          <w:rFonts w:asciiTheme="minorHAnsi" w:hAnsiTheme="minorHAnsi"/>
        </w:rPr>
        <w:t>na całej wysoko</w:t>
      </w:r>
      <w:r w:rsidRPr="005E6FEF">
        <w:rPr>
          <w:rFonts w:asciiTheme="minorHAnsi" w:eastAsia="TimesNewRoman" w:hAnsiTheme="minorHAnsi"/>
        </w:rPr>
        <w:t>ś</w:t>
      </w:r>
      <w:r w:rsidRPr="005E6FEF">
        <w:rPr>
          <w:rFonts w:asciiTheme="minorHAnsi" w:hAnsiTheme="minorHAnsi"/>
        </w:rPr>
        <w:t>ci kostki zalew</w:t>
      </w:r>
      <w:r w:rsidRPr="005E6FEF">
        <w:rPr>
          <w:rFonts w:asciiTheme="minorHAnsi" w:eastAsia="TimesNewRoman" w:hAnsiTheme="minorHAnsi"/>
        </w:rPr>
        <w:t xml:space="preserve">ą </w:t>
      </w:r>
      <w:r w:rsidRPr="005E6FEF">
        <w:rPr>
          <w:rFonts w:asciiTheme="minorHAnsi" w:hAnsiTheme="minorHAnsi"/>
        </w:rPr>
        <w:t>drogow</w:t>
      </w:r>
      <w:r w:rsidRPr="005E6FEF">
        <w:rPr>
          <w:rFonts w:asciiTheme="minorHAnsi" w:eastAsia="TimesNewRoman" w:hAnsiTheme="minorHAnsi"/>
        </w:rPr>
        <w:t xml:space="preserve">ą </w:t>
      </w:r>
      <w:r w:rsidRPr="005E6FEF">
        <w:rPr>
          <w:rFonts w:asciiTheme="minorHAnsi" w:hAnsiTheme="minorHAnsi"/>
        </w:rPr>
        <w:t>wg p. 2.2.6.</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c) warunki przyst</w:t>
      </w:r>
      <w:r w:rsidRPr="005E6FEF">
        <w:rPr>
          <w:rFonts w:asciiTheme="minorHAnsi" w:eastAsia="TimesNewRoman" w:hAnsiTheme="minorHAnsi"/>
        </w:rPr>
        <w:t>ą</w:t>
      </w:r>
      <w:r w:rsidRPr="005E6FEF">
        <w:rPr>
          <w:rFonts w:asciiTheme="minorHAnsi" w:hAnsiTheme="minorHAnsi"/>
        </w:rPr>
        <w:t>pienia do robót</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Kostk</w:t>
      </w:r>
      <w:r w:rsidRPr="005E6FEF">
        <w:rPr>
          <w:rFonts w:asciiTheme="minorHAnsi" w:eastAsia="TimesNewRoman" w:hAnsiTheme="minorHAnsi"/>
        </w:rPr>
        <w:t xml:space="preserve">ę </w:t>
      </w:r>
      <w:r w:rsidRPr="005E6FEF">
        <w:rPr>
          <w:rFonts w:asciiTheme="minorHAnsi" w:hAnsiTheme="minorHAnsi"/>
        </w:rPr>
        <w:t>na zaprawie cementowo - kruszywowej mo</w:t>
      </w:r>
      <w:r w:rsidRPr="005E6FEF">
        <w:rPr>
          <w:rFonts w:asciiTheme="minorHAnsi" w:eastAsia="TimesNewRoman" w:hAnsiTheme="minorHAnsi"/>
        </w:rPr>
        <w:t>ż</w:t>
      </w:r>
      <w:r w:rsidRPr="005E6FEF">
        <w:rPr>
          <w:rFonts w:asciiTheme="minorHAnsi" w:hAnsiTheme="minorHAnsi"/>
        </w:rPr>
        <w:t>na układa</w:t>
      </w:r>
      <w:r w:rsidRPr="005E6FEF">
        <w:rPr>
          <w:rFonts w:asciiTheme="minorHAnsi" w:eastAsia="TimesNewRoman" w:hAnsiTheme="minorHAnsi"/>
        </w:rPr>
        <w:t xml:space="preserve">ć </w:t>
      </w:r>
      <w:r w:rsidRPr="005E6FEF">
        <w:rPr>
          <w:rFonts w:asciiTheme="minorHAnsi" w:hAnsiTheme="minorHAnsi"/>
        </w:rPr>
        <w:t xml:space="preserve">bez </w:t>
      </w:r>
      <w:r w:rsidRPr="005E6FEF">
        <w:rPr>
          <w:rFonts w:asciiTheme="minorHAnsi" w:eastAsia="TimesNewRoman" w:hAnsiTheme="minorHAnsi"/>
        </w:rPr>
        <w:t>ś</w:t>
      </w:r>
      <w:r w:rsidRPr="005E6FEF">
        <w:rPr>
          <w:rFonts w:asciiTheme="minorHAnsi" w:hAnsiTheme="minorHAnsi"/>
        </w:rPr>
        <w:t>rodków ochronnych przed mrozem, je</w:t>
      </w:r>
      <w:r w:rsidRPr="005E6FEF">
        <w:rPr>
          <w:rFonts w:asciiTheme="minorHAnsi" w:eastAsia="TimesNewRoman" w:hAnsiTheme="minorHAnsi"/>
        </w:rPr>
        <w:t>ż</w:t>
      </w:r>
      <w:r w:rsidRPr="005E6FEF">
        <w:rPr>
          <w:rFonts w:asciiTheme="minorHAnsi" w:hAnsiTheme="minorHAnsi"/>
        </w:rPr>
        <w:t>eli temperatura otoczenia wynosi minimum + 5°C.</w:t>
      </w:r>
    </w:p>
    <w:p w:rsidR="005E6FEF" w:rsidRPr="005E6FEF" w:rsidRDefault="005E6FEF" w:rsidP="005E6FEF">
      <w:pPr>
        <w:overflowPunct/>
        <w:jc w:val="left"/>
        <w:textAlignment w:val="auto"/>
        <w:rPr>
          <w:rFonts w:asciiTheme="minorHAnsi" w:hAnsiTheme="minorHAnsi"/>
        </w:rPr>
      </w:pPr>
      <w:r w:rsidRPr="005E6FEF">
        <w:rPr>
          <w:rFonts w:asciiTheme="minorHAnsi" w:eastAsia="TimesNewRoman" w:hAnsiTheme="minorHAnsi"/>
        </w:rPr>
        <w:t>Ś</w:t>
      </w:r>
      <w:r w:rsidRPr="005E6FEF">
        <w:rPr>
          <w:rFonts w:asciiTheme="minorHAnsi" w:hAnsiTheme="minorHAnsi"/>
        </w:rPr>
        <w:t>wie</w:t>
      </w:r>
      <w:r w:rsidRPr="005E6FEF">
        <w:rPr>
          <w:rFonts w:asciiTheme="minorHAnsi" w:eastAsia="TimesNewRoman" w:hAnsiTheme="minorHAnsi"/>
        </w:rPr>
        <w:t>ż</w:t>
      </w:r>
      <w:r w:rsidRPr="005E6FEF">
        <w:rPr>
          <w:rFonts w:asciiTheme="minorHAnsi" w:hAnsiTheme="minorHAnsi"/>
        </w:rPr>
        <w:t>o wykonan</w:t>
      </w:r>
      <w:r w:rsidRPr="005E6FEF">
        <w:rPr>
          <w:rFonts w:asciiTheme="minorHAnsi" w:eastAsia="TimesNewRoman" w:hAnsiTheme="minorHAnsi"/>
        </w:rPr>
        <w:t xml:space="preserve">ą </w:t>
      </w:r>
      <w:r w:rsidRPr="005E6FEF">
        <w:rPr>
          <w:rFonts w:asciiTheme="minorHAnsi" w:hAnsiTheme="minorHAnsi"/>
        </w:rPr>
        <w:t>nawierzchni</w:t>
      </w:r>
      <w:r w:rsidRPr="005E6FEF">
        <w:rPr>
          <w:rFonts w:asciiTheme="minorHAnsi" w:eastAsia="TimesNewRoman" w:hAnsiTheme="minorHAnsi"/>
        </w:rPr>
        <w:t xml:space="preserve">ę </w:t>
      </w:r>
      <w:r w:rsidRPr="005E6FEF">
        <w:rPr>
          <w:rFonts w:asciiTheme="minorHAnsi" w:hAnsiTheme="minorHAnsi"/>
        </w:rPr>
        <w:t>na podsypce cementowo - kruszywowej nale</w:t>
      </w:r>
      <w:r w:rsidRPr="005E6FEF">
        <w:rPr>
          <w:rFonts w:asciiTheme="minorHAnsi" w:eastAsia="TimesNewRoman" w:hAnsiTheme="minorHAnsi"/>
        </w:rPr>
        <w:t>ż</w:t>
      </w:r>
      <w:r w:rsidRPr="005E6FEF">
        <w:rPr>
          <w:rFonts w:asciiTheme="minorHAnsi" w:hAnsiTheme="minorHAnsi"/>
        </w:rPr>
        <w:t>y chroni</w:t>
      </w:r>
      <w:r w:rsidRPr="005E6FEF">
        <w:rPr>
          <w:rFonts w:asciiTheme="minorHAnsi" w:eastAsia="TimesNewRoman" w:hAnsiTheme="minorHAnsi"/>
        </w:rPr>
        <w:t xml:space="preserve">ć </w:t>
      </w:r>
      <w:r w:rsidRPr="005E6FEF">
        <w:rPr>
          <w:rFonts w:asciiTheme="minorHAnsi" w:hAnsiTheme="minorHAnsi"/>
        </w:rPr>
        <w:t>w sposób podany w PN-B-06251.</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lastRenderedPageBreak/>
        <w:t>d) ubijanie kostki</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Kostk</w:t>
      </w:r>
      <w:r w:rsidRPr="005E6FEF">
        <w:rPr>
          <w:rFonts w:asciiTheme="minorHAnsi" w:eastAsia="TimesNewRoman" w:hAnsiTheme="minorHAnsi"/>
        </w:rPr>
        <w:t xml:space="preserve">ę </w:t>
      </w:r>
      <w:r w:rsidRPr="005E6FEF">
        <w:rPr>
          <w:rFonts w:asciiTheme="minorHAnsi" w:hAnsiTheme="minorHAnsi"/>
        </w:rPr>
        <w:t>na podsypce cementowo - kruszywowej przy wypełnieniu spoin zapraw</w:t>
      </w:r>
      <w:r w:rsidRPr="005E6FEF">
        <w:rPr>
          <w:rFonts w:asciiTheme="minorHAnsi" w:eastAsia="TimesNewRoman" w:hAnsiTheme="minorHAnsi"/>
        </w:rPr>
        <w:t>ą</w:t>
      </w:r>
      <w:r w:rsidRPr="005E6FEF">
        <w:rPr>
          <w:rFonts w:asciiTheme="minorHAnsi" w:hAnsiTheme="minorHAnsi"/>
        </w:rPr>
        <w:t>, nale</w:t>
      </w:r>
      <w:r w:rsidRPr="005E6FEF">
        <w:rPr>
          <w:rFonts w:asciiTheme="minorHAnsi" w:eastAsia="TimesNewRoman" w:hAnsiTheme="minorHAnsi"/>
        </w:rPr>
        <w:t>ż</w:t>
      </w:r>
      <w:r w:rsidRPr="005E6FEF">
        <w:rPr>
          <w:rFonts w:asciiTheme="minorHAnsi" w:hAnsiTheme="minorHAnsi"/>
        </w:rPr>
        <w:t>y ubija</w:t>
      </w:r>
      <w:r w:rsidRPr="005E6FEF">
        <w:rPr>
          <w:rFonts w:asciiTheme="minorHAnsi" w:eastAsia="TimesNewRoman" w:hAnsiTheme="minorHAnsi"/>
        </w:rPr>
        <w:t xml:space="preserve">ć </w:t>
      </w:r>
      <w:r w:rsidRPr="005E6FEF">
        <w:rPr>
          <w:rFonts w:asciiTheme="minorHAnsi" w:hAnsiTheme="minorHAnsi"/>
        </w:rPr>
        <w:t>dwukrotnie.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Pierwsze mocne ubicie powinno nast</w:t>
      </w:r>
      <w:r w:rsidRPr="005E6FEF">
        <w:rPr>
          <w:rFonts w:asciiTheme="minorHAnsi" w:eastAsia="TimesNewRoman" w:hAnsiTheme="minorHAnsi"/>
        </w:rPr>
        <w:t>ą</w:t>
      </w:r>
      <w:r w:rsidRPr="005E6FEF">
        <w:rPr>
          <w:rFonts w:asciiTheme="minorHAnsi" w:hAnsiTheme="minorHAnsi"/>
        </w:rPr>
        <w:t>pi</w:t>
      </w:r>
      <w:r w:rsidRPr="005E6FEF">
        <w:rPr>
          <w:rFonts w:asciiTheme="minorHAnsi" w:eastAsia="TimesNewRoman" w:hAnsiTheme="minorHAnsi"/>
        </w:rPr>
        <w:t xml:space="preserve">ć </w:t>
      </w:r>
      <w:r w:rsidRPr="005E6FEF">
        <w:rPr>
          <w:rFonts w:asciiTheme="minorHAnsi" w:hAnsiTheme="minorHAnsi"/>
        </w:rPr>
        <w:t>przed wypełnieniem spoin i spowodowa</w:t>
      </w:r>
      <w:r w:rsidRPr="005E6FEF">
        <w:rPr>
          <w:rFonts w:asciiTheme="minorHAnsi" w:eastAsia="TimesNewRoman" w:hAnsiTheme="minorHAnsi"/>
        </w:rPr>
        <w:t xml:space="preserve">ć </w:t>
      </w:r>
      <w:r w:rsidRPr="005E6FEF">
        <w:rPr>
          <w:rFonts w:asciiTheme="minorHAnsi" w:hAnsiTheme="minorHAnsi"/>
        </w:rPr>
        <w:t>obni</w:t>
      </w:r>
      <w:r w:rsidRPr="005E6FEF">
        <w:rPr>
          <w:rFonts w:asciiTheme="minorHAnsi" w:eastAsia="TimesNewRoman" w:hAnsiTheme="minorHAnsi"/>
        </w:rPr>
        <w:t>ż</w:t>
      </w:r>
      <w:r w:rsidRPr="005E6FEF">
        <w:rPr>
          <w:rFonts w:asciiTheme="minorHAnsi" w:hAnsiTheme="minorHAnsi"/>
        </w:rPr>
        <w:t>enie kostek do wymaganej niwelety.</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Drugie- lekkie ubicie, ma na celu doprowadzenie ubijanej powierzchni kostek do wymaganego przekroju poprzecznego jezdni. Drugie ubicie nast</w:t>
      </w:r>
      <w:r w:rsidRPr="005E6FEF">
        <w:rPr>
          <w:rFonts w:asciiTheme="minorHAnsi" w:eastAsia="TimesNewRoman" w:hAnsiTheme="minorHAnsi"/>
        </w:rPr>
        <w:t>ę</w:t>
      </w:r>
      <w:r w:rsidRPr="005E6FEF">
        <w:rPr>
          <w:rFonts w:asciiTheme="minorHAnsi" w:hAnsiTheme="minorHAnsi"/>
        </w:rPr>
        <w:t>puje bezpo</w:t>
      </w:r>
      <w:r w:rsidRPr="005E6FEF">
        <w:rPr>
          <w:rFonts w:asciiTheme="minorHAnsi" w:eastAsia="TimesNewRoman" w:hAnsiTheme="minorHAnsi"/>
        </w:rPr>
        <w:t>ś</w:t>
      </w:r>
      <w:r w:rsidRPr="005E6FEF">
        <w:rPr>
          <w:rFonts w:asciiTheme="minorHAnsi" w:hAnsiTheme="minorHAnsi"/>
        </w:rPr>
        <w:t>rednio po zalaniu spoin zapraw</w:t>
      </w:r>
      <w:r w:rsidRPr="005E6FEF">
        <w:rPr>
          <w:rFonts w:asciiTheme="minorHAnsi" w:eastAsia="TimesNewRoman" w:hAnsiTheme="minorHAnsi"/>
        </w:rPr>
        <w:t>ą</w:t>
      </w:r>
      <w:r w:rsidRPr="005E6FEF">
        <w:rPr>
          <w:rFonts w:asciiTheme="minorHAnsi" w:hAnsiTheme="minorHAnsi"/>
        </w:rPr>
        <w:t>. Zamiast drugiego ubijania mo</w:t>
      </w:r>
      <w:r w:rsidRPr="005E6FEF">
        <w:rPr>
          <w:rFonts w:asciiTheme="minorHAnsi" w:eastAsia="TimesNewRoman" w:hAnsiTheme="minorHAnsi"/>
        </w:rPr>
        <w:t>ż</w:t>
      </w:r>
      <w:r w:rsidRPr="005E6FEF">
        <w:rPr>
          <w:rFonts w:asciiTheme="minorHAnsi" w:hAnsiTheme="minorHAnsi"/>
        </w:rPr>
        <w:t>na stosowa</w:t>
      </w:r>
      <w:r w:rsidRPr="005E6FEF">
        <w:rPr>
          <w:rFonts w:asciiTheme="minorHAnsi" w:eastAsia="TimesNewRoman" w:hAnsiTheme="minorHAnsi"/>
        </w:rPr>
        <w:t xml:space="preserve">ć </w:t>
      </w:r>
      <w:r w:rsidRPr="005E6FEF">
        <w:rPr>
          <w:rFonts w:asciiTheme="minorHAnsi" w:hAnsiTheme="minorHAnsi"/>
        </w:rPr>
        <w:t>wibratory płytowe lub lekkie walce wibracyjne.</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Drugie ubicie powinno by</w:t>
      </w:r>
      <w:r w:rsidRPr="005E6FEF">
        <w:rPr>
          <w:rFonts w:asciiTheme="minorHAnsi" w:eastAsia="TimesNewRoman" w:hAnsiTheme="minorHAnsi"/>
        </w:rPr>
        <w:t xml:space="preserve">ć </w:t>
      </w:r>
      <w:r w:rsidRPr="005E6FEF">
        <w:rPr>
          <w:rFonts w:asciiTheme="minorHAnsi" w:hAnsiTheme="minorHAnsi"/>
        </w:rPr>
        <w:t>zako</w:t>
      </w:r>
      <w:r w:rsidRPr="005E6FEF">
        <w:rPr>
          <w:rFonts w:asciiTheme="minorHAnsi" w:eastAsia="TimesNewRoman" w:hAnsiTheme="minorHAnsi"/>
        </w:rPr>
        <w:t>ń</w:t>
      </w:r>
      <w:r w:rsidRPr="005E6FEF">
        <w:rPr>
          <w:rFonts w:asciiTheme="minorHAnsi" w:hAnsiTheme="minorHAnsi"/>
        </w:rPr>
        <w:t>czone przed pocz</w:t>
      </w:r>
      <w:r w:rsidRPr="005E6FEF">
        <w:rPr>
          <w:rFonts w:asciiTheme="minorHAnsi" w:eastAsia="TimesNewRoman" w:hAnsiTheme="minorHAnsi"/>
        </w:rPr>
        <w:t>ą</w:t>
      </w:r>
      <w:r w:rsidRPr="005E6FEF">
        <w:rPr>
          <w:rFonts w:asciiTheme="minorHAnsi" w:hAnsiTheme="minorHAnsi"/>
        </w:rPr>
        <w:t>tkiem wi</w:t>
      </w:r>
      <w:r w:rsidRPr="005E6FEF">
        <w:rPr>
          <w:rFonts w:asciiTheme="minorHAnsi" w:eastAsia="TimesNewRoman" w:hAnsiTheme="minorHAnsi"/>
        </w:rPr>
        <w:t>ą</w:t>
      </w:r>
      <w:r w:rsidRPr="005E6FEF">
        <w:rPr>
          <w:rFonts w:asciiTheme="minorHAnsi" w:hAnsiTheme="minorHAnsi"/>
        </w:rPr>
        <w:t>zania cementu w podsypce i zaprawie spoin.</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e) wypełnienie spoin</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Wypełnienie spoin zapraw</w:t>
      </w:r>
      <w:r w:rsidRPr="005E6FEF">
        <w:rPr>
          <w:rFonts w:asciiTheme="minorHAnsi" w:eastAsia="TimesNewRoman" w:hAnsiTheme="minorHAnsi"/>
        </w:rPr>
        <w:t xml:space="preserve">ą </w:t>
      </w:r>
      <w:r w:rsidRPr="005E6FEF">
        <w:rPr>
          <w:rFonts w:asciiTheme="minorHAnsi" w:hAnsiTheme="minorHAnsi"/>
        </w:rPr>
        <w:t>cementowo-kruszywow</w:t>
      </w:r>
      <w:r w:rsidRPr="005E6FEF">
        <w:rPr>
          <w:rFonts w:asciiTheme="minorHAnsi" w:eastAsia="TimesNewRoman" w:hAnsiTheme="minorHAnsi"/>
        </w:rPr>
        <w:t xml:space="preserve">ą </w:t>
      </w:r>
      <w:r w:rsidRPr="005E6FEF">
        <w:rPr>
          <w:rFonts w:asciiTheme="minorHAnsi" w:hAnsiTheme="minorHAnsi"/>
        </w:rPr>
        <w:t>powinno by</w:t>
      </w:r>
      <w:r w:rsidRPr="005E6FEF">
        <w:rPr>
          <w:rFonts w:asciiTheme="minorHAnsi" w:eastAsia="TimesNewRoman" w:hAnsiTheme="minorHAnsi"/>
        </w:rPr>
        <w:t xml:space="preserve">ć </w:t>
      </w:r>
      <w:r w:rsidRPr="005E6FEF">
        <w:rPr>
          <w:rFonts w:asciiTheme="minorHAnsi" w:hAnsiTheme="minorHAnsi"/>
        </w:rPr>
        <w:t>wykonane z zachowaniem nast</w:t>
      </w:r>
      <w:r w:rsidRPr="005E6FEF">
        <w:rPr>
          <w:rFonts w:asciiTheme="minorHAnsi" w:eastAsia="TimesNewRoman" w:hAnsiTheme="minorHAnsi"/>
        </w:rPr>
        <w:t>ę</w:t>
      </w:r>
      <w:r w:rsidRPr="005E6FEF">
        <w:rPr>
          <w:rFonts w:asciiTheme="minorHAnsi" w:hAnsiTheme="minorHAnsi"/>
        </w:rPr>
        <w:t>puj</w:t>
      </w:r>
      <w:r w:rsidRPr="005E6FEF">
        <w:rPr>
          <w:rFonts w:asciiTheme="minorHAnsi" w:eastAsia="TimesNewRoman" w:hAnsiTheme="minorHAnsi"/>
        </w:rPr>
        <w:t>ą</w:t>
      </w:r>
      <w:r w:rsidRPr="005E6FEF">
        <w:rPr>
          <w:rFonts w:asciiTheme="minorHAnsi" w:hAnsiTheme="minorHAnsi"/>
        </w:rPr>
        <w:t>cych wymaga</w:t>
      </w:r>
      <w:r w:rsidRPr="005E6FEF">
        <w:rPr>
          <w:rFonts w:asciiTheme="minorHAnsi" w:eastAsia="TimesNewRoman" w:hAnsiTheme="minorHAnsi"/>
        </w:rPr>
        <w:t>ń</w:t>
      </w:r>
      <w:r w:rsidRPr="005E6FEF">
        <w:rPr>
          <w:rFonts w:asciiTheme="minorHAnsi" w:hAnsiTheme="minorHAnsi"/>
        </w:rPr>
        <w:t>:</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kruszywo powinno odpowiada</w:t>
      </w:r>
      <w:r w:rsidRPr="005E6FEF">
        <w:rPr>
          <w:rFonts w:asciiTheme="minorHAnsi" w:eastAsia="TimesNewRoman" w:hAnsiTheme="minorHAnsi"/>
        </w:rPr>
        <w:t xml:space="preserve">ć </w:t>
      </w:r>
      <w:r w:rsidRPr="005E6FEF">
        <w:rPr>
          <w:rFonts w:asciiTheme="minorHAnsi" w:hAnsiTheme="minorHAnsi"/>
        </w:rPr>
        <w:t>wymaganiom wg pkt. 2.,</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cement powinien odpowiada</w:t>
      </w:r>
      <w:r w:rsidRPr="005E6FEF">
        <w:rPr>
          <w:rFonts w:asciiTheme="minorHAnsi" w:eastAsia="TimesNewRoman" w:hAnsiTheme="minorHAnsi"/>
        </w:rPr>
        <w:t xml:space="preserve">ć </w:t>
      </w:r>
      <w:r w:rsidRPr="005E6FEF">
        <w:rPr>
          <w:rFonts w:asciiTheme="minorHAnsi" w:hAnsiTheme="minorHAnsi"/>
        </w:rPr>
        <w:t>wymaganiom wg pkt. 2.,</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wytrzymało</w:t>
      </w:r>
      <w:r w:rsidRPr="005E6FEF">
        <w:rPr>
          <w:rFonts w:asciiTheme="minorHAnsi" w:eastAsia="TimesNewRoman" w:hAnsiTheme="minorHAnsi"/>
        </w:rPr>
        <w:t xml:space="preserve">ść </w:t>
      </w:r>
      <w:r w:rsidRPr="005E6FEF">
        <w:rPr>
          <w:rFonts w:asciiTheme="minorHAnsi" w:hAnsiTheme="minorHAnsi"/>
        </w:rPr>
        <w:t xml:space="preserve">zaprawy na </w:t>
      </w:r>
      <w:r w:rsidRPr="005E6FEF">
        <w:rPr>
          <w:rFonts w:asciiTheme="minorHAnsi" w:eastAsia="TimesNewRoman" w:hAnsiTheme="minorHAnsi"/>
        </w:rPr>
        <w:t>ś</w:t>
      </w:r>
      <w:r w:rsidRPr="005E6FEF">
        <w:rPr>
          <w:rFonts w:asciiTheme="minorHAnsi" w:hAnsiTheme="minorHAnsi"/>
        </w:rPr>
        <w:t>ciskanie powinna wynosi</w:t>
      </w:r>
      <w:r w:rsidRPr="005E6FEF">
        <w:rPr>
          <w:rFonts w:asciiTheme="minorHAnsi" w:eastAsia="TimesNewRoman" w:hAnsiTheme="minorHAnsi"/>
        </w:rPr>
        <w:t xml:space="preserve">ć </w:t>
      </w:r>
      <w:r w:rsidRPr="005E6FEF">
        <w:rPr>
          <w:rFonts w:asciiTheme="minorHAnsi" w:hAnsiTheme="minorHAnsi"/>
        </w:rPr>
        <w:t>nie mniej ni</w:t>
      </w:r>
      <w:r w:rsidRPr="005E6FEF">
        <w:rPr>
          <w:rFonts w:asciiTheme="minorHAnsi" w:eastAsia="TimesNewRoman" w:hAnsiTheme="minorHAnsi"/>
        </w:rPr>
        <w:t xml:space="preserve">ż </w:t>
      </w:r>
      <w:r w:rsidRPr="005E6FEF">
        <w:rPr>
          <w:rFonts w:asciiTheme="minorHAnsi" w:hAnsiTheme="minorHAnsi"/>
        </w:rPr>
        <w:t>30 MPa,</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przed rozpocz</w:t>
      </w:r>
      <w:r w:rsidRPr="005E6FEF">
        <w:rPr>
          <w:rFonts w:asciiTheme="minorHAnsi" w:eastAsia="TimesNewRoman" w:hAnsiTheme="minorHAnsi"/>
        </w:rPr>
        <w:t>ę</w:t>
      </w:r>
      <w:r w:rsidRPr="005E6FEF">
        <w:rPr>
          <w:rFonts w:asciiTheme="minorHAnsi" w:hAnsiTheme="minorHAnsi"/>
        </w:rPr>
        <w:t>ciem zalewania kostka powinna by</w:t>
      </w:r>
      <w:r w:rsidRPr="005E6FEF">
        <w:rPr>
          <w:rFonts w:asciiTheme="minorHAnsi" w:eastAsia="TimesNewRoman" w:hAnsiTheme="minorHAnsi"/>
        </w:rPr>
        <w:t xml:space="preserve">ć </w:t>
      </w:r>
      <w:r w:rsidRPr="005E6FEF">
        <w:rPr>
          <w:rFonts w:asciiTheme="minorHAnsi" w:hAnsiTheme="minorHAnsi"/>
        </w:rPr>
        <w:t>oczyszczona i dobrze zwil</w:t>
      </w:r>
      <w:r w:rsidRPr="005E6FEF">
        <w:rPr>
          <w:rFonts w:asciiTheme="minorHAnsi" w:eastAsia="TimesNewRoman" w:hAnsiTheme="minorHAnsi"/>
        </w:rPr>
        <w:t>ż</w:t>
      </w:r>
      <w:r w:rsidRPr="005E6FEF">
        <w:rPr>
          <w:rFonts w:asciiTheme="minorHAnsi" w:hAnsiTheme="minorHAnsi"/>
        </w:rPr>
        <w:t>ona wod</w:t>
      </w:r>
      <w:r w:rsidRPr="005E6FEF">
        <w:rPr>
          <w:rFonts w:asciiTheme="minorHAnsi" w:eastAsia="TimesNewRoman" w:hAnsiTheme="minorHAnsi"/>
        </w:rPr>
        <w:t xml:space="preserve">ą </w:t>
      </w:r>
      <w:r w:rsidRPr="005E6FEF">
        <w:rPr>
          <w:rFonts w:asciiTheme="minorHAnsi" w:hAnsiTheme="minorHAnsi"/>
        </w:rPr>
        <w:t>z dodatkiem 1% cementu w stosunku obj</w:t>
      </w:r>
      <w:r w:rsidRPr="005E6FEF">
        <w:rPr>
          <w:rFonts w:asciiTheme="minorHAnsi" w:eastAsia="TimesNewRoman" w:hAnsiTheme="minorHAnsi"/>
        </w:rPr>
        <w:t>ę</w:t>
      </w:r>
      <w:r w:rsidRPr="005E6FEF">
        <w:rPr>
          <w:rFonts w:asciiTheme="minorHAnsi" w:hAnsiTheme="minorHAnsi"/>
        </w:rPr>
        <w:t>to</w:t>
      </w:r>
      <w:r w:rsidRPr="005E6FEF">
        <w:rPr>
          <w:rFonts w:asciiTheme="minorHAnsi" w:eastAsia="TimesNewRoman" w:hAnsiTheme="minorHAnsi"/>
        </w:rPr>
        <w:t>ś</w:t>
      </w:r>
      <w:r w:rsidRPr="005E6FEF">
        <w:rPr>
          <w:rFonts w:asciiTheme="minorHAnsi" w:hAnsiTheme="minorHAnsi"/>
        </w:rPr>
        <w:t>ciowym,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gł</w:t>
      </w:r>
      <w:r w:rsidRPr="005E6FEF">
        <w:rPr>
          <w:rFonts w:asciiTheme="minorHAnsi" w:eastAsia="TimesNewRoman" w:hAnsiTheme="minorHAnsi"/>
        </w:rPr>
        <w:t>ę</w:t>
      </w:r>
      <w:r w:rsidRPr="005E6FEF">
        <w:rPr>
          <w:rFonts w:asciiTheme="minorHAnsi" w:hAnsiTheme="minorHAnsi"/>
        </w:rPr>
        <w:t>boko</w:t>
      </w:r>
      <w:r w:rsidRPr="005E6FEF">
        <w:rPr>
          <w:rFonts w:asciiTheme="minorHAnsi" w:eastAsia="TimesNewRoman" w:hAnsiTheme="minorHAnsi"/>
        </w:rPr>
        <w:t xml:space="preserve">ść </w:t>
      </w:r>
      <w:r w:rsidRPr="005E6FEF">
        <w:rPr>
          <w:rFonts w:asciiTheme="minorHAnsi" w:hAnsiTheme="minorHAnsi"/>
        </w:rPr>
        <w:t>wypełnienie spoin zapraw</w:t>
      </w:r>
      <w:r w:rsidRPr="005E6FEF">
        <w:rPr>
          <w:rFonts w:asciiTheme="minorHAnsi" w:eastAsia="TimesNewRoman" w:hAnsiTheme="minorHAnsi"/>
        </w:rPr>
        <w:t xml:space="preserve">ą </w:t>
      </w:r>
      <w:r w:rsidRPr="005E6FEF">
        <w:rPr>
          <w:rFonts w:asciiTheme="minorHAnsi" w:hAnsiTheme="minorHAnsi"/>
        </w:rPr>
        <w:t>powinna wynosi</w:t>
      </w:r>
      <w:r w:rsidRPr="005E6FEF">
        <w:rPr>
          <w:rFonts w:asciiTheme="minorHAnsi" w:eastAsia="TimesNewRoman" w:hAnsiTheme="minorHAnsi"/>
        </w:rPr>
        <w:t xml:space="preserve">ć </w:t>
      </w:r>
      <w:r w:rsidRPr="005E6FEF">
        <w:rPr>
          <w:rFonts w:asciiTheme="minorHAnsi" w:hAnsiTheme="minorHAnsi"/>
        </w:rPr>
        <w:t>min 7 cm,</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zaprawa powinna wypełni</w:t>
      </w:r>
      <w:r w:rsidRPr="005E6FEF">
        <w:rPr>
          <w:rFonts w:asciiTheme="minorHAnsi" w:eastAsia="TimesNewRoman" w:hAnsiTheme="minorHAnsi"/>
        </w:rPr>
        <w:t xml:space="preserve">ć </w:t>
      </w:r>
      <w:r w:rsidRPr="005E6FEF">
        <w:rPr>
          <w:rFonts w:asciiTheme="minorHAnsi" w:hAnsiTheme="minorHAnsi"/>
        </w:rPr>
        <w:t>całkowicie t</w:t>
      </w:r>
      <w:r w:rsidRPr="005E6FEF">
        <w:rPr>
          <w:rFonts w:asciiTheme="minorHAnsi" w:eastAsia="TimesNewRoman" w:hAnsiTheme="minorHAnsi"/>
        </w:rPr>
        <w:t xml:space="preserve">ą </w:t>
      </w:r>
      <w:r w:rsidRPr="005E6FEF">
        <w:rPr>
          <w:rFonts w:asciiTheme="minorHAnsi" w:hAnsiTheme="minorHAnsi"/>
        </w:rPr>
        <w:t>gł</w:t>
      </w:r>
      <w:r w:rsidRPr="005E6FEF">
        <w:rPr>
          <w:rFonts w:asciiTheme="minorHAnsi" w:eastAsia="TimesNewRoman" w:hAnsiTheme="minorHAnsi"/>
        </w:rPr>
        <w:t>ę</w:t>
      </w:r>
      <w:r w:rsidRPr="005E6FEF">
        <w:rPr>
          <w:rFonts w:asciiTheme="minorHAnsi" w:hAnsiTheme="minorHAnsi"/>
        </w:rPr>
        <w:t>boko</w:t>
      </w:r>
      <w:r w:rsidRPr="005E6FEF">
        <w:rPr>
          <w:rFonts w:asciiTheme="minorHAnsi" w:eastAsia="TimesNewRoman" w:hAnsiTheme="minorHAnsi"/>
        </w:rPr>
        <w:t xml:space="preserve">ść </w:t>
      </w:r>
      <w:r w:rsidRPr="005E6FEF">
        <w:rPr>
          <w:rFonts w:asciiTheme="minorHAnsi" w:hAnsiTheme="minorHAnsi"/>
        </w:rPr>
        <w:t>spoiny i tworzy</w:t>
      </w:r>
      <w:r w:rsidRPr="005E6FEF">
        <w:rPr>
          <w:rFonts w:asciiTheme="minorHAnsi" w:eastAsia="TimesNewRoman" w:hAnsiTheme="minorHAnsi"/>
        </w:rPr>
        <w:t xml:space="preserve">ć </w:t>
      </w:r>
      <w:r w:rsidRPr="005E6FEF">
        <w:rPr>
          <w:rFonts w:asciiTheme="minorHAnsi" w:hAnsiTheme="minorHAnsi"/>
        </w:rPr>
        <w:t>monolit z kostk</w:t>
      </w:r>
      <w:r w:rsidRPr="005E6FEF">
        <w:rPr>
          <w:rFonts w:asciiTheme="minorHAnsi" w:eastAsia="TimesNewRoman" w:hAnsiTheme="minorHAnsi"/>
        </w:rPr>
        <w:t>ą</w:t>
      </w:r>
      <w:r w:rsidRPr="005E6FEF">
        <w:rPr>
          <w:rFonts w:asciiTheme="minorHAnsi" w:hAnsiTheme="minorHAnsi"/>
        </w:rPr>
        <w:t>.</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f) piel</w:t>
      </w:r>
      <w:r w:rsidRPr="005E6FEF">
        <w:rPr>
          <w:rFonts w:asciiTheme="minorHAnsi" w:eastAsia="TimesNewRoman" w:hAnsiTheme="minorHAnsi"/>
        </w:rPr>
        <w:t>ę</w:t>
      </w:r>
      <w:r w:rsidRPr="005E6FEF">
        <w:rPr>
          <w:rFonts w:asciiTheme="minorHAnsi" w:hAnsiTheme="minorHAnsi"/>
        </w:rPr>
        <w:t>gnacja nawierzchni</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Piel</w:t>
      </w:r>
      <w:r w:rsidRPr="005E6FEF">
        <w:rPr>
          <w:rFonts w:asciiTheme="minorHAnsi" w:eastAsia="TimesNewRoman" w:hAnsiTheme="minorHAnsi"/>
        </w:rPr>
        <w:t>ę</w:t>
      </w:r>
      <w:r w:rsidRPr="005E6FEF">
        <w:rPr>
          <w:rFonts w:asciiTheme="minorHAnsi" w:hAnsiTheme="minorHAnsi"/>
        </w:rPr>
        <w:t>gnacja nawierzchni kostkowej, której spoiny s</w:t>
      </w:r>
      <w:r w:rsidRPr="005E6FEF">
        <w:rPr>
          <w:rFonts w:asciiTheme="minorHAnsi" w:eastAsia="TimesNewRoman" w:hAnsiTheme="minorHAnsi"/>
        </w:rPr>
        <w:t xml:space="preserve">ą </w:t>
      </w:r>
      <w:r w:rsidRPr="005E6FEF">
        <w:rPr>
          <w:rFonts w:asciiTheme="minorHAnsi" w:hAnsiTheme="minorHAnsi"/>
        </w:rPr>
        <w:t>wypełnione zapraw</w:t>
      </w:r>
      <w:r w:rsidRPr="005E6FEF">
        <w:rPr>
          <w:rFonts w:asciiTheme="minorHAnsi" w:eastAsia="TimesNewRoman" w:hAnsiTheme="minorHAnsi"/>
        </w:rPr>
        <w:t xml:space="preserve">ą </w:t>
      </w:r>
      <w:r w:rsidRPr="005E6FEF">
        <w:rPr>
          <w:rFonts w:asciiTheme="minorHAnsi" w:hAnsiTheme="minorHAnsi"/>
        </w:rPr>
        <w:t>polega na polaniu nawierzchni wod</w:t>
      </w:r>
      <w:r w:rsidRPr="005E6FEF">
        <w:rPr>
          <w:rFonts w:asciiTheme="minorHAnsi" w:eastAsia="TimesNewRoman" w:hAnsiTheme="minorHAnsi"/>
        </w:rPr>
        <w:t xml:space="preserve">ą </w:t>
      </w:r>
      <w:r w:rsidRPr="005E6FEF">
        <w:rPr>
          <w:rFonts w:asciiTheme="minorHAnsi" w:hAnsiTheme="minorHAnsi"/>
        </w:rPr>
        <w:t>w kilka godzin po zalaniu spoin i utrzymaniu jej w stałej wilgotno</w:t>
      </w:r>
      <w:r w:rsidRPr="005E6FEF">
        <w:rPr>
          <w:rFonts w:asciiTheme="minorHAnsi" w:eastAsia="TimesNewRoman" w:hAnsiTheme="minorHAnsi"/>
        </w:rPr>
        <w:t>ś</w:t>
      </w:r>
      <w:r w:rsidRPr="005E6FEF">
        <w:rPr>
          <w:rFonts w:asciiTheme="minorHAnsi" w:hAnsiTheme="minorHAnsi"/>
        </w:rPr>
        <w:t>ci przez okres jednej doby. Nast</w:t>
      </w:r>
      <w:r w:rsidRPr="005E6FEF">
        <w:rPr>
          <w:rFonts w:asciiTheme="minorHAnsi" w:eastAsia="TimesNewRoman" w:hAnsiTheme="minorHAnsi"/>
        </w:rPr>
        <w:t>ę</w:t>
      </w:r>
      <w:r w:rsidRPr="005E6FEF">
        <w:rPr>
          <w:rFonts w:asciiTheme="minorHAnsi" w:hAnsiTheme="minorHAnsi"/>
        </w:rPr>
        <w:t>pnie nawierzchni</w:t>
      </w:r>
      <w:r w:rsidRPr="005E6FEF">
        <w:rPr>
          <w:rFonts w:asciiTheme="minorHAnsi" w:eastAsia="TimesNewRoman" w:hAnsiTheme="minorHAnsi"/>
        </w:rPr>
        <w:t xml:space="preserve">ę </w:t>
      </w:r>
      <w:r w:rsidRPr="005E6FEF">
        <w:rPr>
          <w:rFonts w:asciiTheme="minorHAnsi" w:hAnsiTheme="minorHAnsi"/>
        </w:rPr>
        <w:t>nale</w:t>
      </w:r>
      <w:r w:rsidRPr="005E6FEF">
        <w:rPr>
          <w:rFonts w:asciiTheme="minorHAnsi" w:eastAsia="TimesNewRoman" w:hAnsiTheme="minorHAnsi"/>
        </w:rPr>
        <w:t>ż</w:t>
      </w:r>
      <w:r w:rsidRPr="005E6FEF">
        <w:rPr>
          <w:rFonts w:asciiTheme="minorHAnsi" w:hAnsiTheme="minorHAnsi"/>
        </w:rPr>
        <w:t>y przykry</w:t>
      </w:r>
      <w:r w:rsidRPr="005E6FEF">
        <w:rPr>
          <w:rFonts w:asciiTheme="minorHAnsi" w:eastAsia="TimesNewRoman" w:hAnsiTheme="minorHAnsi"/>
        </w:rPr>
        <w:t xml:space="preserve">ć </w:t>
      </w:r>
      <w:r w:rsidRPr="005E6FEF">
        <w:rPr>
          <w:rFonts w:asciiTheme="minorHAnsi" w:hAnsiTheme="minorHAnsi"/>
        </w:rPr>
        <w:t>gruntem piaszczystym i utrzymywa</w:t>
      </w:r>
      <w:r w:rsidRPr="005E6FEF">
        <w:rPr>
          <w:rFonts w:asciiTheme="minorHAnsi" w:eastAsia="TimesNewRoman" w:hAnsiTheme="minorHAnsi"/>
        </w:rPr>
        <w:t xml:space="preserve">ć </w:t>
      </w:r>
      <w:r w:rsidRPr="005E6FEF">
        <w:rPr>
          <w:rFonts w:asciiTheme="minorHAnsi" w:hAnsiTheme="minorHAnsi"/>
        </w:rPr>
        <w:t>w stałej wilgotno</w:t>
      </w:r>
      <w:r w:rsidRPr="005E6FEF">
        <w:rPr>
          <w:rFonts w:asciiTheme="minorHAnsi" w:eastAsia="TimesNewRoman" w:hAnsiTheme="minorHAnsi"/>
        </w:rPr>
        <w:t>ś</w:t>
      </w:r>
      <w:r w:rsidRPr="005E6FEF">
        <w:rPr>
          <w:rFonts w:asciiTheme="minorHAnsi" w:hAnsiTheme="minorHAnsi"/>
        </w:rPr>
        <w:t>ci przez okres 7 dni. Po upływie od 2 do 3 tygodni</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w zale</w:t>
      </w:r>
      <w:r w:rsidRPr="005E6FEF">
        <w:rPr>
          <w:rFonts w:asciiTheme="minorHAnsi" w:eastAsia="TimesNewRoman" w:hAnsiTheme="minorHAnsi"/>
        </w:rPr>
        <w:t>ż</w:t>
      </w:r>
      <w:r w:rsidRPr="005E6FEF">
        <w:rPr>
          <w:rFonts w:asciiTheme="minorHAnsi" w:hAnsiTheme="minorHAnsi"/>
        </w:rPr>
        <w:t>no</w:t>
      </w:r>
      <w:r w:rsidRPr="005E6FEF">
        <w:rPr>
          <w:rFonts w:asciiTheme="minorHAnsi" w:eastAsia="TimesNewRoman" w:hAnsiTheme="minorHAnsi"/>
        </w:rPr>
        <w:t>ś</w:t>
      </w:r>
      <w:r w:rsidRPr="005E6FEF">
        <w:rPr>
          <w:rFonts w:asciiTheme="minorHAnsi" w:hAnsiTheme="minorHAnsi"/>
        </w:rPr>
        <w:t>ci od warunków atmosferycznych, nawierzchni</w:t>
      </w:r>
      <w:r w:rsidRPr="005E6FEF">
        <w:rPr>
          <w:rFonts w:asciiTheme="minorHAnsi" w:eastAsia="TimesNewRoman" w:hAnsiTheme="minorHAnsi"/>
        </w:rPr>
        <w:t xml:space="preserve">ę </w:t>
      </w:r>
      <w:r w:rsidRPr="005E6FEF">
        <w:rPr>
          <w:rFonts w:asciiTheme="minorHAnsi" w:hAnsiTheme="minorHAnsi"/>
        </w:rPr>
        <w:t>nale</w:t>
      </w:r>
      <w:r w:rsidRPr="005E6FEF">
        <w:rPr>
          <w:rFonts w:asciiTheme="minorHAnsi" w:eastAsia="TimesNewRoman" w:hAnsiTheme="minorHAnsi"/>
        </w:rPr>
        <w:t>ż</w:t>
      </w:r>
      <w:r w:rsidRPr="005E6FEF">
        <w:rPr>
          <w:rFonts w:asciiTheme="minorHAnsi" w:hAnsiTheme="minorHAnsi"/>
        </w:rPr>
        <w:t>y oczy</w:t>
      </w:r>
      <w:r w:rsidRPr="005E6FEF">
        <w:rPr>
          <w:rFonts w:asciiTheme="minorHAnsi" w:eastAsia="TimesNewRoman" w:hAnsiTheme="minorHAnsi"/>
        </w:rPr>
        <w:t>ś</w:t>
      </w:r>
      <w:r w:rsidRPr="005E6FEF">
        <w:rPr>
          <w:rFonts w:asciiTheme="minorHAnsi" w:hAnsiTheme="minorHAnsi"/>
        </w:rPr>
        <w:t>ci</w:t>
      </w:r>
      <w:r w:rsidRPr="005E6FEF">
        <w:rPr>
          <w:rFonts w:asciiTheme="minorHAnsi" w:eastAsia="TimesNewRoman" w:hAnsiTheme="minorHAnsi"/>
        </w:rPr>
        <w:t xml:space="preserve">ć </w:t>
      </w:r>
      <w:r w:rsidRPr="005E6FEF">
        <w:rPr>
          <w:rFonts w:asciiTheme="minorHAnsi" w:hAnsiTheme="minorHAnsi"/>
        </w:rPr>
        <w:t>dokładnie z gruntu piaszczystego i mo</w:t>
      </w:r>
      <w:r w:rsidRPr="005E6FEF">
        <w:rPr>
          <w:rFonts w:asciiTheme="minorHAnsi" w:eastAsia="TimesNewRoman" w:hAnsiTheme="minorHAnsi"/>
        </w:rPr>
        <w:t>ż</w:t>
      </w:r>
      <w:r w:rsidRPr="005E6FEF">
        <w:rPr>
          <w:rFonts w:asciiTheme="minorHAnsi" w:hAnsiTheme="minorHAnsi"/>
        </w:rPr>
        <w:t>na odda</w:t>
      </w:r>
      <w:r w:rsidRPr="005E6FEF">
        <w:rPr>
          <w:rFonts w:asciiTheme="minorHAnsi" w:eastAsia="TimesNewRoman" w:hAnsiTheme="minorHAnsi"/>
        </w:rPr>
        <w:t xml:space="preserve">ć </w:t>
      </w:r>
      <w:r w:rsidRPr="005E6FEF">
        <w:rPr>
          <w:rFonts w:asciiTheme="minorHAnsi" w:hAnsiTheme="minorHAnsi"/>
        </w:rPr>
        <w:t>do ruchu.</w:t>
      </w:r>
    </w:p>
    <w:p w:rsidR="005E6FEF" w:rsidRPr="005E6FEF" w:rsidRDefault="005E6FEF" w:rsidP="005E6FEF">
      <w:pPr>
        <w:rPr>
          <w:rFonts w:asciiTheme="minorHAnsi" w:hAnsiTheme="minorHAnsi"/>
        </w:rPr>
      </w:pPr>
      <w:r w:rsidRPr="005E6FEF">
        <w:rPr>
          <w:rFonts w:asciiTheme="minorHAnsi" w:hAnsiTheme="minorHAnsi"/>
        </w:rPr>
        <w:t>.</w:t>
      </w:r>
    </w:p>
    <w:p w:rsidR="005E6FEF" w:rsidRPr="005E6FEF" w:rsidRDefault="005E6FEF" w:rsidP="005E6FEF">
      <w:pPr>
        <w:pStyle w:val="Nagwek3"/>
        <w:rPr>
          <w:rFonts w:asciiTheme="minorHAnsi" w:hAnsiTheme="minorHAnsi"/>
        </w:rPr>
      </w:pPr>
      <w:bookmarkStart w:id="1280" w:name="_Toc422115851"/>
      <w:r w:rsidRPr="005E6FEF">
        <w:rPr>
          <w:rFonts w:asciiTheme="minorHAnsi" w:hAnsiTheme="minorHAnsi"/>
        </w:rPr>
        <w:t>6. KONTROLA JAKOŚCI ROBÓT</w:t>
      </w:r>
      <w:bookmarkEnd w:id="1280"/>
    </w:p>
    <w:p w:rsidR="005E6FEF" w:rsidRPr="005E6FEF" w:rsidRDefault="005E6FEF" w:rsidP="005E6FEF">
      <w:pPr>
        <w:pStyle w:val="Nagwek4"/>
        <w:rPr>
          <w:rFonts w:asciiTheme="minorHAnsi" w:hAnsiTheme="minorHAnsi"/>
        </w:rPr>
      </w:pPr>
      <w:r w:rsidRPr="005E6FEF">
        <w:rPr>
          <w:rFonts w:asciiTheme="minorHAnsi" w:hAnsiTheme="minorHAnsi"/>
        </w:rPr>
        <w:t>6.1. Ogólne zasady kontroli jakości robót</w:t>
      </w:r>
    </w:p>
    <w:p w:rsidR="005E6FEF" w:rsidRPr="005E6FEF" w:rsidRDefault="005E6FEF" w:rsidP="005E6FEF">
      <w:pPr>
        <w:rPr>
          <w:rFonts w:asciiTheme="minorHAnsi" w:hAnsiTheme="minorHAnsi"/>
        </w:rPr>
      </w:pPr>
      <w:r w:rsidRPr="005E6FEF">
        <w:rPr>
          <w:rFonts w:asciiTheme="minorHAnsi" w:hAnsiTheme="minorHAnsi"/>
        </w:rPr>
        <w:t>Ogólne zasady kontroli jakości robót podano w STWiORB D-M-00.00.00 „Wymagania ogólne” pkt 6.</w:t>
      </w:r>
    </w:p>
    <w:p w:rsidR="005E6FEF" w:rsidRPr="005E6FEF" w:rsidRDefault="005E6FEF" w:rsidP="005E6FEF">
      <w:pPr>
        <w:pStyle w:val="Nagwek4"/>
        <w:rPr>
          <w:rFonts w:asciiTheme="minorHAnsi" w:hAnsiTheme="minorHAnsi"/>
        </w:rPr>
      </w:pPr>
      <w:r w:rsidRPr="005E6FEF">
        <w:rPr>
          <w:rFonts w:asciiTheme="minorHAnsi" w:hAnsiTheme="minorHAnsi"/>
        </w:rPr>
        <w:t>6.2. Badania przed przystąpieniem do robót</w:t>
      </w:r>
    </w:p>
    <w:p w:rsidR="005E6FEF" w:rsidRPr="005E6FEF" w:rsidRDefault="005E6FEF" w:rsidP="005E6FEF">
      <w:pPr>
        <w:overflowPunct/>
        <w:jc w:val="left"/>
        <w:textAlignment w:val="auto"/>
        <w:rPr>
          <w:rFonts w:asciiTheme="minorHAnsi" w:hAnsiTheme="minorHAnsi"/>
        </w:rPr>
      </w:pPr>
      <w:r w:rsidRPr="005E6FEF">
        <w:rPr>
          <w:rFonts w:asciiTheme="minorHAnsi" w:hAnsiTheme="minorHAnsi"/>
        </w:rPr>
        <w:t xml:space="preserve"> Wykonawca jest odpowiedzialny za jako</w:t>
      </w:r>
      <w:r w:rsidRPr="005E6FEF">
        <w:rPr>
          <w:rFonts w:asciiTheme="minorHAnsi" w:eastAsia="TimesNewRoman" w:hAnsiTheme="minorHAnsi" w:cs="TimesNewRoman"/>
        </w:rPr>
        <w:t xml:space="preserve">ść </w:t>
      </w:r>
      <w:r w:rsidRPr="005E6FEF">
        <w:rPr>
          <w:rFonts w:asciiTheme="minorHAnsi" w:hAnsiTheme="minorHAnsi"/>
        </w:rPr>
        <w:t>wyrobów przeznaczonych do wbudowania. Badania kostki na etapie akceptacji do robót wykonuje laboratorium akceptowane przez In</w:t>
      </w:r>
      <w:r w:rsidRPr="005E6FEF">
        <w:rPr>
          <w:rFonts w:asciiTheme="minorHAnsi" w:eastAsia="TimesNewRoman" w:hAnsiTheme="minorHAnsi" w:cs="TimesNewRoman"/>
        </w:rPr>
        <w:t>ż</w:t>
      </w:r>
      <w:r w:rsidRPr="005E6FEF">
        <w:rPr>
          <w:rFonts w:asciiTheme="minorHAnsi" w:hAnsiTheme="minorHAnsi"/>
        </w:rPr>
        <w:t>yniera.</w:t>
      </w:r>
    </w:p>
    <w:p w:rsidR="005E6FEF" w:rsidRPr="005E6FEF" w:rsidRDefault="005E6FEF" w:rsidP="005E6FEF">
      <w:pPr>
        <w:pStyle w:val="Nagwek4"/>
        <w:rPr>
          <w:rFonts w:asciiTheme="minorHAnsi" w:hAnsiTheme="minorHAnsi"/>
        </w:rPr>
      </w:pPr>
      <w:r w:rsidRPr="005E6FEF">
        <w:rPr>
          <w:rFonts w:asciiTheme="minorHAnsi" w:hAnsiTheme="minorHAnsi"/>
        </w:rPr>
        <w:t>6.3. Badania w czasie robót</w:t>
      </w:r>
    </w:p>
    <w:p w:rsidR="005E6FEF" w:rsidRPr="005E6FEF" w:rsidRDefault="005E6FEF" w:rsidP="005E6FEF">
      <w:pPr>
        <w:rPr>
          <w:rFonts w:asciiTheme="minorHAnsi" w:hAnsiTheme="minorHAnsi"/>
        </w:rPr>
      </w:pPr>
      <w:r w:rsidRPr="005E6FEF">
        <w:rPr>
          <w:rFonts w:asciiTheme="minorHAnsi" w:hAnsiTheme="minorHAnsi"/>
          <w:b/>
        </w:rPr>
        <w:t xml:space="preserve">6.3.1. </w:t>
      </w:r>
      <w:r w:rsidRPr="005E6FEF">
        <w:rPr>
          <w:rFonts w:asciiTheme="minorHAnsi" w:hAnsiTheme="minorHAnsi"/>
        </w:rPr>
        <w:t>Sprawdzenie podsypki</w:t>
      </w:r>
    </w:p>
    <w:p w:rsidR="005E6FEF" w:rsidRPr="005E6FEF" w:rsidRDefault="005E6FEF" w:rsidP="005E6FEF">
      <w:pPr>
        <w:rPr>
          <w:rFonts w:asciiTheme="minorHAnsi" w:hAnsiTheme="minorHAnsi"/>
        </w:rPr>
      </w:pPr>
      <w:r w:rsidRPr="005E6FEF">
        <w:rPr>
          <w:rFonts w:asciiTheme="minorHAnsi" w:hAnsiTheme="minorHAnsi"/>
        </w:rPr>
        <w:t>Sprawdzenie podsypki polega na stwierdzeniu jej zgodności z dokumentacją projektową oraz z wymaganiami określonymi w p. 5.4.</w:t>
      </w:r>
    </w:p>
    <w:p w:rsidR="005E6FEF" w:rsidRPr="005E6FEF" w:rsidRDefault="005E6FEF" w:rsidP="005E6FEF">
      <w:pPr>
        <w:rPr>
          <w:rFonts w:asciiTheme="minorHAnsi" w:hAnsiTheme="minorHAnsi"/>
        </w:rPr>
      </w:pPr>
      <w:r w:rsidRPr="005E6FEF">
        <w:rPr>
          <w:rFonts w:asciiTheme="minorHAnsi" w:hAnsiTheme="minorHAnsi"/>
          <w:b/>
        </w:rPr>
        <w:t xml:space="preserve">6.3.2. </w:t>
      </w:r>
      <w:r w:rsidRPr="005E6FEF">
        <w:rPr>
          <w:rFonts w:asciiTheme="minorHAnsi" w:hAnsiTheme="minorHAnsi"/>
        </w:rPr>
        <w:t>Badanie prawidłowości układania kostki</w:t>
      </w:r>
    </w:p>
    <w:p w:rsidR="005E6FEF" w:rsidRPr="005E6FEF" w:rsidRDefault="005E6FEF" w:rsidP="005E6FEF">
      <w:pPr>
        <w:rPr>
          <w:rFonts w:asciiTheme="minorHAnsi" w:hAnsiTheme="minorHAnsi"/>
        </w:rPr>
      </w:pPr>
      <w:r w:rsidRPr="005E6FEF">
        <w:rPr>
          <w:rFonts w:asciiTheme="minorHAnsi" w:hAnsiTheme="minorHAnsi"/>
        </w:rPr>
        <w:t>Badanie prawidłowości układania kostki polega na:</w:t>
      </w:r>
    </w:p>
    <w:p w:rsidR="005E6FEF" w:rsidRPr="005E6FEF" w:rsidRDefault="005E6FEF" w:rsidP="005E6FEF">
      <w:pPr>
        <w:numPr>
          <w:ilvl w:val="0"/>
          <w:numId w:val="38"/>
        </w:numPr>
        <w:rPr>
          <w:rFonts w:asciiTheme="minorHAnsi" w:hAnsiTheme="minorHAnsi"/>
        </w:rPr>
      </w:pPr>
      <w:r w:rsidRPr="005E6FEF">
        <w:rPr>
          <w:rFonts w:asciiTheme="minorHAnsi" w:hAnsiTheme="minorHAnsi"/>
        </w:rPr>
        <w:t>zmierzeniu szerokości spoin oraz powiązania spoin i sprawdzeniu zgodności z p. 5.5.6,</w:t>
      </w:r>
    </w:p>
    <w:p w:rsidR="005E6FEF" w:rsidRPr="005E6FEF" w:rsidRDefault="005E6FEF" w:rsidP="005E6FEF">
      <w:pPr>
        <w:numPr>
          <w:ilvl w:val="0"/>
          <w:numId w:val="38"/>
        </w:numPr>
        <w:rPr>
          <w:rFonts w:asciiTheme="minorHAnsi" w:hAnsiTheme="minorHAnsi"/>
        </w:rPr>
      </w:pPr>
      <w:r w:rsidRPr="005E6FEF">
        <w:rPr>
          <w:rFonts w:asciiTheme="minorHAnsi" w:hAnsiTheme="minorHAnsi"/>
        </w:rPr>
        <w:t>sprawdzeniu prawidłowości wykonania szczelin dylatacyjnych zgodnie z p. 5.5.3.</w:t>
      </w:r>
    </w:p>
    <w:p w:rsidR="005E6FEF" w:rsidRPr="005E6FEF" w:rsidRDefault="005E6FEF" w:rsidP="005E6FEF">
      <w:pPr>
        <w:rPr>
          <w:rFonts w:asciiTheme="minorHAnsi" w:hAnsiTheme="minorHAnsi"/>
        </w:rPr>
      </w:pPr>
      <w:r w:rsidRPr="005E6FEF">
        <w:rPr>
          <w:rFonts w:asciiTheme="minorHAnsi" w:hAnsiTheme="minorHAnsi"/>
        </w:rPr>
        <w:t>Sprawdzenie wiązania kostki wykonuje się wyrywkowo w kilku miejscach przez oględziny nawierzchni i określenie czy wiązanie odpowiada wymaganiom wg p. 5.5.</w:t>
      </w:r>
    </w:p>
    <w:p w:rsidR="005E6FEF" w:rsidRPr="005E6FEF" w:rsidRDefault="005E6FEF" w:rsidP="005E6FEF">
      <w:pPr>
        <w:rPr>
          <w:rFonts w:asciiTheme="minorHAnsi" w:hAnsiTheme="minorHAnsi"/>
        </w:rPr>
      </w:pPr>
      <w:r w:rsidRPr="005E6FEF">
        <w:rPr>
          <w:rFonts w:asciiTheme="minorHAnsi" w:hAnsiTheme="minorHAnsi"/>
        </w:rPr>
        <w:t>Ubicie kostki sprawdza się przez swobodne jednokrotne opuszczenie z wysokości 15 cm ubijaka o masie 25 kg na poszczególne kostki. Pod wpływem takiego uderzenia osiadanie kostek nie powinno być dostrzegane.</w:t>
      </w:r>
    </w:p>
    <w:p w:rsidR="005E6FEF" w:rsidRDefault="005E6FEF" w:rsidP="005E6FEF">
      <w:pPr>
        <w:rPr>
          <w:rFonts w:asciiTheme="minorHAnsi" w:hAnsiTheme="minorHAnsi"/>
        </w:rPr>
      </w:pPr>
      <w:r w:rsidRPr="005E6FEF">
        <w:rPr>
          <w:rFonts w:asciiTheme="minorHAnsi" w:hAnsiTheme="minorHAnsi"/>
        </w:rPr>
        <w:t>.</w:t>
      </w:r>
    </w:p>
    <w:p w:rsidR="00C32050" w:rsidRDefault="00C32050" w:rsidP="005E6FEF">
      <w:pPr>
        <w:rPr>
          <w:rFonts w:asciiTheme="minorHAnsi" w:hAnsiTheme="minorHAnsi"/>
        </w:rPr>
      </w:pPr>
    </w:p>
    <w:p w:rsidR="00C32050" w:rsidRPr="005E6FEF" w:rsidRDefault="00C32050" w:rsidP="005E6FEF">
      <w:pPr>
        <w:rPr>
          <w:rFonts w:asciiTheme="minorHAnsi" w:hAnsiTheme="minorHAnsi"/>
        </w:rPr>
      </w:pPr>
    </w:p>
    <w:p w:rsidR="005E6FEF" w:rsidRPr="005E6FEF" w:rsidRDefault="005E6FEF" w:rsidP="005E6FEF">
      <w:pPr>
        <w:pStyle w:val="Nagwek4"/>
        <w:rPr>
          <w:rFonts w:asciiTheme="minorHAnsi" w:hAnsiTheme="minorHAnsi"/>
        </w:rPr>
      </w:pPr>
      <w:r w:rsidRPr="005E6FEF">
        <w:rPr>
          <w:rFonts w:asciiTheme="minorHAnsi" w:hAnsiTheme="minorHAnsi"/>
        </w:rPr>
        <w:lastRenderedPageBreak/>
        <w:t>6.4. Sprawdzenie cech geometrycznych nawierzchni</w:t>
      </w:r>
    </w:p>
    <w:p w:rsidR="005E6FEF" w:rsidRPr="005E6FEF" w:rsidRDefault="005E6FEF" w:rsidP="005E6FEF">
      <w:pPr>
        <w:rPr>
          <w:rFonts w:asciiTheme="minorHAnsi" w:hAnsiTheme="minorHAnsi"/>
        </w:rPr>
      </w:pPr>
      <w:r w:rsidRPr="005E6FEF">
        <w:rPr>
          <w:rFonts w:asciiTheme="minorHAnsi" w:hAnsiTheme="minorHAnsi"/>
          <w:b/>
        </w:rPr>
        <w:t xml:space="preserve">6.4.1. </w:t>
      </w:r>
      <w:r w:rsidRPr="005E6FEF">
        <w:rPr>
          <w:rFonts w:asciiTheme="minorHAnsi" w:hAnsiTheme="minorHAnsi"/>
        </w:rPr>
        <w:t>Równość</w:t>
      </w:r>
    </w:p>
    <w:p w:rsidR="005E6FEF" w:rsidRPr="005E6FEF" w:rsidRDefault="005E6FEF" w:rsidP="005E6FEF">
      <w:pPr>
        <w:rPr>
          <w:rFonts w:asciiTheme="minorHAnsi" w:hAnsiTheme="minorHAnsi"/>
        </w:rPr>
      </w:pPr>
      <w:r w:rsidRPr="005E6FEF">
        <w:rPr>
          <w:rFonts w:asciiTheme="minorHAnsi" w:hAnsiTheme="minorHAnsi"/>
        </w:rPr>
        <w:t>Nierówności podłużne nawierzchni należy mierzyć 4-metrową łatą lub planografem, zgodnie z normą BN-68/8931-04 .</w:t>
      </w:r>
    </w:p>
    <w:p w:rsidR="005E6FEF" w:rsidRPr="005E6FEF" w:rsidRDefault="005E6FEF" w:rsidP="005E6FEF">
      <w:pPr>
        <w:rPr>
          <w:rFonts w:asciiTheme="minorHAnsi" w:hAnsiTheme="minorHAnsi"/>
        </w:rPr>
      </w:pPr>
      <w:r w:rsidRPr="005E6FEF">
        <w:rPr>
          <w:rFonts w:asciiTheme="minorHAnsi" w:hAnsiTheme="minorHAnsi"/>
        </w:rPr>
        <w:t>Nierówności podłużne nawierzchni nie powinny przekraczać 7 mm.</w:t>
      </w:r>
    </w:p>
    <w:p w:rsidR="005E6FEF" w:rsidRPr="005E6FEF" w:rsidRDefault="005E6FEF" w:rsidP="005E6FEF">
      <w:pPr>
        <w:rPr>
          <w:rFonts w:asciiTheme="minorHAnsi" w:hAnsiTheme="minorHAnsi"/>
        </w:rPr>
      </w:pPr>
      <w:r w:rsidRPr="005E6FEF">
        <w:rPr>
          <w:rFonts w:asciiTheme="minorHAnsi" w:hAnsiTheme="minorHAnsi"/>
          <w:b/>
        </w:rPr>
        <w:t xml:space="preserve">6.4.2. </w:t>
      </w:r>
      <w:r w:rsidRPr="005E6FEF">
        <w:rPr>
          <w:rFonts w:asciiTheme="minorHAnsi" w:hAnsiTheme="minorHAnsi"/>
        </w:rPr>
        <w:t>Spadki poprzeczne</w:t>
      </w:r>
    </w:p>
    <w:p w:rsidR="005E6FEF" w:rsidRPr="005E6FEF" w:rsidRDefault="005E6FEF" w:rsidP="005E6FEF">
      <w:pPr>
        <w:rPr>
          <w:rFonts w:asciiTheme="minorHAnsi" w:hAnsiTheme="minorHAnsi"/>
        </w:rPr>
      </w:pPr>
      <w:r w:rsidRPr="005E6FEF">
        <w:rPr>
          <w:rFonts w:asciiTheme="minorHAnsi" w:hAnsiTheme="minorHAnsi"/>
        </w:rPr>
        <w:t xml:space="preserve">Spadki poprzeczne nawierzchni powinny być zgodne z dokumentacją projektową z tolerancją </w:t>
      </w:r>
      <w:r w:rsidRPr="005E6FEF">
        <w:rPr>
          <w:rFonts w:asciiTheme="minorHAnsi" w:hAnsiTheme="minorHAnsi"/>
        </w:rPr>
        <w:sym w:font="Symbol" w:char="F0B1"/>
      </w:r>
      <w:r w:rsidRPr="005E6FEF">
        <w:rPr>
          <w:rFonts w:asciiTheme="minorHAnsi" w:hAnsiTheme="minorHAnsi"/>
        </w:rPr>
        <w:t xml:space="preserve"> 0,5%.</w:t>
      </w:r>
    </w:p>
    <w:p w:rsidR="005E6FEF" w:rsidRPr="005E6FEF" w:rsidRDefault="005E6FEF" w:rsidP="005E6FEF">
      <w:pPr>
        <w:rPr>
          <w:rFonts w:asciiTheme="minorHAnsi" w:hAnsiTheme="minorHAnsi"/>
        </w:rPr>
      </w:pPr>
      <w:r w:rsidRPr="005E6FEF">
        <w:rPr>
          <w:rFonts w:asciiTheme="minorHAnsi" w:hAnsiTheme="minorHAnsi"/>
          <w:b/>
        </w:rPr>
        <w:t xml:space="preserve">6.4.3. </w:t>
      </w:r>
      <w:r w:rsidRPr="005E6FEF">
        <w:rPr>
          <w:rFonts w:asciiTheme="minorHAnsi" w:hAnsiTheme="minorHAnsi"/>
        </w:rPr>
        <w:t>Rzędne wysokościowe</w:t>
      </w:r>
    </w:p>
    <w:p w:rsidR="005E6FEF" w:rsidRPr="005E6FEF" w:rsidRDefault="005E6FEF" w:rsidP="005E6FEF">
      <w:pPr>
        <w:rPr>
          <w:rFonts w:asciiTheme="minorHAnsi" w:hAnsiTheme="minorHAnsi"/>
        </w:rPr>
      </w:pPr>
      <w:r w:rsidRPr="005E6FEF">
        <w:rPr>
          <w:rFonts w:asciiTheme="minorHAnsi" w:hAnsiTheme="minorHAnsi"/>
        </w:rPr>
        <w:t>Różnice pomiędzy rzędnymi wykonanej nawierzchni i rzędnymi projektowanymi nie powinny przekraczać +1 cm i -1 cm.</w:t>
      </w:r>
    </w:p>
    <w:p w:rsidR="005E6FEF" w:rsidRPr="005E6FEF" w:rsidRDefault="005E6FEF" w:rsidP="005E6FEF">
      <w:pPr>
        <w:rPr>
          <w:rFonts w:asciiTheme="minorHAnsi" w:hAnsiTheme="minorHAnsi"/>
        </w:rPr>
      </w:pPr>
      <w:r w:rsidRPr="005E6FEF">
        <w:rPr>
          <w:rFonts w:asciiTheme="minorHAnsi" w:hAnsiTheme="minorHAnsi"/>
          <w:b/>
        </w:rPr>
        <w:t xml:space="preserve">6.4.4. </w:t>
      </w:r>
      <w:r w:rsidRPr="005E6FEF">
        <w:rPr>
          <w:rFonts w:asciiTheme="minorHAnsi" w:hAnsiTheme="minorHAnsi"/>
        </w:rPr>
        <w:t>Ukształtowanie osi</w:t>
      </w:r>
    </w:p>
    <w:p w:rsidR="005E6FEF" w:rsidRPr="005E6FEF" w:rsidRDefault="005E6FEF" w:rsidP="005E6FEF">
      <w:pPr>
        <w:rPr>
          <w:rFonts w:asciiTheme="minorHAnsi" w:hAnsiTheme="minorHAnsi"/>
        </w:rPr>
      </w:pPr>
      <w:r w:rsidRPr="005E6FEF">
        <w:rPr>
          <w:rFonts w:asciiTheme="minorHAnsi" w:hAnsiTheme="minorHAnsi"/>
        </w:rPr>
        <w:t xml:space="preserve">Oś nawierzchni w planie nie może być przesunięta w stosunku do osi projektowanej o więcej niż </w:t>
      </w:r>
      <w:r w:rsidRPr="005E6FEF">
        <w:rPr>
          <w:rFonts w:asciiTheme="minorHAnsi" w:hAnsiTheme="minorHAnsi"/>
        </w:rPr>
        <w:sym w:font="Symbol" w:char="F0B1"/>
      </w:r>
      <w:r w:rsidRPr="005E6FEF">
        <w:rPr>
          <w:rFonts w:asciiTheme="minorHAnsi" w:hAnsiTheme="minorHAnsi"/>
        </w:rPr>
        <w:t xml:space="preserve"> 5 cm.</w:t>
      </w:r>
    </w:p>
    <w:p w:rsidR="005E6FEF" w:rsidRPr="005E6FEF" w:rsidRDefault="005E6FEF" w:rsidP="005E6FEF">
      <w:pPr>
        <w:rPr>
          <w:rFonts w:asciiTheme="minorHAnsi" w:hAnsiTheme="minorHAnsi"/>
        </w:rPr>
      </w:pPr>
      <w:r w:rsidRPr="005E6FEF">
        <w:rPr>
          <w:rFonts w:asciiTheme="minorHAnsi" w:hAnsiTheme="minorHAnsi"/>
          <w:b/>
        </w:rPr>
        <w:t xml:space="preserve">6.4.5. </w:t>
      </w:r>
      <w:r w:rsidRPr="005E6FEF">
        <w:rPr>
          <w:rFonts w:asciiTheme="minorHAnsi" w:hAnsiTheme="minorHAnsi"/>
        </w:rPr>
        <w:t>Szerokość nawierzchni</w:t>
      </w:r>
    </w:p>
    <w:p w:rsidR="005E6FEF" w:rsidRPr="005E6FEF" w:rsidRDefault="005E6FEF" w:rsidP="005E6FEF">
      <w:pPr>
        <w:rPr>
          <w:rFonts w:asciiTheme="minorHAnsi" w:hAnsiTheme="minorHAnsi"/>
        </w:rPr>
      </w:pPr>
      <w:r w:rsidRPr="005E6FEF">
        <w:rPr>
          <w:rFonts w:asciiTheme="minorHAnsi" w:hAnsiTheme="minorHAnsi"/>
        </w:rPr>
        <w:t xml:space="preserve">Szerokość nawierzchni nie może różnić się od szerokości projektowanej o więcej niż </w:t>
      </w:r>
      <w:r w:rsidRPr="005E6FEF">
        <w:rPr>
          <w:rFonts w:asciiTheme="minorHAnsi" w:hAnsiTheme="minorHAnsi"/>
        </w:rPr>
        <w:sym w:font="Symbol" w:char="F0B1"/>
      </w:r>
      <w:r w:rsidRPr="005E6FEF">
        <w:rPr>
          <w:rFonts w:asciiTheme="minorHAnsi" w:hAnsiTheme="minorHAnsi"/>
        </w:rPr>
        <w:t xml:space="preserve"> 5 cm.</w:t>
      </w:r>
    </w:p>
    <w:p w:rsidR="005E6FEF" w:rsidRPr="005E6FEF" w:rsidRDefault="005E6FEF" w:rsidP="005E6FEF">
      <w:pPr>
        <w:rPr>
          <w:rFonts w:asciiTheme="minorHAnsi" w:hAnsiTheme="minorHAnsi"/>
        </w:rPr>
      </w:pPr>
      <w:r w:rsidRPr="005E6FEF">
        <w:rPr>
          <w:rFonts w:asciiTheme="minorHAnsi" w:hAnsiTheme="minorHAnsi"/>
          <w:b/>
        </w:rPr>
        <w:t xml:space="preserve">6.4.6. </w:t>
      </w:r>
      <w:r w:rsidRPr="005E6FEF">
        <w:rPr>
          <w:rFonts w:asciiTheme="minorHAnsi" w:hAnsiTheme="minorHAnsi"/>
        </w:rPr>
        <w:t>Grubość podsypki</w:t>
      </w:r>
    </w:p>
    <w:p w:rsidR="005E6FEF" w:rsidRPr="005E6FEF" w:rsidRDefault="005E6FEF" w:rsidP="005E6FEF">
      <w:pPr>
        <w:rPr>
          <w:rFonts w:asciiTheme="minorHAnsi" w:hAnsiTheme="minorHAnsi"/>
        </w:rPr>
      </w:pPr>
      <w:r w:rsidRPr="005E6FEF">
        <w:rPr>
          <w:rFonts w:asciiTheme="minorHAnsi" w:hAnsiTheme="minorHAnsi"/>
        </w:rPr>
        <w:t xml:space="preserve">Dopuszczalne odchyłki od projektowanej grubości podsypki nie powinny przekraczać </w:t>
      </w:r>
      <w:r w:rsidRPr="005E6FEF">
        <w:rPr>
          <w:rFonts w:asciiTheme="minorHAnsi" w:hAnsiTheme="minorHAnsi"/>
        </w:rPr>
        <w:sym w:font="Symbol" w:char="F0B1"/>
      </w:r>
      <w:r w:rsidRPr="005E6FEF">
        <w:rPr>
          <w:rFonts w:asciiTheme="minorHAnsi" w:hAnsiTheme="minorHAnsi"/>
        </w:rPr>
        <w:t xml:space="preserve"> 1,0 cm.</w:t>
      </w:r>
    </w:p>
    <w:p w:rsidR="005E6FEF" w:rsidRPr="005E6FEF" w:rsidRDefault="005E6FEF" w:rsidP="005E6FEF">
      <w:pPr>
        <w:rPr>
          <w:rFonts w:asciiTheme="minorHAnsi" w:hAnsiTheme="minorHAnsi"/>
        </w:rPr>
      </w:pPr>
      <w:r w:rsidRPr="005E6FEF">
        <w:rPr>
          <w:rFonts w:asciiTheme="minorHAnsi" w:hAnsiTheme="minorHAnsi"/>
          <w:b/>
        </w:rPr>
        <w:t xml:space="preserve">6.4.7. </w:t>
      </w:r>
      <w:r w:rsidRPr="005E6FEF">
        <w:rPr>
          <w:rFonts w:asciiTheme="minorHAnsi" w:hAnsiTheme="minorHAnsi"/>
        </w:rPr>
        <w:t>Częstotliwość oraz zakres badań i pomiarów</w:t>
      </w:r>
    </w:p>
    <w:p w:rsidR="005E6FEF" w:rsidRPr="005E6FEF" w:rsidRDefault="005E6FEF" w:rsidP="005E6FEF">
      <w:pPr>
        <w:rPr>
          <w:rFonts w:asciiTheme="minorHAnsi" w:hAnsiTheme="minorHAnsi"/>
        </w:rPr>
      </w:pPr>
      <w:r w:rsidRPr="005E6FEF">
        <w:rPr>
          <w:rFonts w:asciiTheme="minorHAnsi" w:hAnsiTheme="minorHAnsi"/>
        </w:rPr>
        <w:t>Częstotliwość oraz zakres badań i pomiarów wykonanej nawierzchni z kostek kamiennych przedstawiono w tablicy 5.</w:t>
      </w:r>
    </w:p>
    <w:p w:rsidR="005E6FEF" w:rsidRPr="005E6FEF" w:rsidRDefault="005E6FEF" w:rsidP="005E6FEF">
      <w:pPr>
        <w:rPr>
          <w:rFonts w:asciiTheme="minorHAnsi" w:hAnsiTheme="minorHAnsi"/>
        </w:rPr>
      </w:pPr>
      <w:r w:rsidRPr="005E6FEF">
        <w:rPr>
          <w:rFonts w:asciiTheme="minorHAnsi" w:hAnsiTheme="minorHAnsi"/>
        </w:rPr>
        <w:t>Tablica 5. Częstotliwość i zakres badań cech geometrycznych nawierzchni</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2551"/>
        <w:gridCol w:w="5387"/>
      </w:tblGrid>
      <w:tr w:rsidR="005E6FEF" w:rsidRPr="005E6FEF" w:rsidTr="005E6FEF">
        <w:tc>
          <w:tcPr>
            <w:tcW w:w="496" w:type="dxa"/>
            <w:tcBorders>
              <w:bottom w:val="double" w:sz="6" w:space="0" w:color="auto"/>
            </w:tcBorders>
          </w:tcPr>
          <w:p w:rsidR="005E6FEF" w:rsidRPr="005E6FEF" w:rsidRDefault="005E6FEF" w:rsidP="005E6FEF">
            <w:pPr>
              <w:rPr>
                <w:rFonts w:asciiTheme="minorHAnsi" w:hAnsiTheme="minorHAnsi"/>
              </w:rPr>
            </w:pPr>
            <w:r w:rsidRPr="005E6FEF">
              <w:rPr>
                <w:rFonts w:asciiTheme="minorHAnsi" w:hAnsiTheme="minorHAnsi"/>
              </w:rPr>
              <w:t>Lp.</w:t>
            </w:r>
          </w:p>
        </w:tc>
        <w:tc>
          <w:tcPr>
            <w:tcW w:w="2551" w:type="dxa"/>
            <w:tcBorders>
              <w:bottom w:val="double" w:sz="6" w:space="0" w:color="auto"/>
            </w:tcBorders>
          </w:tcPr>
          <w:p w:rsidR="005E6FEF" w:rsidRPr="005E6FEF" w:rsidRDefault="005E6FEF" w:rsidP="005E6FEF">
            <w:pPr>
              <w:rPr>
                <w:rFonts w:asciiTheme="minorHAnsi" w:hAnsiTheme="minorHAnsi"/>
              </w:rPr>
            </w:pPr>
            <w:r w:rsidRPr="005E6FEF">
              <w:rPr>
                <w:rFonts w:asciiTheme="minorHAnsi" w:hAnsiTheme="minorHAnsi"/>
              </w:rPr>
              <w:t>Wyszczególnienie badań            i pomiarów</w:t>
            </w:r>
          </w:p>
        </w:tc>
        <w:tc>
          <w:tcPr>
            <w:tcW w:w="5387" w:type="dxa"/>
            <w:tcBorders>
              <w:bottom w:val="double" w:sz="6" w:space="0" w:color="auto"/>
            </w:tcBorders>
          </w:tcPr>
          <w:p w:rsidR="005E6FEF" w:rsidRPr="005E6FEF" w:rsidRDefault="005E6FEF" w:rsidP="005E6FEF">
            <w:pPr>
              <w:rPr>
                <w:rFonts w:asciiTheme="minorHAnsi" w:hAnsiTheme="minorHAnsi"/>
              </w:rPr>
            </w:pPr>
            <w:r w:rsidRPr="005E6FEF">
              <w:rPr>
                <w:rFonts w:asciiTheme="minorHAnsi" w:hAnsiTheme="minorHAnsi"/>
              </w:rPr>
              <w:t>Minimalna częstotliwość</w:t>
            </w:r>
          </w:p>
          <w:p w:rsidR="005E6FEF" w:rsidRPr="005E6FEF" w:rsidRDefault="005E6FEF" w:rsidP="005E6FEF">
            <w:pPr>
              <w:rPr>
                <w:rFonts w:asciiTheme="minorHAnsi" w:hAnsiTheme="minorHAnsi"/>
              </w:rPr>
            </w:pPr>
            <w:r w:rsidRPr="005E6FEF">
              <w:rPr>
                <w:rFonts w:asciiTheme="minorHAnsi" w:hAnsiTheme="minorHAnsi"/>
              </w:rPr>
              <w:t>badań i pomiarów</w:t>
            </w:r>
          </w:p>
        </w:tc>
      </w:tr>
      <w:tr w:rsidR="005E6FEF" w:rsidRPr="005E6FEF" w:rsidTr="005E6FEF">
        <w:tc>
          <w:tcPr>
            <w:tcW w:w="496" w:type="dxa"/>
            <w:tcBorders>
              <w:top w:val="nil"/>
            </w:tcBorders>
          </w:tcPr>
          <w:p w:rsidR="005E6FEF" w:rsidRPr="005E6FEF" w:rsidRDefault="005E6FEF" w:rsidP="005E6FEF">
            <w:pPr>
              <w:rPr>
                <w:rFonts w:asciiTheme="minorHAnsi" w:hAnsiTheme="minorHAnsi"/>
              </w:rPr>
            </w:pPr>
            <w:r w:rsidRPr="005E6FEF">
              <w:rPr>
                <w:rFonts w:asciiTheme="minorHAnsi" w:hAnsiTheme="minorHAnsi"/>
              </w:rPr>
              <w:t>1</w:t>
            </w:r>
          </w:p>
        </w:tc>
        <w:tc>
          <w:tcPr>
            <w:tcW w:w="2551" w:type="dxa"/>
            <w:tcBorders>
              <w:top w:val="nil"/>
            </w:tcBorders>
          </w:tcPr>
          <w:p w:rsidR="005E6FEF" w:rsidRPr="005E6FEF" w:rsidRDefault="005E6FEF" w:rsidP="005E6FEF">
            <w:pPr>
              <w:rPr>
                <w:rFonts w:asciiTheme="minorHAnsi" w:hAnsiTheme="minorHAnsi"/>
              </w:rPr>
            </w:pPr>
            <w:r w:rsidRPr="005E6FEF">
              <w:rPr>
                <w:rFonts w:asciiTheme="minorHAnsi" w:hAnsiTheme="minorHAnsi"/>
              </w:rPr>
              <w:t>Spadki poprzeczne</w:t>
            </w:r>
          </w:p>
        </w:tc>
        <w:tc>
          <w:tcPr>
            <w:tcW w:w="5387" w:type="dxa"/>
            <w:tcBorders>
              <w:top w:val="nil"/>
            </w:tcBorders>
          </w:tcPr>
          <w:p w:rsidR="005E6FEF" w:rsidRPr="005E6FEF" w:rsidRDefault="005E6FEF" w:rsidP="005E6FEF">
            <w:pPr>
              <w:shd w:val="clear" w:color="auto" w:fill="FFFFFF"/>
              <w:rPr>
                <w:rFonts w:asciiTheme="minorHAnsi" w:hAnsiTheme="minorHAnsi"/>
              </w:rPr>
            </w:pPr>
            <w:r w:rsidRPr="005E6FEF">
              <w:rPr>
                <w:rFonts w:asciiTheme="minorHAnsi" w:hAnsiTheme="minorHAnsi"/>
                <w:color w:val="000000"/>
                <w:spacing w:val="-2"/>
              </w:rPr>
              <w:t>1 raz na 1 zatokę i zjazd i co 20 m chodniki</w:t>
            </w:r>
          </w:p>
        </w:tc>
      </w:tr>
      <w:tr w:rsidR="005E6FEF" w:rsidRPr="005E6FEF" w:rsidTr="005E6FEF">
        <w:tc>
          <w:tcPr>
            <w:tcW w:w="496" w:type="dxa"/>
          </w:tcPr>
          <w:p w:rsidR="005E6FEF" w:rsidRPr="005E6FEF" w:rsidRDefault="005E6FEF" w:rsidP="005E6FEF">
            <w:pPr>
              <w:rPr>
                <w:rFonts w:asciiTheme="minorHAnsi" w:hAnsiTheme="minorHAnsi"/>
              </w:rPr>
            </w:pPr>
            <w:r w:rsidRPr="005E6FEF">
              <w:rPr>
                <w:rFonts w:asciiTheme="minorHAnsi" w:hAnsiTheme="minorHAnsi"/>
              </w:rPr>
              <w:t>2</w:t>
            </w:r>
          </w:p>
        </w:tc>
        <w:tc>
          <w:tcPr>
            <w:tcW w:w="2551" w:type="dxa"/>
          </w:tcPr>
          <w:p w:rsidR="005E6FEF" w:rsidRPr="005E6FEF" w:rsidRDefault="005E6FEF" w:rsidP="005E6FEF">
            <w:pPr>
              <w:rPr>
                <w:rFonts w:asciiTheme="minorHAnsi" w:hAnsiTheme="minorHAnsi"/>
              </w:rPr>
            </w:pPr>
            <w:r w:rsidRPr="005E6FEF">
              <w:rPr>
                <w:rFonts w:asciiTheme="minorHAnsi" w:hAnsiTheme="minorHAnsi"/>
              </w:rPr>
              <w:t>Rzędne wysokościowe</w:t>
            </w:r>
          </w:p>
        </w:tc>
        <w:tc>
          <w:tcPr>
            <w:tcW w:w="5387" w:type="dxa"/>
          </w:tcPr>
          <w:p w:rsidR="005E6FEF" w:rsidRPr="005E6FEF" w:rsidRDefault="005E6FEF" w:rsidP="005E6FEF">
            <w:pPr>
              <w:shd w:val="clear" w:color="auto" w:fill="FFFFFF"/>
              <w:rPr>
                <w:rFonts w:asciiTheme="minorHAnsi" w:hAnsiTheme="minorHAnsi"/>
              </w:rPr>
            </w:pPr>
            <w:r w:rsidRPr="005E6FEF">
              <w:rPr>
                <w:rFonts w:asciiTheme="minorHAnsi" w:hAnsiTheme="minorHAnsi"/>
                <w:color w:val="000000"/>
                <w:spacing w:val="-2"/>
              </w:rPr>
              <w:t>1 raz na 1 zatokę i zjazd i co 20 m chodniki</w:t>
            </w:r>
            <w:r w:rsidRPr="005E6FEF" w:rsidDel="00162154">
              <w:rPr>
                <w:rFonts w:asciiTheme="minorHAnsi" w:hAnsiTheme="minorHAnsi"/>
                <w:color w:val="000000"/>
                <w:spacing w:val="-2"/>
              </w:rPr>
              <w:t xml:space="preserve"> </w:t>
            </w:r>
          </w:p>
        </w:tc>
      </w:tr>
      <w:tr w:rsidR="005E6FEF" w:rsidRPr="005E6FEF" w:rsidTr="005E6FEF">
        <w:tc>
          <w:tcPr>
            <w:tcW w:w="496" w:type="dxa"/>
          </w:tcPr>
          <w:p w:rsidR="005E6FEF" w:rsidRPr="005E6FEF" w:rsidRDefault="005E6FEF" w:rsidP="005E6FEF">
            <w:pPr>
              <w:rPr>
                <w:rFonts w:asciiTheme="minorHAnsi" w:hAnsiTheme="minorHAnsi"/>
              </w:rPr>
            </w:pPr>
            <w:r w:rsidRPr="005E6FEF">
              <w:rPr>
                <w:rFonts w:asciiTheme="minorHAnsi" w:hAnsiTheme="minorHAnsi"/>
              </w:rPr>
              <w:t>3</w:t>
            </w:r>
          </w:p>
        </w:tc>
        <w:tc>
          <w:tcPr>
            <w:tcW w:w="2551" w:type="dxa"/>
          </w:tcPr>
          <w:p w:rsidR="005E6FEF" w:rsidRPr="005E6FEF" w:rsidRDefault="005E6FEF" w:rsidP="005E6FEF">
            <w:pPr>
              <w:rPr>
                <w:rFonts w:asciiTheme="minorHAnsi" w:hAnsiTheme="minorHAnsi"/>
              </w:rPr>
            </w:pPr>
            <w:r w:rsidRPr="005E6FEF">
              <w:rPr>
                <w:rFonts w:asciiTheme="minorHAnsi" w:hAnsiTheme="minorHAnsi"/>
              </w:rPr>
              <w:t>Szerokość nawierzchni</w:t>
            </w:r>
          </w:p>
        </w:tc>
        <w:tc>
          <w:tcPr>
            <w:tcW w:w="5387" w:type="dxa"/>
          </w:tcPr>
          <w:p w:rsidR="005E6FEF" w:rsidRPr="005E6FEF" w:rsidRDefault="005E6FEF" w:rsidP="005E6FEF">
            <w:pPr>
              <w:rPr>
                <w:rFonts w:asciiTheme="minorHAnsi" w:hAnsiTheme="minorHAnsi"/>
              </w:rPr>
            </w:pPr>
            <w:r w:rsidRPr="005E6FEF">
              <w:rPr>
                <w:rFonts w:asciiTheme="minorHAnsi" w:hAnsiTheme="minorHAnsi"/>
                <w:color w:val="000000"/>
                <w:spacing w:val="-2"/>
              </w:rPr>
              <w:t>1 raz na 1 zatokę i zjazd i co 20 m chodniki</w:t>
            </w:r>
            <w:r w:rsidRPr="005E6FEF" w:rsidDel="00162154">
              <w:rPr>
                <w:rFonts w:asciiTheme="minorHAnsi" w:hAnsiTheme="minorHAnsi"/>
                <w:color w:val="000000"/>
                <w:spacing w:val="-2"/>
              </w:rPr>
              <w:t xml:space="preserve"> </w:t>
            </w:r>
          </w:p>
        </w:tc>
      </w:tr>
      <w:tr w:rsidR="005E6FEF" w:rsidRPr="005E6FEF" w:rsidTr="005E6FEF">
        <w:tc>
          <w:tcPr>
            <w:tcW w:w="496" w:type="dxa"/>
          </w:tcPr>
          <w:p w:rsidR="005E6FEF" w:rsidRPr="005E6FEF" w:rsidRDefault="005E6FEF" w:rsidP="005E6FEF">
            <w:pPr>
              <w:rPr>
                <w:rFonts w:asciiTheme="minorHAnsi" w:hAnsiTheme="minorHAnsi"/>
              </w:rPr>
            </w:pPr>
            <w:r w:rsidRPr="005E6FEF">
              <w:rPr>
                <w:rFonts w:asciiTheme="minorHAnsi" w:hAnsiTheme="minorHAnsi"/>
              </w:rPr>
              <w:t>4</w:t>
            </w:r>
          </w:p>
        </w:tc>
        <w:tc>
          <w:tcPr>
            <w:tcW w:w="2551" w:type="dxa"/>
          </w:tcPr>
          <w:p w:rsidR="005E6FEF" w:rsidRPr="005E6FEF" w:rsidRDefault="005E6FEF" w:rsidP="005E6FEF">
            <w:pPr>
              <w:rPr>
                <w:rFonts w:asciiTheme="minorHAnsi" w:hAnsiTheme="minorHAnsi"/>
              </w:rPr>
            </w:pPr>
            <w:r w:rsidRPr="005E6FEF">
              <w:rPr>
                <w:rFonts w:asciiTheme="minorHAnsi" w:hAnsiTheme="minorHAnsi"/>
              </w:rPr>
              <w:t>Grubość podsypki</w:t>
            </w:r>
          </w:p>
        </w:tc>
        <w:tc>
          <w:tcPr>
            <w:tcW w:w="5387" w:type="dxa"/>
          </w:tcPr>
          <w:p w:rsidR="005E6FEF" w:rsidRPr="005E6FEF" w:rsidRDefault="005E6FEF" w:rsidP="005E6FEF">
            <w:pPr>
              <w:rPr>
                <w:rFonts w:asciiTheme="minorHAnsi" w:hAnsiTheme="minorHAnsi"/>
              </w:rPr>
            </w:pPr>
            <w:r w:rsidRPr="005E6FEF">
              <w:rPr>
                <w:rFonts w:asciiTheme="minorHAnsi" w:hAnsiTheme="minorHAnsi"/>
                <w:color w:val="000000"/>
                <w:spacing w:val="-2"/>
              </w:rPr>
              <w:t>1 raz na 1 zatokę i zjazd i co 20 m chodniki</w:t>
            </w:r>
            <w:r w:rsidRPr="005E6FEF" w:rsidDel="00162154">
              <w:rPr>
                <w:rFonts w:asciiTheme="minorHAnsi" w:hAnsiTheme="minorHAnsi"/>
                <w:color w:val="000000"/>
                <w:spacing w:val="-2"/>
              </w:rPr>
              <w:t xml:space="preserve"> </w:t>
            </w:r>
          </w:p>
        </w:tc>
      </w:tr>
    </w:tbl>
    <w:p w:rsidR="005E6FEF" w:rsidRPr="005E6FEF" w:rsidRDefault="005E6FEF" w:rsidP="005E6FEF">
      <w:pPr>
        <w:rPr>
          <w:rFonts w:asciiTheme="minorHAnsi" w:hAnsiTheme="minorHAnsi"/>
        </w:rPr>
      </w:pPr>
    </w:p>
    <w:p w:rsidR="005E6FEF" w:rsidRPr="005E6FEF" w:rsidRDefault="005E6FEF" w:rsidP="005E6FEF">
      <w:pPr>
        <w:pStyle w:val="Nagwek3"/>
        <w:rPr>
          <w:rFonts w:asciiTheme="minorHAnsi" w:hAnsiTheme="minorHAnsi"/>
        </w:rPr>
      </w:pPr>
      <w:bookmarkStart w:id="1281" w:name="_Toc422021648"/>
      <w:bookmarkStart w:id="1282" w:name="_Toc422115852"/>
      <w:r w:rsidRPr="005E6FEF">
        <w:rPr>
          <w:rFonts w:asciiTheme="minorHAnsi" w:hAnsiTheme="minorHAnsi"/>
        </w:rPr>
        <w:t>7. OBMIAR ROBÓT</w:t>
      </w:r>
      <w:bookmarkEnd w:id="1281"/>
      <w:bookmarkEnd w:id="1282"/>
    </w:p>
    <w:p w:rsidR="00C32050" w:rsidRPr="00203191" w:rsidRDefault="00C32050" w:rsidP="00C32050">
      <w:pPr>
        <w:pStyle w:val="Nagwek4"/>
        <w:rPr>
          <w:rFonts w:asciiTheme="minorHAnsi" w:hAnsiTheme="minorHAnsi"/>
        </w:rPr>
      </w:pPr>
      <w:bookmarkStart w:id="1283" w:name="_Toc422021649"/>
      <w:bookmarkStart w:id="1284" w:name="_Toc422115853"/>
      <w:r w:rsidRPr="00203191">
        <w:rPr>
          <w:rFonts w:asciiTheme="minorHAnsi" w:hAnsiTheme="minorHAnsi"/>
        </w:rPr>
        <w:t>7.1. Ogólne zasady obmiaru robót</w:t>
      </w:r>
    </w:p>
    <w:p w:rsidR="00C32050" w:rsidRPr="00203191" w:rsidRDefault="00C32050" w:rsidP="00C32050">
      <w:pPr>
        <w:rPr>
          <w:rFonts w:asciiTheme="minorHAnsi" w:hAnsiTheme="minorHAnsi"/>
        </w:rPr>
      </w:pPr>
      <w:r w:rsidRPr="00203191">
        <w:rPr>
          <w:rFonts w:asciiTheme="minorHAnsi" w:hAnsiTheme="minorHAnsi"/>
        </w:rPr>
        <w:t>Ogólne zasady obmiaru robót podano w SSTWiORB D-M-00.00.00 „Wymagania ogólne” pkt 7.</w:t>
      </w:r>
    </w:p>
    <w:p w:rsidR="00C32050" w:rsidRPr="00203191" w:rsidRDefault="00C32050" w:rsidP="00C32050">
      <w:pPr>
        <w:pStyle w:val="Nagwek4"/>
        <w:rPr>
          <w:rFonts w:asciiTheme="minorHAnsi" w:hAnsiTheme="minorHAnsi"/>
        </w:rPr>
      </w:pPr>
      <w:r w:rsidRPr="00203191">
        <w:rPr>
          <w:rFonts w:asciiTheme="minorHAnsi" w:hAnsiTheme="minorHAnsi"/>
        </w:rPr>
        <w:t>7.2. Jednostka obmiarowa</w:t>
      </w:r>
    </w:p>
    <w:p w:rsidR="005E6FEF" w:rsidRPr="005E6FEF" w:rsidRDefault="00C32050" w:rsidP="00C32050">
      <w:pPr>
        <w:rPr>
          <w:rFonts w:asciiTheme="minorHAnsi" w:hAnsiTheme="minorHAnsi"/>
        </w:rPr>
      </w:pPr>
      <w:r w:rsidRPr="00203191">
        <w:rPr>
          <w:rFonts w:asciiTheme="minorHAnsi" w:hAnsiTheme="minorHAnsi"/>
        </w:rPr>
        <w:t>Jednostką obmiarową jest m</w:t>
      </w:r>
      <w:r w:rsidRPr="00203191">
        <w:rPr>
          <w:rFonts w:asciiTheme="minorHAnsi" w:hAnsiTheme="minorHAnsi"/>
          <w:vertAlign w:val="superscript"/>
        </w:rPr>
        <w:t>2</w:t>
      </w:r>
      <w:r w:rsidRPr="00203191">
        <w:rPr>
          <w:rFonts w:asciiTheme="minorHAnsi" w:hAnsiTheme="minorHAnsi"/>
        </w:rPr>
        <w:t xml:space="preserve"> (metr kwadratowy) wykonanej nawierzchni z </w:t>
      </w:r>
      <w:r>
        <w:rPr>
          <w:rFonts w:asciiTheme="minorHAnsi" w:hAnsiTheme="minorHAnsi"/>
        </w:rPr>
        <w:t>kamiennej</w:t>
      </w:r>
      <w:r w:rsidRPr="00203191">
        <w:rPr>
          <w:rFonts w:asciiTheme="minorHAnsi" w:hAnsiTheme="minorHAnsi"/>
        </w:rPr>
        <w:t xml:space="preserve"> kostki brukowej</w:t>
      </w:r>
    </w:p>
    <w:p w:rsidR="005E6FEF" w:rsidRPr="005E6FEF" w:rsidRDefault="005E6FEF" w:rsidP="005E6FEF">
      <w:pPr>
        <w:pStyle w:val="Nagwek3"/>
        <w:rPr>
          <w:rFonts w:asciiTheme="minorHAnsi" w:hAnsiTheme="minorHAnsi"/>
        </w:rPr>
      </w:pPr>
      <w:r w:rsidRPr="005E6FEF">
        <w:rPr>
          <w:rFonts w:asciiTheme="minorHAnsi" w:hAnsiTheme="minorHAnsi"/>
        </w:rPr>
        <w:t>8. ODBIÓR ROBÓT</w:t>
      </w:r>
      <w:bookmarkEnd w:id="1283"/>
      <w:bookmarkEnd w:id="1284"/>
    </w:p>
    <w:p w:rsidR="005E6FEF" w:rsidRPr="005E6FEF" w:rsidRDefault="005E6FEF" w:rsidP="005E6FEF">
      <w:pPr>
        <w:pStyle w:val="Nagwek4"/>
        <w:rPr>
          <w:rFonts w:asciiTheme="minorHAnsi" w:hAnsiTheme="minorHAnsi"/>
        </w:rPr>
      </w:pPr>
      <w:r w:rsidRPr="005E6FEF">
        <w:rPr>
          <w:rFonts w:asciiTheme="minorHAnsi" w:hAnsiTheme="minorHAnsi"/>
        </w:rPr>
        <w:t>8.1. Ogólne zasady odbioru robót</w:t>
      </w:r>
    </w:p>
    <w:p w:rsidR="005E6FEF" w:rsidRPr="005E6FEF" w:rsidRDefault="005E6FEF" w:rsidP="005E6FEF">
      <w:pPr>
        <w:rPr>
          <w:rFonts w:asciiTheme="minorHAnsi" w:hAnsiTheme="minorHAnsi"/>
        </w:rPr>
      </w:pPr>
      <w:r w:rsidRPr="005E6FEF">
        <w:rPr>
          <w:rFonts w:asciiTheme="minorHAnsi" w:hAnsiTheme="minorHAnsi"/>
        </w:rPr>
        <w:t>Ogólne zasady odbioru robót podano w STWiORB D-M-00.00.00 „Wymagania ogólne” pkt 8.</w:t>
      </w:r>
    </w:p>
    <w:p w:rsidR="005E6FEF" w:rsidRPr="005E6FEF" w:rsidRDefault="005E6FEF" w:rsidP="005E6FEF">
      <w:pPr>
        <w:rPr>
          <w:rFonts w:asciiTheme="minorHAnsi" w:hAnsiTheme="minorHAnsi"/>
        </w:rPr>
      </w:pPr>
      <w:r w:rsidRPr="005E6FEF">
        <w:rPr>
          <w:rFonts w:asciiTheme="minorHAnsi" w:hAnsiTheme="minorHAnsi"/>
        </w:rPr>
        <w:t>Roboty uznaje się za wykonane zgodnie z dokumentacją projektową, STWiORB i wymaganiami Inżyniera, jeżeli wszystkie pomiary i badania z zachowaniem tolerancji według pkt 6 dały wyniki pozytywne.</w:t>
      </w:r>
    </w:p>
    <w:p w:rsidR="005E6FEF" w:rsidRPr="005E6FEF" w:rsidRDefault="005E6FEF" w:rsidP="005E6FEF">
      <w:pPr>
        <w:pStyle w:val="Nagwek4"/>
        <w:rPr>
          <w:rFonts w:asciiTheme="minorHAnsi" w:hAnsiTheme="minorHAnsi"/>
        </w:rPr>
      </w:pPr>
      <w:r w:rsidRPr="005E6FEF">
        <w:rPr>
          <w:rFonts w:asciiTheme="minorHAnsi" w:hAnsiTheme="minorHAnsi"/>
        </w:rPr>
        <w:t>8.2. Odbiór robót zanikających i ulegających  zakryciu</w:t>
      </w:r>
    </w:p>
    <w:p w:rsidR="005E6FEF" w:rsidRPr="005E6FEF" w:rsidRDefault="005E6FEF" w:rsidP="005E6FEF">
      <w:pPr>
        <w:rPr>
          <w:rFonts w:asciiTheme="minorHAnsi" w:hAnsiTheme="minorHAnsi"/>
        </w:rPr>
      </w:pPr>
      <w:r w:rsidRPr="005E6FEF">
        <w:rPr>
          <w:rFonts w:asciiTheme="minorHAnsi" w:hAnsiTheme="minorHAnsi"/>
        </w:rPr>
        <w:t>Roboty związane z wykonaniem podsypki należą do robót ulegających zakryciu. Zasady ich odbioru są określone w STWiORB D-M-00.00.00 „Wymagania ogólne”  pkt 8.2.</w:t>
      </w:r>
    </w:p>
    <w:p w:rsidR="005E6FEF" w:rsidRPr="005E6FEF" w:rsidRDefault="005E6FEF" w:rsidP="005E6FEF">
      <w:pPr>
        <w:pStyle w:val="Nagwek3"/>
        <w:rPr>
          <w:rFonts w:asciiTheme="minorHAnsi" w:hAnsiTheme="minorHAnsi"/>
        </w:rPr>
      </w:pPr>
      <w:bookmarkStart w:id="1285" w:name="_Toc422021650"/>
      <w:bookmarkStart w:id="1286" w:name="_Toc422115854"/>
      <w:r w:rsidRPr="005E6FEF">
        <w:rPr>
          <w:rFonts w:asciiTheme="minorHAnsi" w:hAnsiTheme="minorHAnsi"/>
        </w:rPr>
        <w:t>9. PODSTAWA PŁATNOŚCI</w:t>
      </w:r>
      <w:bookmarkEnd w:id="1285"/>
      <w:bookmarkEnd w:id="1286"/>
    </w:p>
    <w:p w:rsidR="00C32050" w:rsidRPr="00203191" w:rsidRDefault="00C32050" w:rsidP="00C32050">
      <w:pPr>
        <w:pStyle w:val="Nagwek4"/>
        <w:rPr>
          <w:rFonts w:asciiTheme="minorHAnsi" w:hAnsiTheme="minorHAnsi"/>
        </w:rPr>
      </w:pPr>
      <w:bookmarkStart w:id="1287" w:name="_Toc422115855"/>
      <w:r w:rsidRPr="00203191">
        <w:rPr>
          <w:rFonts w:asciiTheme="minorHAnsi" w:hAnsiTheme="minorHAnsi"/>
        </w:rPr>
        <w:t>9.1. Ogólne ustalenia dotyczące podstawy płatności</w:t>
      </w:r>
    </w:p>
    <w:p w:rsidR="00C32050" w:rsidRPr="00203191" w:rsidRDefault="00C32050" w:rsidP="00C32050">
      <w:pPr>
        <w:rPr>
          <w:rFonts w:asciiTheme="minorHAnsi" w:hAnsiTheme="minorHAnsi"/>
        </w:rPr>
      </w:pPr>
      <w:r w:rsidRPr="00203191">
        <w:rPr>
          <w:rFonts w:asciiTheme="minorHAnsi" w:hAnsiTheme="minorHAnsi"/>
        </w:rPr>
        <w:t>Ogólne ustalenia dotyczą</w:t>
      </w:r>
      <w:r>
        <w:rPr>
          <w:rFonts w:asciiTheme="minorHAnsi" w:hAnsiTheme="minorHAnsi"/>
        </w:rPr>
        <w:t xml:space="preserve">ce podstawy płatności podano w </w:t>
      </w:r>
      <w:r w:rsidRPr="00203191">
        <w:rPr>
          <w:rFonts w:asciiTheme="minorHAnsi" w:hAnsiTheme="minorHAnsi"/>
        </w:rPr>
        <w:t>STWiORB D-M-00.00.00 „Wymagania ogólne” pkt 9.</w:t>
      </w:r>
    </w:p>
    <w:p w:rsidR="00C32050" w:rsidRPr="00203191" w:rsidRDefault="00C32050" w:rsidP="00C32050">
      <w:pPr>
        <w:pStyle w:val="Nagwek3"/>
        <w:numPr>
          <w:ilvl w:val="2"/>
          <w:numId w:val="0"/>
        </w:numPr>
        <w:tabs>
          <w:tab w:val="num" w:pos="0"/>
        </w:tabs>
        <w:suppressAutoHyphens/>
        <w:autoSpaceDN/>
        <w:adjustRightInd/>
        <w:spacing w:before="0" w:after="0"/>
        <w:rPr>
          <w:rFonts w:asciiTheme="minorHAnsi" w:hAnsiTheme="minorHAnsi"/>
        </w:rPr>
      </w:pPr>
    </w:p>
    <w:p w:rsidR="00C32050" w:rsidRPr="00203191" w:rsidRDefault="00C32050" w:rsidP="00C32050">
      <w:pPr>
        <w:pStyle w:val="Nagwek4"/>
        <w:rPr>
          <w:rFonts w:asciiTheme="minorHAnsi" w:hAnsiTheme="minorHAnsi"/>
        </w:rPr>
      </w:pPr>
      <w:r w:rsidRPr="00203191">
        <w:rPr>
          <w:rFonts w:asciiTheme="minorHAnsi" w:hAnsiTheme="minorHAnsi"/>
        </w:rPr>
        <w:t>9.2. Cena jednostki obmiarowej</w:t>
      </w:r>
    </w:p>
    <w:p w:rsidR="00C32050" w:rsidRPr="00203191" w:rsidRDefault="00C32050" w:rsidP="00C32050">
      <w:pPr>
        <w:rPr>
          <w:rFonts w:asciiTheme="minorHAnsi" w:hAnsiTheme="minorHAnsi"/>
        </w:rPr>
      </w:pPr>
      <w:r w:rsidRPr="00203191">
        <w:rPr>
          <w:rFonts w:asciiTheme="minorHAnsi" w:hAnsiTheme="minorHAnsi"/>
        </w:rPr>
        <w:t>Cena wykonania 1 m</w:t>
      </w:r>
      <w:r w:rsidRPr="00203191">
        <w:rPr>
          <w:rFonts w:asciiTheme="minorHAnsi" w:hAnsiTheme="minorHAnsi"/>
          <w:vertAlign w:val="superscript"/>
        </w:rPr>
        <w:t>2</w:t>
      </w:r>
      <w:r w:rsidRPr="00203191">
        <w:rPr>
          <w:rFonts w:asciiTheme="minorHAnsi" w:hAnsiTheme="minorHAnsi"/>
        </w:rPr>
        <w:t xml:space="preserve"> nawierzchni z </w:t>
      </w:r>
      <w:r>
        <w:rPr>
          <w:rFonts w:asciiTheme="minorHAnsi" w:hAnsiTheme="minorHAnsi"/>
        </w:rPr>
        <w:t xml:space="preserve">kamiennej </w:t>
      </w:r>
      <w:r w:rsidRPr="00203191">
        <w:rPr>
          <w:rFonts w:asciiTheme="minorHAnsi" w:hAnsiTheme="minorHAnsi"/>
        </w:rPr>
        <w:t>kostki brukowej  obejmuje:</w:t>
      </w:r>
    </w:p>
    <w:p w:rsidR="00C32050" w:rsidRPr="00203191"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prace pomiarowe i roboty przygotowawcze,</w:t>
      </w:r>
    </w:p>
    <w:p w:rsidR="00C32050" w:rsidRPr="00203191"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oznakowanie robót,</w:t>
      </w:r>
    </w:p>
    <w:p w:rsidR="00C32050" w:rsidRPr="00203191"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przygotowanie podłoża (ewentualnie podbudowy),</w:t>
      </w:r>
    </w:p>
    <w:p w:rsidR="00C32050" w:rsidRPr="00203191"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dostarczenie materiałów,</w:t>
      </w:r>
    </w:p>
    <w:p w:rsidR="00C32050" w:rsidRPr="00203191"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wykonanie podsypki,</w:t>
      </w:r>
    </w:p>
    <w:p w:rsidR="00C32050" w:rsidRPr="00203191"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ułożenie i ubicie kostki,</w:t>
      </w:r>
    </w:p>
    <w:p w:rsidR="00C32050" w:rsidRDefault="00C32050" w:rsidP="00C32050">
      <w:pPr>
        <w:numPr>
          <w:ilvl w:val="0"/>
          <w:numId w:val="19"/>
        </w:numPr>
        <w:tabs>
          <w:tab w:val="left" w:pos="283"/>
        </w:tabs>
        <w:suppressAutoHyphens/>
        <w:autoSpaceDN/>
        <w:adjustRightInd/>
        <w:rPr>
          <w:rFonts w:asciiTheme="minorHAnsi" w:hAnsiTheme="minorHAnsi"/>
        </w:rPr>
      </w:pPr>
      <w:r w:rsidRPr="00203191">
        <w:rPr>
          <w:rFonts w:asciiTheme="minorHAnsi" w:hAnsiTheme="minorHAnsi"/>
        </w:rPr>
        <w:t>wypełnienie spoin,</w:t>
      </w:r>
    </w:p>
    <w:p w:rsidR="00C32050" w:rsidRPr="00C32050" w:rsidRDefault="00C32050" w:rsidP="00C32050">
      <w:pPr>
        <w:numPr>
          <w:ilvl w:val="0"/>
          <w:numId w:val="19"/>
        </w:numPr>
        <w:tabs>
          <w:tab w:val="left" w:pos="283"/>
        </w:tabs>
        <w:suppressAutoHyphens/>
        <w:autoSpaceDN/>
        <w:adjustRightInd/>
        <w:rPr>
          <w:rFonts w:asciiTheme="minorHAnsi" w:hAnsiTheme="minorHAnsi"/>
        </w:rPr>
      </w:pPr>
      <w:r w:rsidRPr="00C32050">
        <w:rPr>
          <w:rFonts w:asciiTheme="minorHAnsi" w:hAnsiTheme="minorHAnsi"/>
        </w:rPr>
        <w:t>przeprowadzenie badań i pomiarów wymaganych w specyfikacji technicznej</w:t>
      </w:r>
    </w:p>
    <w:p w:rsidR="005E6FEF" w:rsidRPr="005E6FEF" w:rsidRDefault="005E6FEF" w:rsidP="005E6FEF">
      <w:pPr>
        <w:tabs>
          <w:tab w:val="left" w:pos="0"/>
        </w:tabs>
        <w:rPr>
          <w:rFonts w:asciiTheme="minorHAnsi" w:hAnsiTheme="minorHAnsi"/>
        </w:rPr>
      </w:pPr>
    </w:p>
    <w:p w:rsidR="005E6FEF" w:rsidRPr="005E6FEF" w:rsidRDefault="005E6FEF" w:rsidP="005E6FEF">
      <w:pPr>
        <w:pStyle w:val="Nagwek3"/>
        <w:rPr>
          <w:rFonts w:asciiTheme="minorHAnsi" w:hAnsiTheme="minorHAnsi"/>
        </w:rPr>
      </w:pPr>
      <w:r w:rsidRPr="005E6FEF">
        <w:rPr>
          <w:rFonts w:asciiTheme="minorHAnsi" w:hAnsiTheme="minorHAnsi"/>
        </w:rPr>
        <w:t>10. PRZEPISY ZWIĄZANE</w:t>
      </w:r>
      <w:bookmarkEnd w:id="1287"/>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PN-B-04110 Materiały kamienne. Oznaczenie wytrzymało</w:t>
      </w:r>
      <w:r w:rsidRPr="005E6FEF">
        <w:rPr>
          <w:rFonts w:asciiTheme="minorHAnsi" w:eastAsia="TimesNewRoman" w:hAnsiTheme="minorHAnsi"/>
        </w:rPr>
        <w:t>ś</w:t>
      </w:r>
      <w:r w:rsidRPr="005E6FEF">
        <w:rPr>
          <w:rFonts w:asciiTheme="minorHAnsi" w:hAnsiTheme="minorHAnsi"/>
        </w:rPr>
        <w:t xml:space="preserve">ci na </w:t>
      </w:r>
      <w:r w:rsidRPr="005E6FEF">
        <w:rPr>
          <w:rFonts w:asciiTheme="minorHAnsi" w:eastAsia="TimesNewRoman" w:hAnsiTheme="minorHAnsi"/>
        </w:rPr>
        <w:t>ś</w:t>
      </w:r>
      <w:r w:rsidRPr="005E6FEF">
        <w:rPr>
          <w:rFonts w:asciiTheme="minorHAnsi" w:hAnsiTheme="minorHAnsi"/>
        </w:rPr>
        <w:t>ciskanie</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PN-EN1342 Kostka brukowa z kamienia naturalnego do zewn</w:t>
      </w:r>
      <w:r w:rsidRPr="005E6FEF">
        <w:rPr>
          <w:rFonts w:asciiTheme="minorHAnsi" w:eastAsia="TimesNewRoman" w:hAnsiTheme="minorHAnsi"/>
        </w:rPr>
        <w:t>ę</w:t>
      </w:r>
      <w:r w:rsidRPr="005E6FEF">
        <w:rPr>
          <w:rFonts w:asciiTheme="minorHAnsi" w:hAnsiTheme="minorHAnsi"/>
        </w:rPr>
        <w:t>trznych nawierzchni drogowych</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PN-EN13139 Kruszywa do zaprawy</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PN-EN 13242 Kruszywa do niezwi</w:t>
      </w:r>
      <w:r w:rsidRPr="005E6FEF">
        <w:rPr>
          <w:rFonts w:asciiTheme="minorHAnsi" w:eastAsia="TimesNewRoman" w:hAnsiTheme="minorHAnsi"/>
        </w:rPr>
        <w:t>ą</w:t>
      </w:r>
      <w:r w:rsidRPr="005E6FEF">
        <w:rPr>
          <w:rFonts w:asciiTheme="minorHAnsi" w:hAnsiTheme="minorHAnsi"/>
        </w:rPr>
        <w:t>zanych i zwi</w:t>
      </w:r>
      <w:r w:rsidRPr="005E6FEF">
        <w:rPr>
          <w:rFonts w:asciiTheme="minorHAnsi" w:eastAsia="TimesNewRoman" w:hAnsiTheme="minorHAnsi"/>
        </w:rPr>
        <w:t>ą</w:t>
      </w:r>
      <w:r w:rsidRPr="005E6FEF">
        <w:rPr>
          <w:rFonts w:asciiTheme="minorHAnsi" w:hAnsiTheme="minorHAnsi"/>
        </w:rPr>
        <w:t>zanych hydraulicznie materiałów stosowanych w obiektach budowlanych i budownictwie drogowym</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PN-EN 1008 Woda zarobowa do betonu</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PN-EN197-1 Cement</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PN-S-06100 Drogi samochodowe. Nawierzchnie z kostki kamiennej. Warunki techniczne</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PN-S-96026 Drogi samochodowe. Nawierzchnie z kostki kamiennej nieregularnej.Wymagania techniczne i badania przy odbiorze</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BN-69/6731-08 Cement. Transport i przechowywanie</w:t>
      </w:r>
    </w:p>
    <w:p w:rsidR="005E6FEF" w:rsidRPr="005E6FEF" w:rsidRDefault="005E6FEF" w:rsidP="00790883">
      <w:pPr>
        <w:numPr>
          <w:ilvl w:val="0"/>
          <w:numId w:val="85"/>
        </w:numPr>
        <w:overflowPunct/>
        <w:jc w:val="left"/>
        <w:textAlignment w:val="auto"/>
        <w:rPr>
          <w:rFonts w:asciiTheme="minorHAnsi" w:hAnsiTheme="minorHAnsi"/>
        </w:rPr>
      </w:pPr>
      <w:r w:rsidRPr="005E6FEF">
        <w:rPr>
          <w:rFonts w:asciiTheme="minorHAnsi" w:hAnsiTheme="minorHAnsi"/>
        </w:rPr>
        <w:t>BN-68/8931-04 Drogi samochodowe. Pomiar równo</w:t>
      </w:r>
      <w:r w:rsidRPr="005E6FEF">
        <w:rPr>
          <w:rFonts w:asciiTheme="minorHAnsi" w:eastAsia="TimesNewRoman" w:hAnsiTheme="minorHAnsi"/>
        </w:rPr>
        <w:t>ś</w:t>
      </w:r>
      <w:r w:rsidRPr="005E6FEF">
        <w:rPr>
          <w:rFonts w:asciiTheme="minorHAnsi" w:hAnsiTheme="minorHAnsi"/>
        </w:rPr>
        <w:t>ci nawierzchni planografem i łat</w:t>
      </w:r>
      <w:r w:rsidRPr="005E6FEF">
        <w:rPr>
          <w:rFonts w:asciiTheme="minorHAnsi" w:eastAsia="TimesNewRoman" w:hAnsiTheme="minorHAnsi"/>
        </w:rPr>
        <w:t>ą</w:t>
      </w:r>
    </w:p>
    <w:p w:rsidR="00F22BDD" w:rsidRPr="005E6FEF" w:rsidRDefault="00F22BDD">
      <w:pPr>
        <w:overflowPunct/>
        <w:autoSpaceDE/>
        <w:autoSpaceDN/>
        <w:adjustRightInd/>
        <w:jc w:val="left"/>
        <w:textAlignment w:val="auto"/>
        <w:rPr>
          <w:rFonts w:asciiTheme="minorHAnsi" w:hAnsiTheme="minorHAnsi"/>
        </w:rPr>
      </w:pPr>
      <w:r w:rsidRPr="005E6FEF">
        <w:rPr>
          <w:rFonts w:asciiTheme="minorHAnsi" w:hAnsiTheme="minorHAnsi"/>
        </w:rPr>
        <w:br w:type="page"/>
      </w:r>
    </w:p>
    <w:p w:rsidR="00E0581A" w:rsidRPr="00A95FEE" w:rsidRDefault="00A95FEE" w:rsidP="00946928">
      <w:pPr>
        <w:pStyle w:val="Nagwek2"/>
      </w:pPr>
      <w:r w:rsidRPr="0030095A">
        <w:lastRenderedPageBreak/>
        <w:t>SPECYFIKACJE TECHNICZNE</w:t>
      </w:r>
      <w:r w:rsidR="00E0581A" w:rsidRPr="00A95FEE">
        <w:t xml:space="preserve"> WYKONYWANIA I ODBIORU ROBÓT BUDOWLANYCH</w:t>
      </w:r>
    </w:p>
    <w:p w:rsidR="00E0581A" w:rsidRPr="00946928" w:rsidRDefault="00E0581A" w:rsidP="00946928">
      <w:pPr>
        <w:pStyle w:val="Nagwek1"/>
      </w:pPr>
      <w:bookmarkStart w:id="1288" w:name="_Toc369334461"/>
      <w:bookmarkStart w:id="1289" w:name="_Toc427178288"/>
      <w:bookmarkStart w:id="1290" w:name="_Toc459929683"/>
      <w:r w:rsidRPr="00946928">
        <w:t>D - 07.07.01 OŚWIETLENIE   DRÓG</w:t>
      </w:r>
      <w:bookmarkEnd w:id="1288"/>
      <w:bookmarkEnd w:id="1289"/>
      <w:bookmarkEnd w:id="1290"/>
    </w:p>
    <w:p w:rsidR="00E0581A" w:rsidRPr="00A8518B" w:rsidRDefault="00E0581A" w:rsidP="00E0581A">
      <w:pPr>
        <w:rPr>
          <w:rFonts w:asciiTheme="minorHAnsi" w:hAnsiTheme="minorHAnsi"/>
          <w:b/>
        </w:rPr>
      </w:pPr>
    </w:p>
    <w:p w:rsidR="00E0581A" w:rsidRPr="00A8518B" w:rsidRDefault="00E0581A" w:rsidP="00E0581A">
      <w:pPr>
        <w:rPr>
          <w:rFonts w:asciiTheme="minorHAnsi" w:hAnsiTheme="minorHAnsi"/>
          <w:b/>
        </w:rPr>
      </w:pPr>
    </w:p>
    <w:p w:rsidR="00E0581A" w:rsidRPr="00A8518B" w:rsidRDefault="00E0581A" w:rsidP="00E5206A">
      <w:pPr>
        <w:pStyle w:val="Nagwek3"/>
      </w:pPr>
      <w:bookmarkStart w:id="1291" w:name="_Toc451138863"/>
      <w:bookmarkStart w:id="1292" w:name="_Toc369334462"/>
      <w:bookmarkStart w:id="1293" w:name="_Toc378577026"/>
      <w:bookmarkStart w:id="1294" w:name="_Toc378577146"/>
      <w:bookmarkStart w:id="1295" w:name="_Toc427178289"/>
      <w:r w:rsidRPr="00A8518B">
        <w:t>1. WSTĘP</w:t>
      </w:r>
      <w:bookmarkEnd w:id="1291"/>
      <w:bookmarkEnd w:id="1292"/>
      <w:bookmarkEnd w:id="1293"/>
      <w:bookmarkEnd w:id="1294"/>
      <w:bookmarkEnd w:id="1295"/>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 xml:space="preserve">1.1. Przedmiot </w:t>
      </w:r>
      <w:r w:rsidR="005B48CA">
        <w:rPr>
          <w:rFonts w:asciiTheme="minorHAnsi" w:hAnsiTheme="minorHAnsi"/>
          <w:sz w:val="20"/>
          <w:szCs w:val="20"/>
        </w:rPr>
        <w:t>STWiORB</w:t>
      </w:r>
    </w:p>
    <w:p w:rsidR="00E0581A" w:rsidRPr="00A8518B" w:rsidRDefault="00E0581A" w:rsidP="00E0581A">
      <w:pPr>
        <w:pStyle w:val="tekstost"/>
        <w:jc w:val="left"/>
        <w:rPr>
          <w:rFonts w:asciiTheme="minorHAnsi" w:hAnsiTheme="minorHAnsi"/>
        </w:rPr>
      </w:pPr>
      <w:r>
        <w:rPr>
          <w:rFonts w:asciiTheme="minorHAnsi" w:hAnsiTheme="minorHAnsi"/>
        </w:rPr>
        <w:t xml:space="preserve">Przedmiotem </w:t>
      </w:r>
      <w:r w:rsidR="00ED6D29">
        <w:rPr>
          <w:rFonts w:asciiTheme="minorHAnsi" w:hAnsiTheme="minorHAnsi"/>
        </w:rPr>
        <w:t>niniejszej</w:t>
      </w:r>
      <w:r w:rsidRPr="00A8518B">
        <w:rPr>
          <w:rFonts w:asciiTheme="minorHAnsi" w:hAnsiTheme="minorHAnsi"/>
        </w:rPr>
        <w:t xml:space="preserve"> </w:t>
      </w:r>
      <w:r w:rsidR="00ED6D29">
        <w:rPr>
          <w:rFonts w:asciiTheme="minorHAnsi" w:hAnsiTheme="minorHAnsi"/>
        </w:rPr>
        <w:t>specyfikacji</w:t>
      </w:r>
      <w:r>
        <w:rPr>
          <w:rFonts w:asciiTheme="minorHAnsi" w:hAnsiTheme="minorHAnsi"/>
        </w:rPr>
        <w:t xml:space="preserve"> wykonywania i odbioru robót budowlanych </w:t>
      </w:r>
      <w:r w:rsidRPr="00A8518B">
        <w:rPr>
          <w:rFonts w:asciiTheme="minorHAnsi" w:hAnsiTheme="minorHAnsi"/>
        </w:rPr>
        <w:t>(</w:t>
      </w:r>
      <w:r w:rsidR="005B48CA">
        <w:rPr>
          <w:rFonts w:asciiTheme="minorHAnsi" w:hAnsiTheme="minorHAnsi"/>
        </w:rPr>
        <w:t>STWiORB</w:t>
      </w:r>
      <w:r w:rsidRPr="00A8518B">
        <w:rPr>
          <w:rFonts w:asciiTheme="minorHAnsi" w:hAnsiTheme="minorHAnsi"/>
        </w:rPr>
        <w:t>) są wymagania dotyczące wykonania i odbioru oświetlenia drogowego.</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 xml:space="preserve">1.2. Zakres stosowania </w:t>
      </w:r>
      <w:r w:rsidR="005B48CA">
        <w:rPr>
          <w:rFonts w:asciiTheme="minorHAnsi" w:hAnsiTheme="minorHAnsi"/>
          <w:sz w:val="20"/>
          <w:szCs w:val="20"/>
        </w:rPr>
        <w:t>STWiORB</w:t>
      </w:r>
    </w:p>
    <w:p w:rsidR="00E0581A" w:rsidRPr="00A8518B" w:rsidRDefault="00FE60E3" w:rsidP="00E0581A">
      <w:pPr>
        <w:pStyle w:val="tekstost"/>
        <w:jc w:val="left"/>
        <w:rPr>
          <w:rFonts w:asciiTheme="minorHAnsi" w:hAnsiTheme="minorHAnsi"/>
        </w:rPr>
      </w:pPr>
      <w:r>
        <w:rPr>
          <w:rFonts w:asciiTheme="minorHAnsi" w:hAnsiTheme="minorHAnsi" w:cs="Calibri"/>
        </w:rPr>
        <w:t>Specyfikacja techniczna</w:t>
      </w:r>
      <w:r w:rsidR="00E0581A">
        <w:rPr>
          <w:rFonts w:asciiTheme="minorHAnsi" w:hAnsiTheme="minorHAnsi" w:cs="Calibri"/>
        </w:rPr>
        <w:t xml:space="preserve"> </w:t>
      </w:r>
      <w:r>
        <w:rPr>
          <w:rFonts w:asciiTheme="minorHAnsi" w:hAnsiTheme="minorHAnsi" w:cs="Calibri"/>
        </w:rPr>
        <w:t>stanowi</w:t>
      </w:r>
      <w:r w:rsidR="00E0581A">
        <w:rPr>
          <w:rFonts w:asciiTheme="minorHAnsi" w:hAnsiTheme="minorHAnsi" w:cs="Calibri"/>
        </w:rPr>
        <w:t xml:space="preserve"> dokument przetargowy i kontraktowy przy realizacji  zadania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1.3. Zakres robót objętych SST</w:t>
      </w:r>
    </w:p>
    <w:p w:rsidR="00E0581A" w:rsidRPr="00A8518B" w:rsidRDefault="00E0581A" w:rsidP="00E0581A">
      <w:pPr>
        <w:jc w:val="left"/>
        <w:rPr>
          <w:rFonts w:asciiTheme="minorHAnsi" w:hAnsiTheme="minorHAnsi"/>
        </w:rPr>
      </w:pPr>
      <w:r w:rsidRPr="00A8518B">
        <w:rPr>
          <w:rFonts w:asciiTheme="minorHAnsi" w:hAnsiTheme="minorHAnsi"/>
        </w:rPr>
        <w:t xml:space="preserve">Ustalenia zawarte w </w:t>
      </w:r>
      <w:r w:rsidR="00ED6D29">
        <w:rPr>
          <w:rFonts w:asciiTheme="minorHAnsi" w:hAnsiTheme="minorHAnsi"/>
        </w:rPr>
        <w:t>niniejszej</w:t>
      </w:r>
      <w:r>
        <w:rPr>
          <w:rFonts w:asciiTheme="minorHAnsi" w:hAnsiTheme="minorHAnsi"/>
        </w:rPr>
        <w:t xml:space="preserve"> </w:t>
      </w:r>
      <w:r w:rsidR="00ED6D29">
        <w:rPr>
          <w:rFonts w:asciiTheme="minorHAnsi" w:hAnsiTheme="minorHAnsi"/>
        </w:rPr>
        <w:t>specyfikacji</w:t>
      </w:r>
      <w:r w:rsidRPr="00A8518B">
        <w:rPr>
          <w:rFonts w:asciiTheme="minorHAnsi" w:hAnsiTheme="minorHAnsi"/>
        </w:rPr>
        <w:t xml:space="preserve"> dotyczą zasad prowadzenia robót związanych z budową oświetlenia na drogach publicznych istniejących i przebudowywanych.</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1.4. Określenia podstawowe</w:t>
      </w:r>
    </w:p>
    <w:p w:rsidR="00E0581A" w:rsidRPr="00A8518B" w:rsidRDefault="00E0581A" w:rsidP="00973D29">
      <w:pPr>
        <w:numPr>
          <w:ilvl w:val="0"/>
          <w:numId w:val="39"/>
        </w:numPr>
        <w:tabs>
          <w:tab w:val="left" w:pos="0"/>
        </w:tabs>
        <w:overflowPunct/>
        <w:autoSpaceDE/>
        <w:autoSpaceDN/>
        <w:adjustRightInd/>
        <w:ind w:left="0" w:firstLine="0"/>
        <w:jc w:val="left"/>
        <w:textAlignment w:val="auto"/>
        <w:rPr>
          <w:rFonts w:asciiTheme="minorHAnsi" w:hAnsiTheme="minorHAnsi"/>
        </w:rPr>
      </w:pPr>
      <w:r w:rsidRPr="00A8518B">
        <w:rPr>
          <w:rFonts w:asciiTheme="minorHAnsi" w:hAnsiTheme="minorHAnsi"/>
        </w:rPr>
        <w:t>Słup oświetleniowy - konstrukcja wsporcza osadzona bezpośrednio w gruncie, służąca do zamocowania oprawy oświetleniowej na wysokości nie większej niż 14 m.</w:t>
      </w:r>
    </w:p>
    <w:p w:rsidR="00E0581A" w:rsidRPr="00A8518B" w:rsidRDefault="00E0581A" w:rsidP="00973D29">
      <w:pPr>
        <w:numPr>
          <w:ilvl w:val="0"/>
          <w:numId w:val="39"/>
        </w:numPr>
        <w:tabs>
          <w:tab w:val="left" w:pos="0"/>
        </w:tabs>
        <w:overflowPunct/>
        <w:autoSpaceDE/>
        <w:autoSpaceDN/>
        <w:adjustRightInd/>
        <w:ind w:left="0" w:firstLine="0"/>
        <w:jc w:val="left"/>
        <w:textAlignment w:val="auto"/>
        <w:rPr>
          <w:rFonts w:asciiTheme="minorHAnsi" w:hAnsiTheme="minorHAnsi"/>
        </w:rPr>
      </w:pPr>
      <w:r w:rsidRPr="00A8518B">
        <w:rPr>
          <w:rFonts w:asciiTheme="minorHAnsi" w:hAnsiTheme="minorHAnsi"/>
        </w:rPr>
        <w:t>Wysięgnik - element rurowy łączący słup oświetleniowy z oprawą.</w:t>
      </w:r>
    </w:p>
    <w:p w:rsidR="00E0581A" w:rsidRPr="00A8518B" w:rsidRDefault="00E0581A" w:rsidP="00973D29">
      <w:pPr>
        <w:numPr>
          <w:ilvl w:val="0"/>
          <w:numId w:val="39"/>
        </w:numPr>
        <w:tabs>
          <w:tab w:val="left" w:pos="0"/>
        </w:tabs>
        <w:overflowPunct/>
        <w:autoSpaceDE/>
        <w:autoSpaceDN/>
        <w:adjustRightInd/>
        <w:ind w:left="0" w:firstLine="0"/>
        <w:jc w:val="left"/>
        <w:textAlignment w:val="auto"/>
        <w:rPr>
          <w:rFonts w:asciiTheme="minorHAnsi" w:hAnsiTheme="minorHAnsi"/>
        </w:rPr>
      </w:pPr>
      <w:r w:rsidRPr="00A8518B">
        <w:rPr>
          <w:rFonts w:asciiTheme="minorHAnsi" w:hAnsiTheme="minorHAnsi"/>
        </w:rPr>
        <w:t>Oprawa oświetleniowa - urządzenie służące do rozdziału, filtracji i przekształcania strumienia świetlnego wysyłanego przez źródło światła, zawierające wszystkie niezbędne detale do przymocowania i połączenia z instalacją elektryczną.</w:t>
      </w:r>
    </w:p>
    <w:p w:rsidR="00E0581A" w:rsidRPr="00845716" w:rsidRDefault="00E0581A" w:rsidP="00845716">
      <w:pPr>
        <w:numPr>
          <w:ilvl w:val="0"/>
          <w:numId w:val="39"/>
        </w:numPr>
        <w:tabs>
          <w:tab w:val="left" w:pos="0"/>
        </w:tabs>
        <w:overflowPunct/>
        <w:autoSpaceDE/>
        <w:autoSpaceDN/>
        <w:adjustRightInd/>
        <w:ind w:left="0" w:firstLine="0"/>
        <w:jc w:val="left"/>
        <w:textAlignment w:val="auto"/>
        <w:rPr>
          <w:rFonts w:asciiTheme="minorHAnsi" w:hAnsiTheme="minorHAnsi"/>
        </w:rPr>
      </w:pPr>
      <w:r w:rsidRPr="00A8518B">
        <w:rPr>
          <w:rFonts w:asciiTheme="minorHAnsi" w:hAnsiTheme="minorHAnsi"/>
        </w:rPr>
        <w:t>Kabel - przewód wielożyłowy izolowany, przystosowany do przewodzenia prądu elektrycznego, mogący pracować pod i nad ziemią.</w:t>
      </w:r>
    </w:p>
    <w:p w:rsidR="00E0581A" w:rsidRPr="00A8518B" w:rsidRDefault="00E0581A" w:rsidP="00973D29">
      <w:pPr>
        <w:numPr>
          <w:ilvl w:val="0"/>
          <w:numId w:val="39"/>
        </w:numPr>
        <w:tabs>
          <w:tab w:val="left" w:pos="0"/>
        </w:tabs>
        <w:overflowPunct/>
        <w:autoSpaceDE/>
        <w:autoSpaceDN/>
        <w:adjustRightInd/>
        <w:ind w:left="0" w:firstLine="0"/>
        <w:jc w:val="left"/>
        <w:textAlignment w:val="auto"/>
        <w:rPr>
          <w:rFonts w:asciiTheme="minorHAnsi" w:hAnsiTheme="minorHAnsi"/>
        </w:rPr>
      </w:pPr>
      <w:r w:rsidRPr="00A8518B">
        <w:rPr>
          <w:rFonts w:asciiTheme="minorHAnsi" w:hAnsiTheme="minorHAnsi"/>
        </w:rPr>
        <w:t>Dodatkowa ochrona przeciwporażeniowa - ochrona części przewodzących dostępnych w wypadku pojawienia się na nich napięcia w warunkach zakłóceniowych.</w:t>
      </w:r>
    </w:p>
    <w:p w:rsidR="00E0581A" w:rsidRPr="00A8518B" w:rsidRDefault="00E0581A" w:rsidP="00973D29">
      <w:pPr>
        <w:numPr>
          <w:ilvl w:val="0"/>
          <w:numId w:val="39"/>
        </w:numPr>
        <w:tabs>
          <w:tab w:val="left" w:pos="0"/>
        </w:tabs>
        <w:overflowPunct/>
        <w:autoSpaceDE/>
        <w:autoSpaceDN/>
        <w:adjustRightInd/>
        <w:ind w:left="0" w:firstLine="0"/>
        <w:jc w:val="left"/>
        <w:textAlignment w:val="auto"/>
        <w:rPr>
          <w:rFonts w:asciiTheme="minorHAnsi" w:hAnsiTheme="minorHAnsi"/>
        </w:rPr>
      </w:pPr>
      <w:r w:rsidRPr="00A8518B">
        <w:rPr>
          <w:rFonts w:asciiTheme="minorHAnsi" w:hAnsiTheme="minorHAnsi"/>
        </w:rPr>
        <w:t xml:space="preserve">Pozostałe określenia podstawowe są zgodne z obowiązującymi odpowiednimi polskimi normami i definicjami podanymi w </w:t>
      </w:r>
      <w:r w:rsidR="005B48CA">
        <w:rPr>
          <w:rFonts w:asciiTheme="minorHAnsi" w:hAnsiTheme="minorHAnsi"/>
        </w:rPr>
        <w:t>STWiORB</w:t>
      </w:r>
      <w:r w:rsidRPr="00A8518B">
        <w:rPr>
          <w:rFonts w:asciiTheme="minorHAnsi" w:hAnsiTheme="minorHAnsi"/>
        </w:rPr>
        <w:t xml:space="preserve"> D-M-00.00.00.00 „Wymagania ogólne” pkt 1.5.</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1.5. Ogólne wymagania dotyczące robót</w:t>
      </w:r>
    </w:p>
    <w:p w:rsidR="00E0581A" w:rsidRPr="00A8518B" w:rsidRDefault="00E0581A" w:rsidP="00E0581A">
      <w:pPr>
        <w:jc w:val="left"/>
        <w:rPr>
          <w:rFonts w:asciiTheme="minorHAnsi" w:hAnsiTheme="minorHAnsi"/>
        </w:rPr>
      </w:pPr>
      <w:r w:rsidRPr="00A8518B">
        <w:rPr>
          <w:rFonts w:asciiTheme="minorHAnsi" w:hAnsiTheme="minorHAnsi"/>
        </w:rPr>
        <w:t xml:space="preserve">Ogólne wymagania dotyczące robót podano w </w:t>
      </w:r>
      <w:r w:rsidR="005B48CA">
        <w:rPr>
          <w:rFonts w:asciiTheme="minorHAnsi" w:hAnsiTheme="minorHAnsi"/>
        </w:rPr>
        <w:t>STWiORB</w:t>
      </w:r>
      <w:r w:rsidRPr="00A8518B">
        <w:rPr>
          <w:rFonts w:asciiTheme="minorHAnsi" w:hAnsiTheme="minorHAnsi"/>
        </w:rPr>
        <w:t xml:space="preserve"> D-M-00.00.00.00 „Wymagania ogólne” pkt 1.5.</w:t>
      </w:r>
    </w:p>
    <w:p w:rsidR="00E0581A" w:rsidRPr="00A8518B" w:rsidRDefault="00E0581A" w:rsidP="00E5206A">
      <w:pPr>
        <w:pStyle w:val="Nagwek3"/>
      </w:pPr>
      <w:bookmarkStart w:id="1296" w:name="_Toc369334463"/>
      <w:bookmarkStart w:id="1297" w:name="_Toc378577027"/>
      <w:bookmarkStart w:id="1298" w:name="_Toc378577147"/>
      <w:bookmarkStart w:id="1299" w:name="_Toc427178290"/>
      <w:r w:rsidRPr="00A8518B">
        <w:t xml:space="preserve">2. </w:t>
      </w:r>
      <w:r w:rsidR="00A95FEE">
        <w:t>WYROBY BUDOWLANE</w:t>
      </w:r>
      <w:bookmarkEnd w:id="1296"/>
      <w:bookmarkEnd w:id="1297"/>
      <w:bookmarkEnd w:id="1298"/>
      <w:bookmarkEnd w:id="1299"/>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2.1. Ogólne wymagania dotyczące materiałów</w:t>
      </w:r>
    </w:p>
    <w:p w:rsidR="00E0581A" w:rsidRPr="00A8518B" w:rsidRDefault="00E0581A" w:rsidP="00E0581A">
      <w:pPr>
        <w:jc w:val="left"/>
        <w:rPr>
          <w:rFonts w:asciiTheme="minorHAnsi" w:hAnsiTheme="minorHAnsi"/>
        </w:rPr>
      </w:pPr>
      <w:r w:rsidRPr="00A8518B">
        <w:rPr>
          <w:rFonts w:asciiTheme="minorHAnsi" w:hAnsiTheme="minorHAnsi"/>
        </w:rPr>
        <w:t xml:space="preserve">Ogólne wymagania dotyczące materiałów, ich pozyskiwania i składowania, podano w </w:t>
      </w:r>
      <w:r w:rsidR="005B48CA">
        <w:rPr>
          <w:rFonts w:asciiTheme="minorHAnsi" w:hAnsiTheme="minorHAnsi"/>
        </w:rPr>
        <w:t>STWiORB</w:t>
      </w:r>
      <w:r w:rsidRPr="00A8518B">
        <w:rPr>
          <w:rFonts w:asciiTheme="minorHAnsi" w:hAnsiTheme="minorHAnsi"/>
        </w:rPr>
        <w:t xml:space="preserve"> D-M-00.00.00.00 „Wymagania ogólne” pkt 2.</w:t>
      </w:r>
    </w:p>
    <w:p w:rsidR="00E0581A" w:rsidRPr="00A8518B" w:rsidRDefault="00845716" w:rsidP="00E0581A">
      <w:pPr>
        <w:pStyle w:val="Nagwek2"/>
        <w:pageBreakBefore w:val="0"/>
        <w:spacing w:before="0" w:after="0"/>
        <w:jc w:val="left"/>
        <w:rPr>
          <w:rFonts w:asciiTheme="minorHAnsi" w:hAnsiTheme="minorHAnsi"/>
          <w:sz w:val="20"/>
          <w:szCs w:val="20"/>
        </w:rPr>
      </w:pPr>
      <w:r>
        <w:rPr>
          <w:rFonts w:asciiTheme="minorHAnsi" w:hAnsiTheme="minorHAnsi"/>
          <w:sz w:val="20"/>
          <w:szCs w:val="20"/>
        </w:rPr>
        <w:t>2.2</w:t>
      </w:r>
      <w:r w:rsidR="00E0581A" w:rsidRPr="00A8518B">
        <w:rPr>
          <w:rFonts w:asciiTheme="minorHAnsi" w:hAnsiTheme="minorHAnsi"/>
          <w:sz w:val="20"/>
          <w:szCs w:val="20"/>
        </w:rPr>
        <w:t xml:space="preserve">. </w:t>
      </w:r>
      <w:r w:rsidR="00A95FEE">
        <w:rPr>
          <w:rFonts w:asciiTheme="minorHAnsi" w:hAnsiTheme="minorHAnsi"/>
          <w:sz w:val="20"/>
          <w:szCs w:val="20"/>
        </w:rPr>
        <w:t>Wyroby budowlane</w:t>
      </w:r>
      <w:r w:rsidR="00E0581A" w:rsidRPr="00A8518B">
        <w:rPr>
          <w:rFonts w:asciiTheme="minorHAnsi" w:hAnsiTheme="minorHAnsi"/>
          <w:sz w:val="20"/>
          <w:szCs w:val="20"/>
        </w:rPr>
        <w:t xml:space="preserve"> stosowane przy układaniu kabli</w:t>
      </w:r>
    </w:p>
    <w:p w:rsidR="00E0581A" w:rsidRPr="00845716" w:rsidRDefault="00E0581A" w:rsidP="00790883">
      <w:pPr>
        <w:pStyle w:val="Akapitzlist"/>
        <w:numPr>
          <w:ilvl w:val="2"/>
          <w:numId w:val="86"/>
        </w:numPr>
        <w:overflowPunct/>
        <w:autoSpaceDE/>
        <w:autoSpaceDN/>
        <w:adjustRightInd/>
        <w:ind w:left="567" w:hanging="567"/>
        <w:jc w:val="left"/>
        <w:textAlignment w:val="auto"/>
        <w:rPr>
          <w:rFonts w:asciiTheme="minorHAnsi" w:hAnsiTheme="minorHAnsi"/>
        </w:rPr>
      </w:pPr>
      <w:r w:rsidRPr="00845716">
        <w:rPr>
          <w:rFonts w:asciiTheme="minorHAnsi" w:hAnsiTheme="minorHAnsi"/>
        </w:rPr>
        <w:t>Piasek</w:t>
      </w:r>
    </w:p>
    <w:p w:rsidR="00E0581A" w:rsidRPr="00A8518B" w:rsidRDefault="00E0581A" w:rsidP="00E0581A">
      <w:pPr>
        <w:jc w:val="left"/>
        <w:rPr>
          <w:rFonts w:asciiTheme="minorHAnsi" w:hAnsiTheme="minorHAnsi"/>
        </w:rPr>
      </w:pPr>
      <w:r w:rsidRPr="00A8518B">
        <w:rPr>
          <w:rFonts w:asciiTheme="minorHAnsi" w:hAnsiTheme="minorHAnsi"/>
        </w:rPr>
        <w:t>Piasek stosowany przy układaniu kabli powinien być co najmniej gatunku „3”, odpowiadającego wymaganiom BN-87/6774-04.</w:t>
      </w:r>
    </w:p>
    <w:p w:rsidR="00E0581A" w:rsidRPr="00845716" w:rsidRDefault="00E0581A" w:rsidP="00790883">
      <w:pPr>
        <w:pStyle w:val="Akapitzlist"/>
        <w:numPr>
          <w:ilvl w:val="2"/>
          <w:numId w:val="86"/>
        </w:numPr>
        <w:overflowPunct/>
        <w:autoSpaceDE/>
        <w:autoSpaceDN/>
        <w:adjustRightInd/>
        <w:ind w:left="567" w:hanging="567"/>
        <w:jc w:val="left"/>
        <w:textAlignment w:val="auto"/>
        <w:rPr>
          <w:rFonts w:asciiTheme="minorHAnsi" w:hAnsiTheme="minorHAnsi"/>
        </w:rPr>
      </w:pPr>
      <w:r w:rsidRPr="00845716">
        <w:rPr>
          <w:rFonts w:asciiTheme="minorHAnsi" w:hAnsiTheme="minorHAnsi"/>
        </w:rPr>
        <w:t>Folia</w:t>
      </w:r>
    </w:p>
    <w:p w:rsidR="00E0581A" w:rsidRPr="00A8518B" w:rsidRDefault="00E0581A" w:rsidP="00E0581A">
      <w:pPr>
        <w:jc w:val="left"/>
        <w:rPr>
          <w:rFonts w:asciiTheme="minorHAnsi" w:hAnsiTheme="minorHAnsi"/>
        </w:rPr>
      </w:pPr>
      <w:r w:rsidRPr="00A8518B">
        <w:rPr>
          <w:rFonts w:asciiTheme="minorHAnsi" w:hAnsiTheme="minorHAnsi"/>
        </w:rPr>
        <w:t>Folia służąca do osłony kabla przed uszkodzeniami mechanicznymi, powinna być folią kalandrowaną z uplastycznionego PCW o grubości od 0,4 do 0,6 mm, gatunku I, odpowiadającą wymaganiom BN-68/6353-03.</w:t>
      </w:r>
    </w:p>
    <w:p w:rsidR="00E0581A" w:rsidRPr="00A8518B" w:rsidRDefault="00845716" w:rsidP="00E0581A">
      <w:pPr>
        <w:pStyle w:val="Nagwek2"/>
        <w:pageBreakBefore w:val="0"/>
        <w:spacing w:before="0" w:after="0"/>
        <w:jc w:val="left"/>
        <w:rPr>
          <w:rFonts w:asciiTheme="minorHAnsi" w:hAnsiTheme="minorHAnsi"/>
          <w:sz w:val="20"/>
          <w:szCs w:val="20"/>
        </w:rPr>
      </w:pPr>
      <w:r>
        <w:rPr>
          <w:rFonts w:asciiTheme="minorHAnsi" w:hAnsiTheme="minorHAnsi"/>
          <w:sz w:val="20"/>
          <w:szCs w:val="20"/>
        </w:rPr>
        <w:t>2.3</w:t>
      </w:r>
      <w:r w:rsidR="00E0581A" w:rsidRPr="00A8518B">
        <w:rPr>
          <w:rFonts w:asciiTheme="minorHAnsi" w:hAnsiTheme="minorHAnsi"/>
          <w:sz w:val="20"/>
          <w:szCs w:val="20"/>
        </w:rPr>
        <w:t>. Elementy gotowe</w:t>
      </w:r>
    </w:p>
    <w:p w:rsidR="00E0581A" w:rsidRPr="00845716"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845716">
        <w:rPr>
          <w:rFonts w:asciiTheme="minorHAnsi" w:hAnsiTheme="minorHAnsi"/>
        </w:rPr>
        <w:t>Przepusty kablowe</w:t>
      </w:r>
    </w:p>
    <w:p w:rsidR="00E0581A" w:rsidRPr="00A8518B" w:rsidRDefault="00E0581A" w:rsidP="00E0581A">
      <w:pPr>
        <w:jc w:val="left"/>
        <w:rPr>
          <w:rFonts w:asciiTheme="minorHAnsi" w:hAnsiTheme="minorHAnsi"/>
        </w:rPr>
      </w:pPr>
      <w:r w:rsidRPr="00A8518B">
        <w:rPr>
          <w:rFonts w:asciiTheme="minorHAnsi" w:hAnsiTheme="minorHAnsi"/>
        </w:rPr>
        <w:t>Przepusty kablowe powinny być wykonane z materiałów niepalnych, z tworzyw sztucznych lub stali, wytrzymałych mechanicznie, chemicznie i odpornych na działanie łuku elektrycznego.</w:t>
      </w:r>
    </w:p>
    <w:p w:rsidR="00E0581A" w:rsidRPr="00A8518B" w:rsidRDefault="00E0581A" w:rsidP="00E0581A">
      <w:pPr>
        <w:jc w:val="left"/>
        <w:rPr>
          <w:rFonts w:asciiTheme="minorHAnsi" w:hAnsiTheme="minorHAnsi"/>
        </w:rPr>
      </w:pPr>
      <w:r w:rsidRPr="00A8518B">
        <w:rPr>
          <w:rFonts w:asciiTheme="minorHAnsi" w:hAnsiTheme="minorHAnsi"/>
        </w:rPr>
        <w:t>Rury używane do wykonania przepustów powinny być dostatecznie wytrzymałe na działające na nie obciążenia. Wnętrza ścianek powinny być gładkie lub powleczone warstwą wygładzającą ich powierzchnie dla ułatwienia przesuwania się kabli.</w:t>
      </w:r>
    </w:p>
    <w:p w:rsidR="00E0581A" w:rsidRPr="00A8518B" w:rsidRDefault="00E0581A" w:rsidP="00E0581A">
      <w:pPr>
        <w:jc w:val="left"/>
        <w:rPr>
          <w:rFonts w:asciiTheme="minorHAnsi" w:hAnsiTheme="minorHAnsi"/>
        </w:rPr>
      </w:pPr>
      <w:r w:rsidRPr="00A8518B">
        <w:rPr>
          <w:rFonts w:asciiTheme="minorHAnsi" w:hAnsiTheme="minorHAnsi"/>
        </w:rPr>
        <w:lastRenderedPageBreak/>
        <w:t>Zaleca się stosowanie na przepusty kablowe rur z polichlorku winylu (PCW) o średnicy wewnętrznej nie mniejszej niż 90 mm. Rury powinny odpowiadać wymaganiom normy PN-80/C-89205.</w:t>
      </w:r>
    </w:p>
    <w:p w:rsidR="00E0581A" w:rsidRPr="00A8518B" w:rsidRDefault="00E0581A" w:rsidP="00E0581A">
      <w:pPr>
        <w:jc w:val="left"/>
        <w:rPr>
          <w:rFonts w:asciiTheme="minorHAnsi" w:hAnsiTheme="minorHAnsi"/>
        </w:rPr>
      </w:pPr>
      <w:r w:rsidRPr="00A8518B">
        <w:rPr>
          <w:rFonts w:asciiTheme="minorHAnsi" w:hAnsiTheme="minorHAnsi"/>
        </w:rPr>
        <w:t>Rury na przepusty kablowe należy przechowywać na utwardzonym placu, w nienasłonecznionych miejscach zabezpieczonych przed ich uszkodzeniem.</w:t>
      </w:r>
    </w:p>
    <w:p w:rsidR="00E0581A" w:rsidRPr="00F319D0" w:rsidRDefault="00E0581A" w:rsidP="00790883">
      <w:pPr>
        <w:pStyle w:val="Akapitzlist"/>
        <w:numPr>
          <w:ilvl w:val="2"/>
          <w:numId w:val="87"/>
        </w:numPr>
        <w:jc w:val="left"/>
        <w:rPr>
          <w:rFonts w:asciiTheme="minorHAnsi" w:hAnsiTheme="minorHAnsi"/>
        </w:rPr>
      </w:pPr>
      <w:r w:rsidRPr="00F319D0">
        <w:rPr>
          <w:rFonts w:asciiTheme="minorHAnsi" w:hAnsiTheme="minorHAnsi"/>
          <w:b/>
        </w:rPr>
        <w:t xml:space="preserve"> </w:t>
      </w:r>
      <w:r w:rsidRPr="00F319D0">
        <w:rPr>
          <w:rFonts w:asciiTheme="minorHAnsi" w:hAnsiTheme="minorHAnsi"/>
        </w:rPr>
        <w:t>Kable</w:t>
      </w:r>
    </w:p>
    <w:p w:rsidR="00E0581A" w:rsidRPr="00A8518B" w:rsidRDefault="00E0581A" w:rsidP="00E0581A">
      <w:pPr>
        <w:jc w:val="left"/>
        <w:rPr>
          <w:rFonts w:asciiTheme="minorHAnsi" w:hAnsiTheme="minorHAnsi"/>
        </w:rPr>
      </w:pPr>
      <w:r w:rsidRPr="00A8518B">
        <w:rPr>
          <w:rFonts w:asciiTheme="minorHAnsi" w:hAnsiTheme="minorHAnsi"/>
        </w:rPr>
        <w:t>Kable używane do oświetlenia dróg powinny spełniać wymagania PN-93/E-90401. Zaleca się stosowanie kabli o napięciu znamionowym  0,6/1 kV, cztero- lub pięciożyłowych o żyłach aluminiowych w izolacji polwinitowej. Przekrój żył powinien być dobrany w zależności od dopuszczalnego spadku napięcia, dopuszczalnej temperatury nagrzania kabla przez prądy robocze i zwarciowe oraz skuteczności ochrony przeciwporażeniowej w przypadku zerowania ochronnego.</w:t>
      </w:r>
    </w:p>
    <w:p w:rsidR="00E0581A" w:rsidRPr="00A8518B" w:rsidRDefault="00E0581A" w:rsidP="00E0581A">
      <w:pPr>
        <w:jc w:val="left"/>
        <w:rPr>
          <w:rFonts w:asciiTheme="minorHAnsi" w:hAnsiTheme="minorHAnsi"/>
        </w:rPr>
      </w:pPr>
      <w:r w:rsidRPr="00A8518B">
        <w:rPr>
          <w:rFonts w:asciiTheme="minorHAnsi" w:hAnsiTheme="minorHAnsi"/>
        </w:rPr>
        <w:t>Nie zaleca się stosowania kabli o przekroju większym niż 50 mm</w:t>
      </w:r>
      <w:r w:rsidRPr="00A8518B">
        <w:rPr>
          <w:rFonts w:asciiTheme="minorHAnsi" w:hAnsiTheme="minorHAnsi"/>
          <w:vertAlign w:val="superscript"/>
        </w:rPr>
        <w:t>2</w:t>
      </w:r>
      <w:r w:rsidRPr="00A8518B">
        <w:rPr>
          <w:rFonts w:asciiTheme="minorHAnsi" w:hAnsiTheme="minorHAnsi"/>
        </w:rPr>
        <w:t>.</w:t>
      </w:r>
    </w:p>
    <w:p w:rsidR="00E0581A" w:rsidRPr="00A8518B" w:rsidRDefault="00E0581A" w:rsidP="00E0581A">
      <w:pPr>
        <w:jc w:val="left"/>
        <w:rPr>
          <w:rFonts w:asciiTheme="minorHAnsi" w:hAnsiTheme="minorHAnsi"/>
        </w:rPr>
      </w:pPr>
      <w:r w:rsidRPr="00A8518B">
        <w:rPr>
          <w:rFonts w:asciiTheme="minorHAnsi" w:hAnsiTheme="minorHAnsi"/>
        </w:rPr>
        <w:t>Bębny z kablami należy przechowywać w miejscach pokrytych dachem, zabezpieczonych przed opadami atmosferycznymi i bezpośrednim działaniem promieni słonecznych.</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Źródła światła i oprawy</w:t>
      </w:r>
    </w:p>
    <w:p w:rsidR="00E0581A" w:rsidRPr="00A8518B" w:rsidRDefault="00E0581A" w:rsidP="00E0581A">
      <w:pPr>
        <w:jc w:val="left"/>
        <w:rPr>
          <w:rFonts w:asciiTheme="minorHAnsi" w:hAnsiTheme="minorHAnsi"/>
        </w:rPr>
      </w:pPr>
      <w:r w:rsidRPr="00A8518B">
        <w:rPr>
          <w:rFonts w:asciiTheme="minorHAnsi" w:hAnsiTheme="minorHAnsi"/>
        </w:rPr>
        <w:t>Dla oświetlenia drogowego stosować źródła światła i oprawy spełniające wymagania PN-83/E-06305.</w:t>
      </w:r>
    </w:p>
    <w:p w:rsidR="00E0581A" w:rsidRPr="00A8518B" w:rsidRDefault="00E0581A" w:rsidP="00E0581A">
      <w:pPr>
        <w:jc w:val="left"/>
        <w:rPr>
          <w:rFonts w:asciiTheme="minorHAnsi" w:hAnsiTheme="minorHAnsi"/>
        </w:rPr>
      </w:pPr>
      <w:r w:rsidRPr="00A8518B">
        <w:rPr>
          <w:rFonts w:asciiTheme="minorHAnsi" w:hAnsiTheme="minorHAnsi"/>
        </w:rPr>
        <w:t>Ze względu na wysoką skuteczność świetlną, trwałość i stałość strumienia świetlnego w czasie oraz oddawanie barw, zaleca się stosowanie lamp ze źródłami światła typu dioda.</w:t>
      </w:r>
    </w:p>
    <w:p w:rsidR="00845716" w:rsidRPr="00845716" w:rsidRDefault="00845716" w:rsidP="00845716">
      <w:pPr>
        <w:jc w:val="left"/>
        <w:rPr>
          <w:rFonts w:asciiTheme="minorHAnsi" w:hAnsiTheme="minorHAnsi"/>
        </w:rPr>
      </w:pPr>
      <w:r w:rsidRPr="00845716">
        <w:rPr>
          <w:rFonts w:asciiTheme="minorHAnsi" w:hAnsiTheme="minorHAnsi"/>
        </w:rPr>
        <w:t>Budowa oprawy – dwukomorowa (otwarcie komory osprzętu nie powoduje rozszczelnienia komory optycznej)</w:t>
      </w:r>
    </w:p>
    <w:p w:rsidR="00845716" w:rsidRPr="00845716" w:rsidRDefault="00845716" w:rsidP="00845716">
      <w:pPr>
        <w:jc w:val="left"/>
        <w:rPr>
          <w:rFonts w:asciiTheme="minorHAnsi" w:hAnsiTheme="minorHAnsi"/>
        </w:rPr>
      </w:pPr>
      <w:r w:rsidRPr="00845716">
        <w:rPr>
          <w:rFonts w:asciiTheme="minorHAnsi" w:hAnsiTheme="minorHAnsi"/>
        </w:rPr>
        <w:t>Materiał korpusu – Odlew aluminium malowany proszkowo</w:t>
      </w:r>
    </w:p>
    <w:p w:rsidR="00845716" w:rsidRPr="00845716" w:rsidRDefault="00845716" w:rsidP="00845716">
      <w:pPr>
        <w:jc w:val="left"/>
        <w:rPr>
          <w:rFonts w:asciiTheme="minorHAnsi" w:hAnsiTheme="minorHAnsi"/>
        </w:rPr>
      </w:pPr>
      <w:r w:rsidRPr="00845716">
        <w:rPr>
          <w:rFonts w:asciiTheme="minorHAnsi" w:hAnsiTheme="minorHAnsi"/>
        </w:rPr>
        <w:t>Materiał klosza – Szkło hartowane płaskie</w:t>
      </w:r>
    </w:p>
    <w:p w:rsidR="00845716" w:rsidRPr="00845716" w:rsidRDefault="00845716" w:rsidP="00845716">
      <w:pPr>
        <w:jc w:val="left"/>
        <w:rPr>
          <w:rFonts w:asciiTheme="minorHAnsi" w:hAnsiTheme="minorHAnsi"/>
        </w:rPr>
      </w:pPr>
      <w:r w:rsidRPr="00845716">
        <w:rPr>
          <w:rFonts w:asciiTheme="minorHAnsi" w:hAnsiTheme="minorHAnsi"/>
        </w:rPr>
        <w:t>Stopień odporności klosza na uderzenia mechaniczne – IK08</w:t>
      </w:r>
    </w:p>
    <w:p w:rsidR="00845716" w:rsidRPr="00845716" w:rsidRDefault="00845716" w:rsidP="00845716">
      <w:pPr>
        <w:jc w:val="left"/>
        <w:rPr>
          <w:rFonts w:asciiTheme="minorHAnsi" w:hAnsiTheme="minorHAnsi"/>
        </w:rPr>
      </w:pPr>
      <w:r w:rsidRPr="00845716">
        <w:rPr>
          <w:rFonts w:asciiTheme="minorHAnsi" w:hAnsiTheme="minorHAnsi"/>
        </w:rPr>
        <w:t>Szczelność komory optycznej – IP66</w:t>
      </w:r>
    </w:p>
    <w:p w:rsidR="00845716" w:rsidRPr="00845716" w:rsidRDefault="00845716" w:rsidP="00845716">
      <w:pPr>
        <w:jc w:val="left"/>
        <w:rPr>
          <w:rFonts w:asciiTheme="minorHAnsi" w:hAnsiTheme="minorHAnsi"/>
        </w:rPr>
      </w:pPr>
      <w:r w:rsidRPr="00845716">
        <w:rPr>
          <w:rFonts w:asciiTheme="minorHAnsi" w:hAnsiTheme="minorHAnsi"/>
        </w:rPr>
        <w:t>Szczelność komory elektrycznej – IP66</w:t>
      </w:r>
    </w:p>
    <w:p w:rsidR="00845716" w:rsidRPr="00845716" w:rsidRDefault="00845716" w:rsidP="00845716">
      <w:pPr>
        <w:jc w:val="left"/>
        <w:rPr>
          <w:rFonts w:asciiTheme="minorHAnsi" w:hAnsiTheme="minorHAnsi"/>
        </w:rPr>
      </w:pPr>
      <w:r w:rsidRPr="00845716">
        <w:rPr>
          <w:rFonts w:asciiTheme="minorHAnsi" w:hAnsiTheme="minorHAnsi"/>
        </w:rPr>
        <w:t>Montaż na wysięgniku lub słupie o średnicy Ø48-60mm</w:t>
      </w:r>
    </w:p>
    <w:p w:rsidR="00845716" w:rsidRPr="00845716" w:rsidRDefault="00845716" w:rsidP="00845716">
      <w:pPr>
        <w:jc w:val="left"/>
        <w:rPr>
          <w:rFonts w:asciiTheme="minorHAnsi" w:hAnsiTheme="minorHAnsi"/>
        </w:rPr>
      </w:pPr>
      <w:r w:rsidRPr="00845716">
        <w:rPr>
          <w:rFonts w:asciiTheme="minorHAnsi" w:hAnsiTheme="minorHAnsi"/>
        </w:rPr>
        <w:t>Oprawa wyposażona w uniwersalny uchwyt pozwalający na montaż zarówno na wysięgniku jak i bezpośrednio na słupie, a także pozwalający na zmianę kąta nachylenia oprawy w zakresie 0-10° (montaż bezpośredni) lub 0-15° (montaż na wysięgniku)</w:t>
      </w:r>
    </w:p>
    <w:p w:rsidR="00845716" w:rsidRPr="00845716" w:rsidRDefault="00845716" w:rsidP="00845716">
      <w:pPr>
        <w:jc w:val="left"/>
        <w:rPr>
          <w:rFonts w:asciiTheme="minorHAnsi" w:hAnsiTheme="minorHAnsi"/>
        </w:rPr>
      </w:pPr>
      <w:r w:rsidRPr="00845716">
        <w:rPr>
          <w:rFonts w:asciiTheme="minorHAnsi" w:hAnsiTheme="minorHAnsi"/>
        </w:rPr>
        <w:t>Znamionowe napięcie pracy – 230V/50Hz</w:t>
      </w:r>
    </w:p>
    <w:p w:rsidR="00845716" w:rsidRPr="00845716" w:rsidRDefault="00845716" w:rsidP="00845716">
      <w:pPr>
        <w:jc w:val="left"/>
        <w:rPr>
          <w:rFonts w:asciiTheme="minorHAnsi" w:hAnsiTheme="minorHAnsi"/>
        </w:rPr>
      </w:pPr>
      <w:r w:rsidRPr="00845716">
        <w:rPr>
          <w:rFonts w:asciiTheme="minorHAnsi" w:hAnsiTheme="minorHAnsi"/>
        </w:rPr>
        <w:t xml:space="preserve">Moc maksymalna uwzględniające wszystkie straty – </w:t>
      </w:r>
      <w:r>
        <w:rPr>
          <w:rFonts w:asciiTheme="minorHAnsi" w:hAnsiTheme="minorHAnsi"/>
        </w:rPr>
        <w:t>75</w:t>
      </w:r>
      <w:r w:rsidRPr="00845716">
        <w:rPr>
          <w:rFonts w:asciiTheme="minorHAnsi" w:hAnsiTheme="minorHAnsi"/>
        </w:rPr>
        <w:t>W</w:t>
      </w:r>
    </w:p>
    <w:p w:rsidR="00845716" w:rsidRPr="00845716" w:rsidRDefault="00845716" w:rsidP="00845716">
      <w:pPr>
        <w:jc w:val="left"/>
        <w:rPr>
          <w:rFonts w:asciiTheme="minorHAnsi" w:hAnsiTheme="minorHAnsi"/>
        </w:rPr>
      </w:pPr>
      <w:r w:rsidRPr="00845716">
        <w:rPr>
          <w:rFonts w:asciiTheme="minorHAnsi" w:hAnsiTheme="minorHAnsi"/>
        </w:rPr>
        <w:t>Ochrona przed przepięciami – 10kV</w:t>
      </w:r>
    </w:p>
    <w:p w:rsidR="00845716" w:rsidRPr="00845716" w:rsidRDefault="00845716" w:rsidP="00845716">
      <w:pPr>
        <w:jc w:val="left"/>
        <w:rPr>
          <w:rFonts w:asciiTheme="minorHAnsi" w:hAnsiTheme="minorHAnsi"/>
        </w:rPr>
      </w:pPr>
      <w:r w:rsidRPr="00845716">
        <w:rPr>
          <w:rFonts w:asciiTheme="minorHAnsi" w:hAnsiTheme="minorHAnsi"/>
        </w:rPr>
        <w:t>Układ zasilający umożliwiający sterowanie sygnałem 1-10V lub DALI</w:t>
      </w:r>
    </w:p>
    <w:p w:rsidR="00845716" w:rsidRPr="00845716" w:rsidRDefault="00845716" w:rsidP="00845716">
      <w:pPr>
        <w:jc w:val="left"/>
        <w:rPr>
          <w:rFonts w:asciiTheme="minorHAnsi" w:hAnsiTheme="minorHAnsi"/>
        </w:rPr>
      </w:pPr>
      <w:r w:rsidRPr="00845716">
        <w:rPr>
          <w:rFonts w:asciiTheme="minorHAnsi" w:hAnsiTheme="minorHAnsi"/>
        </w:rPr>
        <w:t xml:space="preserve">Źródło światła – </w:t>
      </w:r>
      <w:r>
        <w:rPr>
          <w:rFonts w:asciiTheme="minorHAnsi" w:hAnsiTheme="minorHAnsi"/>
        </w:rPr>
        <w:t>48</w:t>
      </w:r>
      <w:r w:rsidRPr="00845716">
        <w:rPr>
          <w:rFonts w:asciiTheme="minorHAnsi" w:hAnsiTheme="minorHAnsi"/>
        </w:rPr>
        <w:t xml:space="preserve"> źródła LED</w:t>
      </w:r>
    </w:p>
    <w:p w:rsidR="00845716" w:rsidRPr="00845716" w:rsidRDefault="00845716" w:rsidP="00845716">
      <w:pPr>
        <w:jc w:val="left"/>
        <w:rPr>
          <w:rFonts w:asciiTheme="minorHAnsi" w:hAnsiTheme="minorHAnsi"/>
        </w:rPr>
      </w:pPr>
      <w:r w:rsidRPr="00845716">
        <w:rPr>
          <w:rFonts w:asciiTheme="minorHAnsi" w:hAnsiTheme="minorHAnsi"/>
        </w:rPr>
        <w:t>Minimalny strumień świetlny źródeł – 6700lm</w:t>
      </w:r>
    </w:p>
    <w:p w:rsidR="00845716" w:rsidRPr="00845716" w:rsidRDefault="00845716" w:rsidP="00845716">
      <w:pPr>
        <w:jc w:val="left"/>
        <w:rPr>
          <w:rFonts w:asciiTheme="minorHAnsi" w:hAnsiTheme="minorHAnsi"/>
        </w:rPr>
      </w:pPr>
      <w:r w:rsidRPr="00845716">
        <w:rPr>
          <w:rFonts w:asciiTheme="minorHAnsi" w:hAnsiTheme="minorHAnsi"/>
        </w:rPr>
        <w:t>Zakres temperatury barwowej źródeł światła – 3900-4300K</w:t>
      </w:r>
    </w:p>
    <w:p w:rsidR="00845716" w:rsidRPr="00845716" w:rsidRDefault="00845716" w:rsidP="00845716">
      <w:pPr>
        <w:jc w:val="left"/>
        <w:rPr>
          <w:rFonts w:asciiTheme="minorHAnsi" w:hAnsiTheme="minorHAnsi"/>
        </w:rPr>
      </w:pPr>
      <w:r w:rsidRPr="00845716">
        <w:rPr>
          <w:rFonts w:asciiTheme="minorHAnsi" w:hAnsiTheme="minorHAnsi"/>
        </w:rPr>
        <w:t>Utrzymanie strumienia świetlnego w czasie: 80% po 100 000h (zgodnie z IES LM-80 - TM-21)</w:t>
      </w:r>
    </w:p>
    <w:p w:rsidR="00845716" w:rsidRPr="00845716" w:rsidRDefault="00845716" w:rsidP="00845716">
      <w:pPr>
        <w:jc w:val="left"/>
        <w:rPr>
          <w:rFonts w:asciiTheme="minorHAnsi" w:hAnsiTheme="minorHAnsi"/>
        </w:rPr>
      </w:pPr>
      <w:r w:rsidRPr="00845716">
        <w:rPr>
          <w:rFonts w:asciiTheme="minorHAnsi" w:hAnsiTheme="minorHAnsi"/>
        </w:rPr>
        <w:t>Klasa ochronności elektrycznej: I lub II</w:t>
      </w:r>
    </w:p>
    <w:p w:rsidR="00845716" w:rsidRPr="00845716" w:rsidRDefault="00845716" w:rsidP="00845716">
      <w:pPr>
        <w:jc w:val="left"/>
        <w:rPr>
          <w:rFonts w:asciiTheme="minorHAnsi" w:hAnsiTheme="minorHAnsi"/>
        </w:rPr>
      </w:pPr>
      <w:r w:rsidRPr="00845716">
        <w:rPr>
          <w:rFonts w:asciiTheme="minorHAnsi" w:hAnsiTheme="minorHAnsi"/>
        </w:rPr>
        <w:t>Oprawa posiada deklarację zgodności WE i certyfikat akredytowanego ośrodka badawczego potwierdzający deklarowane zgodności, np. ENEC</w:t>
      </w:r>
    </w:p>
    <w:p w:rsidR="00845716" w:rsidRPr="00845716" w:rsidRDefault="00845716" w:rsidP="00845716">
      <w:pPr>
        <w:jc w:val="left"/>
        <w:rPr>
          <w:rFonts w:asciiTheme="minorHAnsi" w:hAnsiTheme="minorHAnsi"/>
        </w:rPr>
      </w:pPr>
      <w:r w:rsidRPr="00845716">
        <w:rPr>
          <w:rFonts w:asciiTheme="minorHAnsi" w:hAnsiTheme="minorHAnsi"/>
        </w:rPr>
        <w:t>Wartości wskaźnika udziału światła wysyłanego ku górze (ULOR) zgodne z Rozporządzeniem WE nr 245/2009</w:t>
      </w:r>
    </w:p>
    <w:p w:rsidR="00845716" w:rsidRPr="00845716" w:rsidRDefault="00845716" w:rsidP="00845716">
      <w:pPr>
        <w:jc w:val="left"/>
        <w:rPr>
          <w:rFonts w:asciiTheme="minorHAnsi" w:hAnsiTheme="minorHAnsi"/>
        </w:rPr>
      </w:pPr>
      <w:r w:rsidRPr="00845716">
        <w:rPr>
          <w:rFonts w:asciiTheme="minorHAnsi" w:hAnsiTheme="minorHAnsi"/>
        </w:rPr>
        <w:t>Dane fotometryczne oprawy zamieszczone w programie komputerowym pozwalającym wykonać obliczenia parametrów oświetleniowych</w:t>
      </w:r>
    </w:p>
    <w:p w:rsidR="00845716" w:rsidRPr="00845716" w:rsidRDefault="00845716" w:rsidP="00845716">
      <w:pPr>
        <w:jc w:val="left"/>
        <w:rPr>
          <w:rFonts w:asciiTheme="minorHAnsi" w:hAnsiTheme="minorHAnsi"/>
        </w:rPr>
      </w:pPr>
      <w:r w:rsidRPr="00845716">
        <w:rPr>
          <w:rFonts w:asciiTheme="minorHAnsi" w:hAnsiTheme="minorHAnsi"/>
        </w:rPr>
        <w:t>W przypadku zastosowania rozwiązań zamiennych należy dostarczyć źródłowe pliki obliczeniowe</w:t>
      </w:r>
    </w:p>
    <w:p w:rsidR="00845716" w:rsidRPr="00845716" w:rsidRDefault="00845716" w:rsidP="00845716">
      <w:pPr>
        <w:jc w:val="left"/>
        <w:rPr>
          <w:rFonts w:asciiTheme="minorHAnsi" w:hAnsiTheme="minorHAnsi"/>
        </w:rPr>
      </w:pPr>
      <w:r w:rsidRPr="00845716">
        <w:rPr>
          <w:rFonts w:asciiTheme="minorHAnsi" w:hAnsiTheme="minorHAnsi"/>
        </w:rPr>
        <w:t>Budowa oprawy pozwala na szybką wymianę układu optycznego oraz modułu zasilającego</w:t>
      </w:r>
    </w:p>
    <w:p w:rsidR="00845716" w:rsidRPr="00845716" w:rsidRDefault="00845716" w:rsidP="00845716">
      <w:pPr>
        <w:jc w:val="left"/>
        <w:rPr>
          <w:rFonts w:asciiTheme="minorHAnsi" w:hAnsiTheme="minorHAnsi"/>
        </w:rPr>
      </w:pPr>
      <w:r w:rsidRPr="00845716">
        <w:rPr>
          <w:rFonts w:asciiTheme="minorHAnsi" w:hAnsiTheme="minorHAnsi"/>
        </w:rPr>
        <w:t xml:space="preserve">Sprawność układu optycznego nie mniejsza niż podana poniżej. </w:t>
      </w:r>
    </w:p>
    <w:p w:rsidR="00E0581A" w:rsidRPr="00A8518B" w:rsidRDefault="00E0581A" w:rsidP="00E0581A">
      <w:pPr>
        <w:jc w:val="left"/>
        <w:rPr>
          <w:rFonts w:asciiTheme="minorHAnsi" w:hAnsiTheme="minorHAnsi"/>
        </w:rPr>
      </w:pPr>
      <w:r w:rsidRPr="00A8518B">
        <w:rPr>
          <w:rFonts w:asciiTheme="minorHAnsi" w:hAnsiTheme="minorHAnsi"/>
        </w:rPr>
        <w:t>.</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Słupy i maszty oświetleniowe</w:t>
      </w:r>
    </w:p>
    <w:p w:rsidR="00E0581A" w:rsidRPr="00A8518B" w:rsidRDefault="00E0581A" w:rsidP="00E0581A">
      <w:pPr>
        <w:jc w:val="left"/>
        <w:rPr>
          <w:rFonts w:asciiTheme="minorHAnsi" w:hAnsiTheme="minorHAnsi"/>
        </w:rPr>
      </w:pPr>
      <w:r w:rsidRPr="00A8518B">
        <w:rPr>
          <w:rFonts w:asciiTheme="minorHAnsi" w:hAnsiTheme="minorHAnsi"/>
        </w:rPr>
        <w:t>Słupy i maszty oświetleniowe powinny być wykonane zgodnie z dokumentacją projektową.</w:t>
      </w:r>
    </w:p>
    <w:p w:rsidR="00E0581A" w:rsidRPr="00A8518B" w:rsidRDefault="00E0581A" w:rsidP="00E0581A">
      <w:pPr>
        <w:jc w:val="left"/>
        <w:rPr>
          <w:rFonts w:asciiTheme="minorHAnsi" w:hAnsiTheme="minorHAnsi"/>
        </w:rPr>
      </w:pPr>
      <w:r w:rsidRPr="00A8518B">
        <w:rPr>
          <w:rFonts w:asciiTheme="minorHAnsi" w:hAnsiTheme="minorHAnsi"/>
        </w:rPr>
        <w:t>Dla oświetlenia dróg, stosować typowe słupy oświetleniowe stalowe zgodne z dokumentacją projektową.</w:t>
      </w:r>
    </w:p>
    <w:p w:rsidR="00E0581A" w:rsidRPr="00A8518B" w:rsidRDefault="00E0581A" w:rsidP="00E0581A">
      <w:pPr>
        <w:jc w:val="left"/>
        <w:rPr>
          <w:rFonts w:asciiTheme="minorHAnsi" w:hAnsiTheme="minorHAnsi"/>
        </w:rPr>
      </w:pPr>
      <w:r w:rsidRPr="00A8518B">
        <w:rPr>
          <w:rFonts w:asciiTheme="minorHAnsi" w:hAnsiTheme="minorHAnsi"/>
        </w:rPr>
        <w:t>Słupy i maszty powinny przenieść obciążenia wynikające z zawieszenia opraw i wysięgników oraz parcia wiatru dla  III strefy wiatrowej, zgodnie z PN-75/E-05100.</w:t>
      </w:r>
    </w:p>
    <w:p w:rsidR="00E0581A" w:rsidRPr="00A8518B" w:rsidRDefault="00E0581A" w:rsidP="00E0581A">
      <w:pPr>
        <w:jc w:val="left"/>
        <w:rPr>
          <w:rFonts w:asciiTheme="minorHAnsi" w:hAnsiTheme="minorHAnsi"/>
        </w:rPr>
      </w:pPr>
      <w:r w:rsidRPr="00A8518B">
        <w:rPr>
          <w:rFonts w:asciiTheme="minorHAnsi" w:hAnsiTheme="minorHAnsi"/>
        </w:rPr>
        <w:t>Każdy słup powinien posiadać w swej górnej części odpowiedniej średnicy rurę stalową dla zamocowania wysięgnika rurowego i osłony stożkowej.</w:t>
      </w:r>
    </w:p>
    <w:p w:rsidR="00E0581A" w:rsidRPr="00A8518B" w:rsidRDefault="00E0581A" w:rsidP="00E0581A">
      <w:pPr>
        <w:jc w:val="left"/>
        <w:rPr>
          <w:rFonts w:asciiTheme="minorHAnsi" w:hAnsiTheme="minorHAnsi"/>
        </w:rPr>
      </w:pPr>
      <w:r w:rsidRPr="00A8518B">
        <w:rPr>
          <w:rFonts w:asciiTheme="minorHAnsi" w:hAnsiTheme="minorHAnsi"/>
        </w:rPr>
        <w:t>W dolnej części słupy i maszty powinny posiadać jedną lub dwie wnęki zamykane drzwiczkami.</w:t>
      </w:r>
    </w:p>
    <w:p w:rsidR="00E0581A" w:rsidRPr="00A8518B" w:rsidRDefault="00E0581A" w:rsidP="00E0581A">
      <w:pPr>
        <w:jc w:val="left"/>
        <w:rPr>
          <w:rFonts w:asciiTheme="minorHAnsi" w:hAnsiTheme="minorHAnsi"/>
        </w:rPr>
      </w:pPr>
      <w:r w:rsidRPr="00A8518B">
        <w:rPr>
          <w:rFonts w:asciiTheme="minorHAnsi" w:hAnsiTheme="minorHAnsi"/>
        </w:rPr>
        <w:lastRenderedPageBreak/>
        <w:t>Wnęka lub wnęki powinny być przystosowane do zainstalowania typowej tabliczki bezpiecznikowo-zaciskowej, posiadającej podstawy bezpiecznikowe 25 A i cztery lub pięć zacisków do podłączenia dwóch żył kabla o przekroju do 50 mm</w:t>
      </w:r>
      <w:r w:rsidRPr="00A8518B">
        <w:rPr>
          <w:rFonts w:asciiTheme="minorHAnsi" w:hAnsiTheme="minorHAnsi"/>
          <w:vertAlign w:val="superscript"/>
        </w:rPr>
        <w:t>2</w:t>
      </w:r>
      <w:r w:rsidRPr="00A8518B">
        <w:rPr>
          <w:rFonts w:asciiTheme="minorHAnsi" w:hAnsiTheme="minorHAnsi"/>
        </w:rPr>
        <w:t>.</w:t>
      </w:r>
    </w:p>
    <w:p w:rsidR="00E0581A" w:rsidRPr="00A8518B" w:rsidRDefault="00E0581A" w:rsidP="00E0581A">
      <w:pPr>
        <w:jc w:val="left"/>
        <w:rPr>
          <w:rFonts w:asciiTheme="minorHAnsi" w:hAnsiTheme="minorHAnsi"/>
        </w:rPr>
      </w:pPr>
      <w:r w:rsidRPr="00A8518B">
        <w:rPr>
          <w:rFonts w:asciiTheme="minorHAnsi" w:hAnsiTheme="minorHAnsi"/>
        </w:rPr>
        <w:t xml:space="preserve">Stalowe słupy i maszty winny być wykonane ze stali profilowej St 3 SX i stali rurowej R 35. Ich powierzchnie wewnętrzne powinny być oczyszczone i powleczone warstwą ochronną z bitizolu o grubości min. 120 </w:t>
      </w:r>
      <w:r w:rsidRPr="00A8518B">
        <w:rPr>
          <w:rFonts w:asciiTheme="minorHAnsi" w:hAnsiTheme="minorHAnsi"/>
        </w:rPr>
        <w:sym w:font="Times New Roman" w:char="00B5"/>
      </w:r>
      <w:r w:rsidRPr="00A8518B">
        <w:rPr>
          <w:rFonts w:asciiTheme="minorHAnsi" w:hAnsiTheme="minorHAnsi"/>
        </w:rPr>
        <w:t>m. Strona zewnętrzna po oczyszczeniu  II stopnia powinna być malowana trzema warstwami farb; antykorozyjną, podkładową i nawierzchniową. Farba nawierzchniowa powinna być koloru szarego (mieszanina kolorów 51 i 81 w stosunku 1:1).</w:t>
      </w:r>
    </w:p>
    <w:p w:rsidR="00E0581A" w:rsidRPr="00A8518B" w:rsidRDefault="00E0581A" w:rsidP="00E0581A">
      <w:pPr>
        <w:jc w:val="left"/>
        <w:rPr>
          <w:rFonts w:asciiTheme="minorHAnsi" w:hAnsiTheme="minorHAnsi"/>
        </w:rPr>
      </w:pPr>
      <w:r w:rsidRPr="00A8518B">
        <w:rPr>
          <w:rFonts w:asciiTheme="minorHAnsi" w:hAnsiTheme="minorHAnsi"/>
        </w:rPr>
        <w:t>Elementy powinny być proste w granicach dopuszczalnych odchyłek podanych w dokumentacji projektowej i PN-90/B-03200. Spoiny nie mogą wykazywać pęknięć, a otwory na elementy łączące nie powinny mieć podniesionych krawędzi.</w:t>
      </w:r>
    </w:p>
    <w:p w:rsidR="00E0581A" w:rsidRPr="00A8518B" w:rsidRDefault="00E0581A" w:rsidP="00E0581A">
      <w:pPr>
        <w:jc w:val="left"/>
        <w:rPr>
          <w:rFonts w:asciiTheme="minorHAnsi" w:hAnsiTheme="minorHAnsi"/>
        </w:rPr>
      </w:pPr>
      <w:r w:rsidRPr="00A8518B">
        <w:rPr>
          <w:rFonts w:asciiTheme="minorHAnsi" w:hAnsiTheme="minorHAnsi"/>
        </w:rPr>
        <w:t>Składowanie słupów i masztów oświetleniowych na placu budowy, powinno być na wyrównanym podłożu w pozycji poziomej, z zastosowaniem przekładek z drewna miękkiego.</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Wysięgniki</w:t>
      </w:r>
    </w:p>
    <w:p w:rsidR="00E0581A" w:rsidRPr="00A8518B" w:rsidRDefault="00E0581A" w:rsidP="00E0581A">
      <w:pPr>
        <w:jc w:val="left"/>
        <w:rPr>
          <w:rFonts w:asciiTheme="minorHAnsi" w:hAnsiTheme="minorHAnsi"/>
        </w:rPr>
      </w:pPr>
      <w:r w:rsidRPr="00A8518B">
        <w:rPr>
          <w:rFonts w:asciiTheme="minorHAnsi" w:hAnsiTheme="minorHAnsi"/>
        </w:rPr>
        <w:t xml:space="preserve">Wysięgniki powinny być wykonane zgodnie z dokumentacją projektową. </w:t>
      </w:r>
    </w:p>
    <w:p w:rsidR="00E0581A" w:rsidRPr="00A8518B" w:rsidRDefault="00E0581A" w:rsidP="00E0581A">
      <w:pPr>
        <w:jc w:val="left"/>
        <w:rPr>
          <w:rFonts w:asciiTheme="minorHAnsi" w:hAnsiTheme="minorHAnsi"/>
        </w:rPr>
      </w:pPr>
      <w:r w:rsidRPr="00A8518B">
        <w:rPr>
          <w:rFonts w:asciiTheme="minorHAnsi" w:hAnsiTheme="minorHAnsi"/>
        </w:rPr>
        <w:t>Ramiona lub ramię wysięgnika powinno być nachylone pod kątem 5 stopni od poziomu, a ich wysięg powinien być zawarty od 1,0 do 2,0m zgodnie ze wskazaniami dla poszczególnych lam</w:t>
      </w:r>
      <w:r w:rsidR="00636662">
        <w:rPr>
          <w:rFonts w:asciiTheme="minorHAnsi" w:hAnsiTheme="minorHAnsi"/>
        </w:rPr>
        <w:t>p</w:t>
      </w:r>
      <w:r w:rsidRPr="00A8518B">
        <w:rPr>
          <w:rFonts w:asciiTheme="minorHAnsi" w:hAnsiTheme="minorHAnsi"/>
        </w:rPr>
        <w:t>o na schemacie oświetlenia. Wysięgniki powinny być dostosowane do opraw i słupów oświetleniowych używanych do oświetlenia dróg.</w:t>
      </w:r>
    </w:p>
    <w:p w:rsidR="00E0581A" w:rsidRPr="00A8518B" w:rsidRDefault="00E0581A" w:rsidP="00E0581A">
      <w:pPr>
        <w:jc w:val="left"/>
        <w:rPr>
          <w:rFonts w:asciiTheme="minorHAnsi" w:hAnsiTheme="minorHAnsi"/>
        </w:rPr>
      </w:pPr>
      <w:r w:rsidRPr="00A8518B">
        <w:rPr>
          <w:rFonts w:asciiTheme="minorHAnsi" w:hAnsiTheme="minorHAnsi"/>
        </w:rPr>
        <w:t>Wysięgniki powinny być zabezpieczone antykorozyjnie powłokami malarskimi z zewnątrz i asfaltowymi wewnątrz rur, tak jak słupy i maszty oświetleniowe.</w:t>
      </w:r>
    </w:p>
    <w:p w:rsidR="00E0581A" w:rsidRPr="00A8518B" w:rsidRDefault="00E0581A" w:rsidP="00E0581A">
      <w:pPr>
        <w:jc w:val="left"/>
        <w:rPr>
          <w:rFonts w:asciiTheme="minorHAnsi" w:hAnsiTheme="minorHAnsi"/>
        </w:rPr>
      </w:pPr>
      <w:r w:rsidRPr="00A8518B">
        <w:rPr>
          <w:rFonts w:asciiTheme="minorHAnsi" w:hAnsiTheme="minorHAnsi"/>
        </w:rPr>
        <w:t>Składowanie wysięgników na placu budowy powinno być w miejscu suchym i zabezpieczonym przed ich uszkodzeniem.</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Kapturek osłonowy</w:t>
      </w:r>
    </w:p>
    <w:p w:rsidR="00E0581A" w:rsidRPr="00A8518B" w:rsidRDefault="00E0581A" w:rsidP="00E0581A">
      <w:pPr>
        <w:jc w:val="left"/>
        <w:rPr>
          <w:rFonts w:asciiTheme="minorHAnsi" w:hAnsiTheme="minorHAnsi"/>
        </w:rPr>
      </w:pPr>
      <w:r w:rsidRPr="00A8518B">
        <w:rPr>
          <w:rFonts w:asciiTheme="minorHAnsi" w:hAnsiTheme="minorHAnsi"/>
        </w:rPr>
        <w:t>Kapturek osłonowy należy wykonać zgodnie z dokumentacją projektową dla konkretnego wysięgnika i słupa oświetleniowego.</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Tabliczka bezpiecznikowo-zaciskowa</w:t>
      </w:r>
    </w:p>
    <w:p w:rsidR="00E0581A" w:rsidRPr="00A8518B" w:rsidRDefault="00E0581A" w:rsidP="00E0581A">
      <w:pPr>
        <w:jc w:val="left"/>
        <w:rPr>
          <w:rFonts w:asciiTheme="minorHAnsi" w:hAnsiTheme="minorHAnsi"/>
        </w:rPr>
      </w:pPr>
      <w:r w:rsidRPr="00A8518B">
        <w:rPr>
          <w:rFonts w:asciiTheme="minorHAnsi" w:hAnsiTheme="minorHAnsi"/>
        </w:rPr>
        <w:t>Tabliczkę bezpiecznikowo-zaciskową należy wykonać zgodnie z dokumentacją projektową.</w:t>
      </w:r>
    </w:p>
    <w:p w:rsidR="00E0581A" w:rsidRPr="00A8518B" w:rsidRDefault="00E0581A" w:rsidP="00E0581A">
      <w:pPr>
        <w:jc w:val="left"/>
        <w:rPr>
          <w:rFonts w:asciiTheme="minorHAnsi" w:hAnsiTheme="minorHAnsi"/>
        </w:rPr>
      </w:pPr>
      <w:r w:rsidRPr="00A8518B">
        <w:rPr>
          <w:rFonts w:asciiTheme="minorHAnsi" w:hAnsiTheme="minorHAnsi"/>
        </w:rPr>
        <w:t>Tabliczka powinna posiadać odpowiednią ilość podstaw bezpiecznikowych 25 A oraz cztery lub pięć zacisków przystosowanych do podłączenia dwóch żył kabla o przekroju do 50 mm</w:t>
      </w:r>
      <w:r w:rsidRPr="00A8518B">
        <w:rPr>
          <w:rFonts w:asciiTheme="minorHAnsi" w:hAnsiTheme="minorHAnsi"/>
          <w:vertAlign w:val="superscript"/>
        </w:rPr>
        <w:t>2</w:t>
      </w:r>
      <w:r w:rsidRPr="00A8518B">
        <w:rPr>
          <w:rFonts w:asciiTheme="minorHAnsi" w:hAnsiTheme="minorHAnsi"/>
        </w:rPr>
        <w:t>.</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Żwir na podsypkę</w:t>
      </w:r>
    </w:p>
    <w:p w:rsidR="00E0581A" w:rsidRPr="00A8518B" w:rsidRDefault="00E0581A" w:rsidP="00E0581A">
      <w:pPr>
        <w:jc w:val="left"/>
        <w:rPr>
          <w:rFonts w:asciiTheme="minorHAnsi" w:hAnsiTheme="minorHAnsi"/>
        </w:rPr>
      </w:pPr>
      <w:r w:rsidRPr="00A8518B">
        <w:rPr>
          <w:rFonts w:asciiTheme="minorHAnsi" w:hAnsiTheme="minorHAnsi"/>
        </w:rPr>
        <w:t>Żwir na podsypkę pod prefabrykowane elementy betonowe powinien być klasy co najmniej III i odpowiadać wymaganiom BN-66/6774-01.</w:t>
      </w:r>
    </w:p>
    <w:p w:rsidR="00E0581A" w:rsidRPr="00F319D0" w:rsidRDefault="00E0581A" w:rsidP="00790883">
      <w:pPr>
        <w:pStyle w:val="Akapitzlist"/>
        <w:numPr>
          <w:ilvl w:val="2"/>
          <w:numId w:val="87"/>
        </w:numPr>
        <w:overflowPunct/>
        <w:autoSpaceDE/>
        <w:autoSpaceDN/>
        <w:adjustRightInd/>
        <w:jc w:val="left"/>
        <w:textAlignment w:val="auto"/>
        <w:rPr>
          <w:rFonts w:asciiTheme="minorHAnsi" w:hAnsiTheme="minorHAnsi"/>
        </w:rPr>
      </w:pPr>
      <w:r w:rsidRPr="00F319D0">
        <w:rPr>
          <w:rFonts w:asciiTheme="minorHAnsi" w:hAnsiTheme="minorHAnsi"/>
        </w:rPr>
        <w:t>Kit uszczelniający</w:t>
      </w:r>
    </w:p>
    <w:p w:rsidR="00E0581A" w:rsidRPr="00A8518B" w:rsidRDefault="00E0581A" w:rsidP="00E0581A">
      <w:pPr>
        <w:jc w:val="left"/>
        <w:rPr>
          <w:rFonts w:asciiTheme="minorHAnsi" w:hAnsiTheme="minorHAnsi"/>
        </w:rPr>
      </w:pPr>
      <w:r w:rsidRPr="00A8518B">
        <w:rPr>
          <w:rFonts w:asciiTheme="minorHAnsi" w:hAnsiTheme="minorHAnsi"/>
        </w:rPr>
        <w:t>Do uszczelniania połączenia słupa z wysięgnikiem i kapturkiem osłonowym można stosować wszelkie rodzaje kitów spełniające wymagania BN-80/6112-28.</w:t>
      </w:r>
    </w:p>
    <w:p w:rsidR="00E0581A" w:rsidRPr="00A8518B" w:rsidRDefault="00E0581A" w:rsidP="00E5206A">
      <w:pPr>
        <w:pStyle w:val="Nagwek3"/>
      </w:pPr>
      <w:bookmarkStart w:id="1300" w:name="_Toc450718595"/>
      <w:bookmarkStart w:id="1301" w:name="_Toc451138865"/>
      <w:bookmarkStart w:id="1302" w:name="_Toc369334464"/>
      <w:bookmarkStart w:id="1303" w:name="_Toc378577028"/>
      <w:bookmarkStart w:id="1304" w:name="_Toc378577148"/>
      <w:bookmarkStart w:id="1305" w:name="_Toc427178291"/>
      <w:r w:rsidRPr="00A8518B">
        <w:t>3. sprzęt</w:t>
      </w:r>
      <w:bookmarkEnd w:id="1300"/>
      <w:bookmarkEnd w:id="1301"/>
      <w:bookmarkEnd w:id="1302"/>
      <w:bookmarkEnd w:id="1303"/>
      <w:bookmarkEnd w:id="1304"/>
      <w:bookmarkEnd w:id="1305"/>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3.1. Ogólne wymagania dotyczące sprzętu</w:t>
      </w:r>
    </w:p>
    <w:p w:rsidR="00E0581A" w:rsidRPr="00A8518B" w:rsidRDefault="00E0581A" w:rsidP="00E0581A">
      <w:pPr>
        <w:jc w:val="left"/>
        <w:rPr>
          <w:rFonts w:asciiTheme="minorHAnsi" w:hAnsiTheme="minorHAnsi"/>
        </w:rPr>
      </w:pPr>
      <w:r w:rsidRPr="00A8518B">
        <w:rPr>
          <w:rFonts w:asciiTheme="minorHAnsi" w:hAnsiTheme="minorHAnsi"/>
        </w:rPr>
        <w:t xml:space="preserve">Ogólne wymagania dotyczące sprzętu podano w </w:t>
      </w:r>
      <w:r w:rsidR="005B48CA">
        <w:rPr>
          <w:rFonts w:asciiTheme="minorHAnsi" w:hAnsiTheme="minorHAnsi"/>
        </w:rPr>
        <w:t>STWiORB</w:t>
      </w:r>
      <w:r w:rsidRPr="00A8518B">
        <w:rPr>
          <w:rFonts w:asciiTheme="minorHAnsi" w:hAnsiTheme="minorHAnsi"/>
        </w:rPr>
        <w:t xml:space="preserve"> D-M-00.00.00.00 „Wymagania ogólne” pkt 3.</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3.2. Sprzęt do wykonania oświetlenia drogowego</w:t>
      </w:r>
    </w:p>
    <w:p w:rsidR="00E0581A" w:rsidRPr="00A8518B" w:rsidRDefault="00E0581A" w:rsidP="00E0581A">
      <w:pPr>
        <w:jc w:val="left"/>
        <w:rPr>
          <w:rFonts w:asciiTheme="minorHAnsi" w:hAnsiTheme="minorHAnsi"/>
        </w:rPr>
      </w:pPr>
      <w:r w:rsidRPr="00A8518B">
        <w:rPr>
          <w:rFonts w:asciiTheme="minorHAnsi" w:hAnsiTheme="minorHAnsi"/>
        </w:rPr>
        <w:t>Wykonawca przystępujący do wykonania oświetlenia drogowego winien wykazać się możliwością korzystania z następujących maszyn i sprzętu gwarantujących właściwą jakość robót:</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żurawia samochodowego,</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samochodu specjalnego linowego z platformą i balkonem,</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spawarki transformatorowej do 500 A,</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zagęszczarki wibracyjnej spalinowej 70 m</w:t>
      </w:r>
      <w:r w:rsidRPr="00A8518B">
        <w:rPr>
          <w:rFonts w:asciiTheme="minorHAnsi" w:hAnsiTheme="minorHAnsi"/>
          <w:vertAlign w:val="superscript"/>
        </w:rPr>
        <w:t>3</w:t>
      </w:r>
      <w:r w:rsidRPr="00A8518B">
        <w:rPr>
          <w:rFonts w:asciiTheme="minorHAnsi" w:hAnsiTheme="minorHAnsi"/>
        </w:rPr>
        <w:t>/h,</w:t>
      </w:r>
    </w:p>
    <w:p w:rsidR="00E0581A" w:rsidRPr="00A8518B" w:rsidRDefault="00E0581A" w:rsidP="00E5206A">
      <w:pPr>
        <w:pStyle w:val="Nagwek3"/>
      </w:pPr>
      <w:bookmarkStart w:id="1306" w:name="_Toc450718596"/>
      <w:bookmarkStart w:id="1307" w:name="_Toc451138866"/>
      <w:bookmarkStart w:id="1308" w:name="_Toc369334465"/>
      <w:bookmarkStart w:id="1309" w:name="_Toc378577029"/>
      <w:bookmarkStart w:id="1310" w:name="_Toc378577149"/>
      <w:bookmarkStart w:id="1311" w:name="_Toc427178292"/>
      <w:r w:rsidRPr="00A8518B">
        <w:t>4. transport</w:t>
      </w:r>
      <w:bookmarkEnd w:id="1306"/>
      <w:bookmarkEnd w:id="1307"/>
      <w:bookmarkEnd w:id="1308"/>
      <w:bookmarkEnd w:id="1309"/>
      <w:bookmarkEnd w:id="1310"/>
      <w:bookmarkEnd w:id="1311"/>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4.1. Ogólne wymagania dotyczące transportu</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 xml:space="preserve">Ogólne wymagania dotyczące transportu podano w </w:t>
      </w:r>
      <w:r w:rsidR="005B48CA">
        <w:rPr>
          <w:rFonts w:asciiTheme="minorHAnsi" w:hAnsiTheme="minorHAnsi"/>
        </w:rPr>
        <w:t>STWiORB</w:t>
      </w:r>
      <w:r w:rsidRPr="00A8518B">
        <w:rPr>
          <w:rFonts w:asciiTheme="minorHAnsi" w:hAnsiTheme="minorHAnsi"/>
        </w:rPr>
        <w:t xml:space="preserve"> D-M-00.00.00.00 „Wymagania ogólne” pkt 4.</w:t>
      </w:r>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4.2. Transport materiałów i elementów oświetleniowych</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Wykonawca przystępujący do wykonania oświetlenia winien wykazać się możliwością korzystania z następujących środków transportu:</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lastRenderedPageBreak/>
        <w:t>samochodu skrzyniowego,</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samochodu specjalnego linowego z platformą i balkonem,</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samochodu dostawczego,</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przyczepy do przewożenia kabli.</w:t>
      </w:r>
    </w:p>
    <w:p w:rsidR="00E0581A" w:rsidRPr="00A8518B" w:rsidRDefault="00E0581A" w:rsidP="00E0581A">
      <w:pPr>
        <w:jc w:val="left"/>
        <w:rPr>
          <w:rFonts w:asciiTheme="minorHAnsi" w:hAnsiTheme="minorHAnsi"/>
        </w:rPr>
      </w:pPr>
      <w:r w:rsidRPr="00A8518B">
        <w:rPr>
          <w:rFonts w:asciiTheme="minorHAnsi" w:hAnsiTheme="minorHAnsi"/>
        </w:rPr>
        <w:t xml:space="preserve">Na środkach transportu przewożone </w:t>
      </w:r>
      <w:r w:rsidR="00A95FEE">
        <w:rPr>
          <w:rFonts w:asciiTheme="minorHAnsi" w:hAnsiTheme="minorHAnsi"/>
        </w:rPr>
        <w:t>wyroby budowlane</w:t>
      </w:r>
      <w:r w:rsidRPr="00A8518B">
        <w:rPr>
          <w:rFonts w:asciiTheme="minorHAnsi" w:hAnsiTheme="minorHAnsi"/>
        </w:rPr>
        <w:t xml:space="preserve"> i elementy powinny być zabezpieczone przed ich przemieszczaniem, układane zgodnie z warunkami transportu wydanymi przez wytwórcę dla poszczególnych elementów.</w:t>
      </w:r>
    </w:p>
    <w:p w:rsidR="00E0581A" w:rsidRPr="00A8518B" w:rsidRDefault="00E0581A" w:rsidP="00E5206A">
      <w:pPr>
        <w:pStyle w:val="Nagwek3"/>
      </w:pPr>
      <w:bookmarkStart w:id="1312" w:name="_Toc450718597"/>
      <w:bookmarkStart w:id="1313" w:name="_Toc451138867"/>
      <w:bookmarkStart w:id="1314" w:name="_Toc369334466"/>
      <w:bookmarkStart w:id="1315" w:name="_Toc378577030"/>
      <w:bookmarkStart w:id="1316" w:name="_Toc378577150"/>
      <w:bookmarkStart w:id="1317" w:name="_Toc427178293"/>
      <w:r w:rsidRPr="00A8518B">
        <w:t>5. wykonanie robót</w:t>
      </w:r>
      <w:bookmarkEnd w:id="1312"/>
      <w:bookmarkEnd w:id="1313"/>
      <w:bookmarkEnd w:id="1314"/>
      <w:bookmarkEnd w:id="1315"/>
      <w:bookmarkEnd w:id="1316"/>
      <w:bookmarkEnd w:id="1317"/>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5.1. Ogólne zasady wykonania robót</w:t>
      </w:r>
    </w:p>
    <w:p w:rsidR="00E0581A" w:rsidRPr="00A8518B" w:rsidRDefault="00E0581A" w:rsidP="00E0581A">
      <w:pPr>
        <w:jc w:val="left"/>
        <w:rPr>
          <w:rFonts w:asciiTheme="minorHAnsi" w:hAnsiTheme="minorHAnsi"/>
        </w:rPr>
      </w:pPr>
      <w:r w:rsidRPr="00A8518B">
        <w:rPr>
          <w:rFonts w:asciiTheme="minorHAnsi" w:hAnsiTheme="minorHAnsi"/>
        </w:rPr>
        <w:t xml:space="preserve">Ogólne zasady wykonania robót podano w </w:t>
      </w:r>
      <w:r w:rsidR="005B48CA">
        <w:rPr>
          <w:rFonts w:asciiTheme="minorHAnsi" w:hAnsiTheme="minorHAnsi"/>
        </w:rPr>
        <w:t>STWiORB</w:t>
      </w:r>
      <w:r w:rsidRPr="00A8518B">
        <w:rPr>
          <w:rFonts w:asciiTheme="minorHAnsi" w:hAnsiTheme="minorHAnsi"/>
        </w:rPr>
        <w:t xml:space="preserve"> D-M-00.00.00.00 „Wymagania ogólne” pkt 5.</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5.2. Wykopy pod kable</w:t>
      </w:r>
    </w:p>
    <w:p w:rsidR="00E0581A" w:rsidRPr="00A8518B" w:rsidRDefault="00E0581A" w:rsidP="00E0581A">
      <w:pPr>
        <w:pStyle w:val="tekstost"/>
        <w:jc w:val="left"/>
        <w:rPr>
          <w:rFonts w:asciiTheme="minorHAnsi" w:hAnsiTheme="minorHAnsi"/>
        </w:rPr>
      </w:pPr>
      <w:r w:rsidRPr="00A8518B">
        <w:rPr>
          <w:rFonts w:asciiTheme="minorHAnsi" w:hAnsiTheme="minorHAnsi"/>
        </w:rPr>
        <w:t>Przed przystąpieniem do wykonywania wykopów, Wykonawca ma obowiązek sprawdzenia zgodności rzędnych terenu z danymi w dokumentacji projektowej oraz oceny warunków gruntowych.</w:t>
      </w:r>
    </w:p>
    <w:p w:rsidR="00E0581A" w:rsidRPr="00A8518B" w:rsidRDefault="00E0581A" w:rsidP="00E0581A">
      <w:pPr>
        <w:pStyle w:val="tekstost"/>
        <w:jc w:val="left"/>
        <w:rPr>
          <w:rFonts w:asciiTheme="minorHAnsi" w:hAnsiTheme="minorHAnsi"/>
        </w:rPr>
      </w:pPr>
      <w:r w:rsidRPr="00A8518B">
        <w:rPr>
          <w:rFonts w:asciiTheme="minorHAnsi" w:hAnsiTheme="minorHAnsi"/>
        </w:rPr>
        <w:t>Metoda wykonywania robót ziemnych powinna być dobrana w zależności od głębokości wykopu, ukształtowania terenu oraz rodzaju gruntu, należy uwzględnić występowanie gruntu skalistego . Pod fundamenty prefabrykowane zaleca się wykonywanie wykopów wąskoprzestrzennych ręcznie. Ich obudowa i zabezpieczenie przed osypywaniem powinno odpowiadać wymaganiom BN-83/8836-02.</w:t>
      </w:r>
    </w:p>
    <w:p w:rsidR="00E0581A" w:rsidRPr="00A8518B" w:rsidRDefault="00E0581A" w:rsidP="00E0581A">
      <w:pPr>
        <w:pStyle w:val="tekstost"/>
        <w:jc w:val="left"/>
        <w:rPr>
          <w:rFonts w:asciiTheme="minorHAnsi" w:hAnsiTheme="minorHAnsi"/>
        </w:rPr>
      </w:pPr>
      <w:r w:rsidRPr="00A8518B">
        <w:rPr>
          <w:rFonts w:asciiTheme="minorHAnsi" w:hAnsiTheme="minorHAnsi"/>
        </w:rPr>
        <w:t>W obu wypadkach wykopy wykonane powinny być bez naruszenia naturalnej struktury dna wykopu i  zgodnie z PN-68/B-06050.</w:t>
      </w:r>
    </w:p>
    <w:p w:rsidR="00E0581A" w:rsidRPr="00A8518B" w:rsidRDefault="00E0581A" w:rsidP="00E0581A">
      <w:pPr>
        <w:pStyle w:val="tekstost"/>
        <w:jc w:val="left"/>
        <w:rPr>
          <w:rFonts w:asciiTheme="minorHAnsi" w:hAnsiTheme="minorHAnsi"/>
        </w:rPr>
      </w:pPr>
      <w:r w:rsidRPr="00A8518B">
        <w:rPr>
          <w:rFonts w:asciiTheme="minorHAnsi" w:hAnsiTheme="minorHAnsi"/>
        </w:rPr>
        <w:t>Wykop rowu pod kabel powinien być zgodny z dokumentacją projektową. Wydobyty grunt powinien być składowany z jednej strony wykopu. Skarpy rowka powinny być wykonane w sposób zapewniający ich stateczność.</w:t>
      </w:r>
    </w:p>
    <w:p w:rsidR="00E0581A" w:rsidRPr="00A8518B" w:rsidRDefault="00E0581A" w:rsidP="00E0581A">
      <w:pPr>
        <w:pStyle w:val="tekstost"/>
        <w:jc w:val="left"/>
        <w:rPr>
          <w:rFonts w:asciiTheme="minorHAnsi" w:hAnsiTheme="minorHAnsi"/>
        </w:rPr>
      </w:pPr>
      <w:r w:rsidRPr="00A8518B">
        <w:rPr>
          <w:rFonts w:asciiTheme="minorHAnsi" w:hAnsiTheme="minorHAnsi"/>
        </w:rPr>
        <w:t>W celu zabezpieczenia wykopu przed zalaniem wodą z opadów atmosferycznych, należy powierzchnię terenu wyprofilować ze spadkiem umożliwiającym łatwy odpływ wody poza teren przylegający do wykopu.</w:t>
      </w:r>
    </w:p>
    <w:p w:rsidR="00E0581A" w:rsidRPr="00A8518B" w:rsidRDefault="00E0581A" w:rsidP="00E0581A">
      <w:pPr>
        <w:pStyle w:val="tekstost"/>
        <w:jc w:val="left"/>
        <w:rPr>
          <w:rFonts w:asciiTheme="minorHAnsi" w:hAnsiTheme="minorHAnsi"/>
        </w:rPr>
      </w:pPr>
      <w:r w:rsidRPr="00A8518B">
        <w:rPr>
          <w:rFonts w:asciiTheme="minorHAnsi" w:hAnsiTheme="minorHAnsi"/>
        </w:rPr>
        <w:t>Zasypanie fundamentu lub kabla należy dokonać gruntem z wykopu, bez zanieczyszczeń (np. darniny, korzeni, odpadków). Zasypanie należy wykonać warstwami grubości od 15 do 20 cm i zagęszczać ubijakami ręcznymi lub zagęszczarką wibracyjną. Wskaźnik zagęszczenia gruntu powinien wynosić 0,95 według BN-77/8931-12. Zagęszczenie należy wykonywać w taki sposób aby nie spowodować uszkodzeń fundamentu lub kabla.</w:t>
      </w:r>
    </w:p>
    <w:p w:rsidR="00E0581A" w:rsidRPr="00A8518B" w:rsidRDefault="00E0581A" w:rsidP="00636662">
      <w:pPr>
        <w:jc w:val="left"/>
        <w:rPr>
          <w:rFonts w:asciiTheme="minorHAnsi" w:hAnsiTheme="minorHAnsi"/>
        </w:rPr>
      </w:pPr>
      <w:r w:rsidRPr="00A8518B">
        <w:rPr>
          <w:rFonts w:asciiTheme="minorHAnsi" w:hAnsiTheme="minorHAnsi"/>
        </w:rPr>
        <w:t>Nadmiar gruntu z wykopu, pozostający po zasypaniu fundamentu lub kabla, należy rozplantować w pobliżu lub odwieźć na miejsce wskazane przez Inżyniera.</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5.5. Montaż słupów</w:t>
      </w:r>
    </w:p>
    <w:p w:rsidR="00E0581A" w:rsidRPr="00A8518B" w:rsidRDefault="00E0581A" w:rsidP="00E0581A">
      <w:pPr>
        <w:jc w:val="left"/>
        <w:rPr>
          <w:rFonts w:asciiTheme="minorHAnsi" w:hAnsiTheme="minorHAnsi"/>
        </w:rPr>
      </w:pPr>
      <w:r w:rsidRPr="00A8518B">
        <w:rPr>
          <w:rFonts w:asciiTheme="minorHAnsi" w:hAnsiTheme="minorHAnsi"/>
        </w:rPr>
        <w:t xml:space="preserve">Słupy należy ustawiać dźwigiem w uprzednio przygotowane i częściowo wykonane </w:t>
      </w:r>
      <w:r w:rsidR="00636662">
        <w:rPr>
          <w:rFonts w:asciiTheme="minorHAnsi" w:hAnsiTheme="minorHAnsi"/>
        </w:rPr>
        <w:t>wykopy</w:t>
      </w:r>
      <w:r w:rsidRPr="00A8518B">
        <w:rPr>
          <w:rFonts w:asciiTheme="minorHAnsi" w:hAnsiTheme="minorHAnsi"/>
        </w:rPr>
        <w:t>. Spód słupa powinien opierać się na warstwie betonu marki B 10 wg PN-88/B-06250 grubości min. 10 cm lub na płycie chodnikowej o wymiarach 50 x 50 x 7 cm.</w:t>
      </w:r>
    </w:p>
    <w:p w:rsidR="00E0581A" w:rsidRPr="00A8518B" w:rsidRDefault="00E0581A" w:rsidP="00E0581A">
      <w:pPr>
        <w:jc w:val="left"/>
        <w:rPr>
          <w:rFonts w:asciiTheme="minorHAnsi" w:hAnsiTheme="minorHAnsi"/>
        </w:rPr>
      </w:pPr>
      <w:r w:rsidRPr="00A8518B">
        <w:rPr>
          <w:rFonts w:asciiTheme="minorHAnsi" w:hAnsiTheme="minorHAnsi"/>
        </w:rPr>
        <w:t>Głębokość posadowienia słupa należy wykonać według dokumentacji projektowej.</w:t>
      </w:r>
    </w:p>
    <w:p w:rsidR="00E0581A" w:rsidRPr="00A8518B" w:rsidRDefault="00E0581A" w:rsidP="00E0581A">
      <w:pPr>
        <w:jc w:val="left"/>
        <w:rPr>
          <w:rFonts w:asciiTheme="minorHAnsi" w:hAnsiTheme="minorHAnsi"/>
        </w:rPr>
      </w:pPr>
      <w:r w:rsidRPr="00A8518B">
        <w:rPr>
          <w:rFonts w:asciiTheme="minorHAnsi" w:hAnsiTheme="minorHAnsi"/>
        </w:rPr>
        <w:t>Odchyłka osi słupa od pionu, po jego ustawieniu, nie może być większa niż 0,001 wysokości słupa.</w:t>
      </w:r>
    </w:p>
    <w:p w:rsidR="00E0581A" w:rsidRPr="00A8518B" w:rsidRDefault="00E0581A" w:rsidP="00E0581A">
      <w:pPr>
        <w:jc w:val="left"/>
        <w:rPr>
          <w:rFonts w:asciiTheme="minorHAnsi" w:hAnsiTheme="minorHAnsi"/>
        </w:rPr>
      </w:pPr>
      <w:r w:rsidRPr="00A8518B">
        <w:rPr>
          <w:rFonts w:asciiTheme="minorHAnsi" w:hAnsiTheme="minorHAnsi"/>
        </w:rPr>
        <w:t>Słup należy ustawiać tak, aby jego wnęka znajdowała się od strony chodnika, a przy jego braku, od strony przeciwnej niż nadjeżdżające pojazdy oraz nie powinna być położona niżej niż 20 cm od powierzchni chodnika lub gruntu.</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5.6. Montaż wysięgników</w:t>
      </w:r>
    </w:p>
    <w:p w:rsidR="00E0581A" w:rsidRPr="00A8518B" w:rsidRDefault="00E0581A" w:rsidP="00E0581A">
      <w:pPr>
        <w:jc w:val="left"/>
        <w:rPr>
          <w:rFonts w:asciiTheme="minorHAnsi" w:hAnsiTheme="minorHAnsi"/>
        </w:rPr>
      </w:pPr>
      <w:r w:rsidRPr="00A8518B">
        <w:rPr>
          <w:rFonts w:asciiTheme="minorHAnsi" w:hAnsiTheme="minorHAnsi"/>
        </w:rPr>
        <w:t>Wysięgniki należy montować na słupach stojących przy pomocy dźwigu i samochodu z balkonem.</w:t>
      </w:r>
    </w:p>
    <w:p w:rsidR="00E0581A" w:rsidRPr="00A8518B" w:rsidRDefault="00E0581A" w:rsidP="00E0581A">
      <w:pPr>
        <w:jc w:val="left"/>
        <w:rPr>
          <w:rFonts w:asciiTheme="minorHAnsi" w:hAnsiTheme="minorHAnsi"/>
        </w:rPr>
      </w:pPr>
      <w:r w:rsidRPr="00A8518B">
        <w:rPr>
          <w:rFonts w:asciiTheme="minorHAnsi" w:hAnsiTheme="minorHAnsi"/>
        </w:rPr>
        <w:t>Część pionową wysięgnika należy wsunąć do oporu w rurę znajdującą się w górnej części słupa oświetleniowego i po ustawieniu go w pionie należy unieruchomić go śrubami, znajdującymi się w nagwintowanych otworach.</w:t>
      </w:r>
    </w:p>
    <w:p w:rsidR="00E0581A" w:rsidRPr="00A8518B" w:rsidRDefault="00E0581A" w:rsidP="00E0581A">
      <w:pPr>
        <w:jc w:val="left"/>
        <w:rPr>
          <w:rFonts w:asciiTheme="minorHAnsi" w:hAnsiTheme="minorHAnsi"/>
        </w:rPr>
      </w:pPr>
      <w:r w:rsidRPr="00A8518B">
        <w:rPr>
          <w:rFonts w:asciiTheme="minorHAnsi" w:hAnsiTheme="minorHAnsi"/>
        </w:rPr>
        <w:t>Zaleca się ustawianie pionu wysięgnika przy obciążeniu go oprawą lub ciężarem równym ciężarowi oprawy.</w:t>
      </w:r>
    </w:p>
    <w:p w:rsidR="00E0581A" w:rsidRPr="00A8518B" w:rsidRDefault="00E0581A" w:rsidP="00E0581A">
      <w:pPr>
        <w:jc w:val="left"/>
        <w:rPr>
          <w:rFonts w:asciiTheme="minorHAnsi" w:hAnsiTheme="minorHAnsi"/>
        </w:rPr>
      </w:pPr>
      <w:r w:rsidRPr="00A8518B">
        <w:rPr>
          <w:rFonts w:asciiTheme="minorHAnsi" w:hAnsiTheme="minorHAnsi"/>
        </w:rPr>
        <w:t>Połączenia wysięgnika ze słupem należy chronić kapturkiem osłonowym. Szczeliny pomiędzy kapturkiem osłonowym, wysięgnikiem i rurą wierzchołkową słupa, należy wypełnić kitem miniowym.</w:t>
      </w:r>
    </w:p>
    <w:p w:rsidR="00E0581A" w:rsidRPr="00A8518B" w:rsidRDefault="00E0581A" w:rsidP="00E0581A">
      <w:pPr>
        <w:jc w:val="left"/>
        <w:rPr>
          <w:rFonts w:asciiTheme="minorHAnsi" w:hAnsiTheme="minorHAnsi"/>
        </w:rPr>
      </w:pPr>
      <w:r w:rsidRPr="00A8518B">
        <w:rPr>
          <w:rFonts w:asciiTheme="minorHAnsi" w:hAnsiTheme="minorHAnsi"/>
        </w:rPr>
        <w:t xml:space="preserve">Wysięgniki powinny być ustawione pod kątem 90 stopni z dokładnością </w:t>
      </w:r>
      <w:r w:rsidRPr="00A8518B">
        <w:rPr>
          <w:rFonts w:asciiTheme="minorHAnsi" w:hAnsiTheme="minorHAnsi"/>
        </w:rPr>
        <w:sym w:font="Symbol" w:char="F0B1"/>
      </w:r>
      <w:r w:rsidRPr="00A8518B">
        <w:rPr>
          <w:rFonts w:asciiTheme="minorHAnsi" w:hAnsiTheme="minorHAnsi"/>
        </w:rPr>
        <w:t xml:space="preserve"> 2 stopnie do osi jezdni lub stycznej do osi w przypadku, gdy jezdnia jest w łuku.</w:t>
      </w:r>
    </w:p>
    <w:p w:rsidR="00E0581A" w:rsidRPr="00A8518B" w:rsidRDefault="00E0581A" w:rsidP="00E0581A">
      <w:pPr>
        <w:jc w:val="left"/>
        <w:rPr>
          <w:rFonts w:asciiTheme="minorHAnsi" w:hAnsiTheme="minorHAnsi"/>
        </w:rPr>
      </w:pPr>
      <w:r w:rsidRPr="00A8518B">
        <w:rPr>
          <w:rFonts w:asciiTheme="minorHAnsi" w:hAnsiTheme="minorHAnsi"/>
        </w:rPr>
        <w:t>Należy dążyć, aby części ukośne wysięgników znajdowały się w jednej płaszczyźnie równoległej do powierzchni oświetlanej jezdni.</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5.7. Montaż opraw</w:t>
      </w:r>
    </w:p>
    <w:p w:rsidR="00E0581A" w:rsidRPr="00A8518B" w:rsidRDefault="00E0581A" w:rsidP="00E0581A">
      <w:pPr>
        <w:jc w:val="left"/>
        <w:rPr>
          <w:rFonts w:asciiTheme="minorHAnsi" w:hAnsiTheme="minorHAnsi"/>
        </w:rPr>
      </w:pPr>
      <w:r w:rsidRPr="00A8518B">
        <w:rPr>
          <w:rFonts w:asciiTheme="minorHAnsi" w:hAnsiTheme="minorHAnsi"/>
        </w:rPr>
        <w:t>Montaż opraw na wysięgnikach należy wykonywać przy pomocy samochodu z balkonem.</w:t>
      </w:r>
    </w:p>
    <w:p w:rsidR="00E0581A" w:rsidRPr="00A8518B" w:rsidRDefault="00E0581A" w:rsidP="00E0581A">
      <w:pPr>
        <w:jc w:val="left"/>
        <w:rPr>
          <w:rFonts w:asciiTheme="minorHAnsi" w:hAnsiTheme="minorHAnsi"/>
        </w:rPr>
      </w:pPr>
      <w:r w:rsidRPr="00A8518B">
        <w:rPr>
          <w:rFonts w:asciiTheme="minorHAnsi" w:hAnsiTheme="minorHAnsi"/>
        </w:rPr>
        <w:t>Każdą oprawę przed zamontowaniem należy podłączyć do sieci i sprawdzić jej działanie (sprawdzenie zaświecenia się lampy).</w:t>
      </w:r>
    </w:p>
    <w:p w:rsidR="00E0581A" w:rsidRPr="00A8518B" w:rsidRDefault="00E0581A" w:rsidP="00E0581A">
      <w:pPr>
        <w:jc w:val="left"/>
        <w:rPr>
          <w:rFonts w:asciiTheme="minorHAnsi" w:hAnsiTheme="minorHAnsi"/>
        </w:rPr>
      </w:pPr>
      <w:r w:rsidRPr="00A8518B">
        <w:rPr>
          <w:rFonts w:asciiTheme="minorHAnsi" w:hAnsiTheme="minorHAnsi"/>
        </w:rPr>
        <w:lastRenderedPageBreak/>
        <w:t>Oprawy należy montować po uprzednim wciągnięciu przewodów zasilających do słupów i wysięgników.</w:t>
      </w:r>
    </w:p>
    <w:p w:rsidR="00E0581A" w:rsidRPr="00A8518B" w:rsidRDefault="00E0581A" w:rsidP="00E0581A">
      <w:pPr>
        <w:jc w:val="left"/>
        <w:rPr>
          <w:rFonts w:asciiTheme="minorHAnsi" w:hAnsiTheme="minorHAnsi"/>
        </w:rPr>
      </w:pPr>
      <w:r w:rsidRPr="00A8518B">
        <w:rPr>
          <w:rFonts w:asciiTheme="minorHAnsi" w:hAnsiTheme="minorHAnsi"/>
        </w:rPr>
        <w:t>Należy stosować przewody pojedyncze o izolacji wzmocnionej z żyłami miedzianymi o przekroju żyły nie mniejszym niż 1 mm</w:t>
      </w:r>
      <w:r w:rsidRPr="00A8518B">
        <w:rPr>
          <w:rFonts w:asciiTheme="minorHAnsi" w:hAnsiTheme="minorHAnsi"/>
          <w:vertAlign w:val="superscript"/>
        </w:rPr>
        <w:t>2</w:t>
      </w:r>
      <w:r w:rsidRPr="00A8518B">
        <w:rPr>
          <w:rFonts w:asciiTheme="minorHAnsi" w:hAnsiTheme="minorHAnsi"/>
        </w:rPr>
        <w:t>.</w:t>
      </w:r>
    </w:p>
    <w:p w:rsidR="00E0581A" w:rsidRPr="00A8518B" w:rsidRDefault="00E0581A" w:rsidP="00E0581A">
      <w:pPr>
        <w:jc w:val="left"/>
        <w:rPr>
          <w:rFonts w:asciiTheme="minorHAnsi" w:hAnsiTheme="minorHAnsi"/>
        </w:rPr>
      </w:pPr>
      <w:r w:rsidRPr="00A8518B">
        <w:rPr>
          <w:rFonts w:asciiTheme="minorHAnsi" w:hAnsiTheme="minorHAnsi"/>
        </w:rPr>
        <w:t>Ilość przewodów zależna jest od ilości opraw.</w:t>
      </w:r>
    </w:p>
    <w:p w:rsidR="00E0581A" w:rsidRPr="00A8518B" w:rsidRDefault="00E0581A" w:rsidP="00E0581A">
      <w:pPr>
        <w:jc w:val="left"/>
        <w:rPr>
          <w:rFonts w:asciiTheme="minorHAnsi" w:hAnsiTheme="minorHAnsi"/>
        </w:rPr>
      </w:pPr>
      <w:r w:rsidRPr="00A8518B">
        <w:rPr>
          <w:rFonts w:asciiTheme="minorHAnsi" w:hAnsiTheme="minorHAnsi"/>
        </w:rPr>
        <w:t>Od tabliczki bezpiecznikowej do każdej oprawy należy prowadzić po dwa przewody. Oprawy należy mocować na wysięgnikach i głowicach masztów w sposób wskazany przez producenta opraw, po wprowadzeniu do nich przewodów zasilających i ustawieniu ich w położenie pracy.</w:t>
      </w:r>
    </w:p>
    <w:p w:rsidR="00E0581A" w:rsidRPr="00A8518B" w:rsidRDefault="00E0581A" w:rsidP="00E0581A">
      <w:pPr>
        <w:jc w:val="left"/>
        <w:rPr>
          <w:rFonts w:asciiTheme="minorHAnsi" w:hAnsiTheme="minorHAnsi"/>
        </w:rPr>
      </w:pPr>
      <w:r w:rsidRPr="00A8518B">
        <w:rPr>
          <w:rFonts w:asciiTheme="minorHAnsi" w:hAnsiTheme="minorHAnsi"/>
        </w:rPr>
        <w:t>Oprawy powinny być  mocowane w sposób trwały, aby nie zmieniały swego położenia pod wpływem warunków atmosferycznych i parcia wiatru dla III strefy wiatrowej.</w:t>
      </w:r>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5.8. Układanie kabli</w:t>
      </w:r>
    </w:p>
    <w:p w:rsidR="00E0581A" w:rsidRPr="00A8518B" w:rsidRDefault="00E0581A" w:rsidP="00E0581A">
      <w:pPr>
        <w:jc w:val="left"/>
        <w:rPr>
          <w:rFonts w:asciiTheme="minorHAnsi" w:hAnsiTheme="minorHAnsi"/>
        </w:rPr>
      </w:pPr>
      <w:r w:rsidRPr="00A8518B">
        <w:rPr>
          <w:rFonts w:asciiTheme="minorHAnsi" w:hAnsiTheme="minorHAnsi"/>
        </w:rPr>
        <w:t xml:space="preserve">Kable należy układać w trasach wytyczonych przez fachowe służby geodezyjne. Układanie kabli powinno być zgodne z normą PN-76/E-05125. </w:t>
      </w:r>
    </w:p>
    <w:p w:rsidR="00E0581A" w:rsidRPr="00A8518B" w:rsidRDefault="00E0581A" w:rsidP="00E0581A">
      <w:pPr>
        <w:jc w:val="left"/>
        <w:rPr>
          <w:rFonts w:asciiTheme="minorHAnsi" w:hAnsiTheme="minorHAnsi"/>
        </w:rPr>
      </w:pPr>
      <w:r w:rsidRPr="00A8518B">
        <w:rPr>
          <w:rFonts w:asciiTheme="minorHAnsi" w:hAnsiTheme="minorHAnsi"/>
        </w:rPr>
        <w:t>Kable powinny być układane w sposób wykluczający ich uszkodzenie przez zginanie, skręcanie, rozciąganie itp.</w:t>
      </w:r>
    </w:p>
    <w:p w:rsidR="00E0581A" w:rsidRPr="00A8518B" w:rsidRDefault="00E0581A" w:rsidP="00E0581A">
      <w:pPr>
        <w:jc w:val="left"/>
        <w:rPr>
          <w:rFonts w:asciiTheme="minorHAnsi" w:hAnsiTheme="minorHAnsi"/>
        </w:rPr>
      </w:pPr>
      <w:r w:rsidRPr="00A8518B">
        <w:rPr>
          <w:rFonts w:asciiTheme="minorHAnsi" w:hAnsiTheme="minorHAnsi"/>
        </w:rPr>
        <w:t>Temperatura otoczenia przy układaniu kabli nie powinna być mniejsza niż 0</w:t>
      </w:r>
      <w:r w:rsidRPr="00A8518B">
        <w:rPr>
          <w:rFonts w:asciiTheme="minorHAnsi" w:hAnsiTheme="minorHAnsi"/>
          <w:vertAlign w:val="superscript"/>
        </w:rPr>
        <w:t>o</w:t>
      </w:r>
      <w:r w:rsidRPr="00A8518B">
        <w:rPr>
          <w:rFonts w:asciiTheme="minorHAnsi" w:hAnsiTheme="minorHAnsi"/>
        </w:rPr>
        <w:t>C.</w:t>
      </w:r>
    </w:p>
    <w:p w:rsidR="00E0581A" w:rsidRPr="00A8518B" w:rsidRDefault="00E0581A" w:rsidP="00E0581A">
      <w:pPr>
        <w:jc w:val="left"/>
        <w:rPr>
          <w:rFonts w:asciiTheme="minorHAnsi" w:hAnsiTheme="minorHAnsi"/>
        </w:rPr>
      </w:pPr>
      <w:r w:rsidRPr="00A8518B">
        <w:rPr>
          <w:rFonts w:asciiTheme="minorHAnsi" w:hAnsiTheme="minorHAnsi"/>
        </w:rPr>
        <w:t>Kabel można zginać jedynie w przypadkach koniecznych, przy czym promień gięcia powinien być możliwie duży, jednak nie mniejszy niż 10-krotna zewnętrzna jego średnica.</w:t>
      </w:r>
    </w:p>
    <w:p w:rsidR="00E0581A" w:rsidRPr="00A8518B" w:rsidRDefault="00E0581A" w:rsidP="00E0581A">
      <w:pPr>
        <w:jc w:val="left"/>
        <w:rPr>
          <w:rFonts w:asciiTheme="minorHAnsi" w:hAnsiTheme="minorHAnsi"/>
        </w:rPr>
      </w:pPr>
      <w:r w:rsidRPr="00A8518B">
        <w:rPr>
          <w:rFonts w:asciiTheme="minorHAnsi" w:hAnsiTheme="minorHAnsi"/>
        </w:rPr>
        <w:t xml:space="preserve">Bezpośrednio w gruncie kable należy układać na głębokości 0,7 m z dokładnością </w:t>
      </w:r>
      <w:r w:rsidRPr="00A8518B">
        <w:rPr>
          <w:rFonts w:asciiTheme="minorHAnsi" w:hAnsiTheme="minorHAnsi"/>
        </w:rPr>
        <w:sym w:font="Symbol" w:char="F0B1"/>
      </w:r>
      <w:r w:rsidRPr="00A8518B">
        <w:rPr>
          <w:rFonts w:asciiTheme="minorHAnsi" w:hAnsiTheme="minorHAnsi"/>
        </w:rPr>
        <w:t xml:space="preserve"> 5 cm na warstwie piasku o grubości 10 cm z przykryciem również 10 cm warstwą piasku, a następnie warstwą gruntu rodzimego o grubości co najmniej 15 cm.</w:t>
      </w:r>
    </w:p>
    <w:p w:rsidR="00E0581A" w:rsidRPr="00A8518B" w:rsidRDefault="00E0581A" w:rsidP="00E0581A">
      <w:pPr>
        <w:jc w:val="left"/>
        <w:rPr>
          <w:rFonts w:asciiTheme="minorHAnsi" w:hAnsiTheme="minorHAnsi"/>
        </w:rPr>
      </w:pPr>
      <w:r w:rsidRPr="00A8518B">
        <w:rPr>
          <w:rFonts w:asciiTheme="minorHAnsi" w:hAnsiTheme="minorHAnsi"/>
        </w:rPr>
        <w:t>Jako ochronę przed uszkodzeniami mechanicznymi, wzdłuż całej trasy, co najmniej 25 cm nad kablem, należy układać folię koloru niebieskiego szerokości 20 cm.</w:t>
      </w:r>
    </w:p>
    <w:p w:rsidR="00E0581A" w:rsidRPr="00A8518B" w:rsidRDefault="00E0581A" w:rsidP="00E0581A">
      <w:pPr>
        <w:jc w:val="left"/>
        <w:rPr>
          <w:rFonts w:asciiTheme="minorHAnsi" w:hAnsiTheme="minorHAnsi"/>
        </w:rPr>
      </w:pPr>
      <w:r w:rsidRPr="00A8518B">
        <w:rPr>
          <w:rFonts w:asciiTheme="minorHAnsi" w:hAnsiTheme="minorHAnsi"/>
        </w:rPr>
        <w:t xml:space="preserve">Przy skrzyżowaniu z innymi instalacjami podziemnymi lub z drogami, kabel należy układać w przepustach kablowych. Przepusty powinny być zabezpieczone przed przedostawaniem się do ich wnętrza wody i przed ich zamuleniem. </w:t>
      </w:r>
    </w:p>
    <w:p w:rsidR="00E0581A" w:rsidRPr="00A8518B" w:rsidRDefault="00E0581A" w:rsidP="00E0581A">
      <w:pPr>
        <w:jc w:val="left"/>
        <w:rPr>
          <w:rFonts w:asciiTheme="minorHAnsi" w:hAnsiTheme="minorHAnsi"/>
        </w:rPr>
      </w:pPr>
      <w:r w:rsidRPr="00A8518B">
        <w:rPr>
          <w:rFonts w:asciiTheme="minorHAnsi" w:hAnsiTheme="minorHAnsi"/>
        </w:rPr>
        <w:t>W miejscach skrzyżowań kabli z istniejącymi drogami o nawierzchni twardej, zaleca się wykonywanie przepustów kablowych metodą wiercenia poziomego, przewidując po jednym przepuście rezerwowym na każdym skrzyżowaniu.</w:t>
      </w:r>
    </w:p>
    <w:p w:rsidR="00E0581A" w:rsidRPr="00A8518B" w:rsidRDefault="00E0581A" w:rsidP="00E0581A">
      <w:pPr>
        <w:jc w:val="left"/>
        <w:rPr>
          <w:rFonts w:asciiTheme="minorHAnsi" w:hAnsiTheme="minorHAnsi"/>
        </w:rPr>
      </w:pPr>
      <w:r w:rsidRPr="00A8518B">
        <w:rPr>
          <w:rFonts w:asciiTheme="minorHAnsi" w:hAnsiTheme="minorHAnsi"/>
        </w:rPr>
        <w:t>Kabel ułożony w ziemi na całej swej długości powinien posiadać oznaczniki identyfikacyjne.</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Zaleca się przy latarniach, szafie oświetleniowej, przepustach kablowych; pozostawienie 2-metrowych zapasów eksploatacyjnych kabla.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 wykonaniu linii kablowej należy pomierzyć rezystancję izolacji poszczególnych odcinków kabla induktorem o napięciu nie mniejszym niż 2,5 kV, przy czym rezystancja nie może być mniejsza niż 20 Momów/m.</w:t>
      </w:r>
    </w:p>
    <w:p w:rsidR="00E0581A" w:rsidRPr="00A8518B" w:rsidRDefault="00E0581A" w:rsidP="00E0581A">
      <w:pPr>
        <w:numPr>
          <w:ilvl w:val="12"/>
          <w:numId w:val="0"/>
        </w:numPr>
        <w:jc w:val="left"/>
        <w:rPr>
          <w:rFonts w:asciiTheme="minorHAnsi" w:hAnsiTheme="minorHAnsi"/>
        </w:rPr>
      </w:pPr>
    </w:p>
    <w:p w:rsidR="00E0581A" w:rsidRPr="00A8518B" w:rsidRDefault="00F319D0" w:rsidP="00E0581A">
      <w:pPr>
        <w:pStyle w:val="Nagwek2"/>
        <w:pageBreakBefore w:val="0"/>
        <w:numPr>
          <w:ilvl w:val="12"/>
          <w:numId w:val="0"/>
        </w:numPr>
        <w:spacing w:before="0" w:after="0"/>
        <w:jc w:val="left"/>
        <w:rPr>
          <w:rFonts w:asciiTheme="minorHAnsi" w:hAnsiTheme="minorHAnsi"/>
          <w:sz w:val="20"/>
          <w:szCs w:val="20"/>
        </w:rPr>
      </w:pPr>
      <w:r>
        <w:rPr>
          <w:rFonts w:asciiTheme="minorHAnsi" w:hAnsiTheme="minorHAnsi"/>
          <w:sz w:val="20"/>
          <w:szCs w:val="20"/>
        </w:rPr>
        <w:t>5.9</w:t>
      </w:r>
      <w:r w:rsidR="00E0581A" w:rsidRPr="00A8518B">
        <w:rPr>
          <w:rFonts w:asciiTheme="minorHAnsi" w:hAnsiTheme="minorHAnsi"/>
          <w:sz w:val="20"/>
          <w:szCs w:val="20"/>
        </w:rPr>
        <w:t>. Wykonanie dodatkowej ochrony przeciwporażeniowej</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System dodatkowej ochrony przeciwporażeniowej dla instalacji oświetleniowej, może być stosowany jako uziemienie ochronne.</w:t>
      </w:r>
    </w:p>
    <w:p w:rsidR="00E0581A" w:rsidRPr="00A8518B" w:rsidRDefault="00E0581A" w:rsidP="00E0581A">
      <w:pPr>
        <w:pStyle w:val="tekstost"/>
        <w:numPr>
          <w:ilvl w:val="12"/>
          <w:numId w:val="0"/>
        </w:numPr>
        <w:jc w:val="left"/>
        <w:rPr>
          <w:rFonts w:asciiTheme="minorHAnsi" w:hAnsiTheme="minorHAnsi"/>
        </w:rPr>
      </w:pPr>
      <w:r w:rsidRPr="00A8518B">
        <w:rPr>
          <w:rFonts w:asciiTheme="minorHAnsi" w:hAnsiTheme="minorHAnsi"/>
        </w:rPr>
        <w:t>Uziemienie polega na połączeniu części przewodzących dostępnych z uziomami w sposób powodujący samoczynne odłączenie zasilania, w warunkach zakłóceniowych</w:t>
      </w:r>
    </w:p>
    <w:p w:rsidR="00E0581A" w:rsidRPr="00A8518B" w:rsidRDefault="00E0581A" w:rsidP="00E0581A">
      <w:pPr>
        <w:pStyle w:val="tekstost"/>
        <w:numPr>
          <w:ilvl w:val="12"/>
          <w:numId w:val="0"/>
        </w:numPr>
        <w:jc w:val="left"/>
        <w:rPr>
          <w:rFonts w:asciiTheme="minorHAnsi" w:hAnsiTheme="minorHAnsi"/>
        </w:rPr>
      </w:pPr>
      <w:r w:rsidRPr="00A8518B">
        <w:rPr>
          <w:rFonts w:asciiTheme="minorHAnsi" w:hAnsiTheme="minorHAnsi"/>
        </w:rPr>
        <w:t>Zaleca się wykonywanie uziomu taśmowego, układając w jednym rowie z kablem oświetleniowym, bednarkę ocynkowaną 30 x3 mm, która następnie powinna być wprowadzona do wnęk latarń, masztów i szafy oświetleniowej i połączona z zaciskami ochronnymi. Zaciski te mogą spełniać również rolę zacisków probierczych.</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Ewentualne łączenie odcinków bednarki należy wykonywać przez spawanie.</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Bednarka w ziemi nie powinna być układana płycej niż 0,6 m i powinna być zasypana gruntem bez kamieni, żwiru i gruzu.</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Od zacisków ochronnych do elementów przewodzących dostępnych, należy układać przewody miedziane o przekroju nie mniejszym niż 2,5 mm</w:t>
      </w:r>
      <w:r w:rsidRPr="00A8518B">
        <w:rPr>
          <w:rFonts w:asciiTheme="minorHAnsi" w:hAnsiTheme="minorHAnsi"/>
          <w:vertAlign w:val="superscript"/>
        </w:rPr>
        <w:t>2</w:t>
      </w:r>
      <w:r w:rsidRPr="00A8518B">
        <w:rPr>
          <w:rFonts w:asciiTheme="minorHAnsi" w:hAnsiTheme="minorHAnsi"/>
        </w:rPr>
        <w:t>.</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Przewody te powinny być chronione przed uszkodzeniami mechanicznymi.</w:t>
      </w:r>
    </w:p>
    <w:p w:rsidR="00E0581A" w:rsidRPr="00A8518B" w:rsidRDefault="00E0581A" w:rsidP="00E5206A">
      <w:pPr>
        <w:pStyle w:val="Nagwek3"/>
      </w:pPr>
      <w:bookmarkStart w:id="1318" w:name="_Toc450718598"/>
      <w:bookmarkStart w:id="1319" w:name="_Toc451138868"/>
      <w:bookmarkStart w:id="1320" w:name="_Toc369334467"/>
      <w:bookmarkStart w:id="1321" w:name="_Toc378577031"/>
      <w:bookmarkStart w:id="1322" w:name="_Toc378577151"/>
      <w:bookmarkStart w:id="1323" w:name="_Toc427178294"/>
      <w:r w:rsidRPr="00A8518B">
        <w:t>6. kontrola jakości robót</w:t>
      </w:r>
      <w:bookmarkEnd w:id="1318"/>
      <w:bookmarkEnd w:id="1319"/>
      <w:bookmarkEnd w:id="1320"/>
      <w:bookmarkEnd w:id="1321"/>
      <w:bookmarkEnd w:id="1322"/>
      <w:bookmarkEnd w:id="1323"/>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6.1. Ogólne zasady kontroli jakości robót</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 xml:space="preserve">Ogólne zasady kontroli jakości robót podano w </w:t>
      </w:r>
      <w:r w:rsidR="005B48CA">
        <w:rPr>
          <w:rFonts w:asciiTheme="minorHAnsi" w:hAnsiTheme="minorHAnsi"/>
        </w:rPr>
        <w:t>STWiORB</w:t>
      </w:r>
      <w:r w:rsidRPr="00A8518B">
        <w:rPr>
          <w:rFonts w:asciiTheme="minorHAnsi" w:hAnsiTheme="minorHAnsi"/>
        </w:rPr>
        <w:t xml:space="preserve"> D-M-00.00.00.00 „Wymagania ogólne” pkt 6.</w:t>
      </w:r>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6.2. Wykopy pod fundamenty i kable</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Lokalizacja, wymiary i zabezpieczenie ścian wykopu powinno być zgodne z dokumentacją projektową.</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lastRenderedPageBreak/>
        <w:t>Po zasypaniu fundamentów, ust</w:t>
      </w:r>
      <w:r>
        <w:rPr>
          <w:rFonts w:asciiTheme="minorHAnsi" w:hAnsiTheme="minorHAnsi"/>
        </w:rPr>
        <w:t>r</w:t>
      </w:r>
      <w:r w:rsidRPr="00A8518B">
        <w:rPr>
          <w:rFonts w:asciiTheme="minorHAnsi" w:hAnsiTheme="minorHAnsi"/>
        </w:rPr>
        <w:t>ojów lub kabli należy sprawdzić wskaźnik zagęszczenia gruntu wg pkt. 5 oraz sprawdzić sposób usunięcia nadmiaru gruntu z wykopu.</w:t>
      </w:r>
    </w:p>
    <w:p w:rsidR="00E0581A" w:rsidRPr="00A8518B" w:rsidRDefault="00F319D0" w:rsidP="00E0581A">
      <w:pPr>
        <w:pStyle w:val="Nagwek2"/>
        <w:pageBreakBefore w:val="0"/>
        <w:numPr>
          <w:ilvl w:val="12"/>
          <w:numId w:val="0"/>
        </w:numPr>
        <w:spacing w:before="0" w:after="0"/>
        <w:jc w:val="left"/>
        <w:rPr>
          <w:rFonts w:asciiTheme="minorHAnsi" w:hAnsiTheme="minorHAnsi"/>
          <w:sz w:val="20"/>
          <w:szCs w:val="20"/>
        </w:rPr>
      </w:pPr>
      <w:r>
        <w:rPr>
          <w:rFonts w:asciiTheme="minorHAnsi" w:hAnsiTheme="minorHAnsi"/>
          <w:sz w:val="20"/>
          <w:szCs w:val="20"/>
        </w:rPr>
        <w:t>6.3</w:t>
      </w:r>
      <w:r w:rsidR="00E0581A" w:rsidRPr="00A8518B">
        <w:rPr>
          <w:rFonts w:asciiTheme="minorHAnsi" w:hAnsiTheme="minorHAnsi"/>
          <w:sz w:val="20"/>
          <w:szCs w:val="20"/>
        </w:rPr>
        <w:t>. Latarnie i maszty oświetleniowe</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Elementy latarń i masztów powinny być zgodne z dokumentacją projektową.</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Latarnie i maszty oświetleniowe, po ich montażu, podlegają sprawdzeniu pod względem:</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dokładności ustawienia pionowego słupów,</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prawidłowości ustawienia wysięgnika i opraw względem osi oświetlanej jezdni,</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jakości połączeń kabli i przewodów na tabliczce bezpiecznikowo-zaciskowej oraz na zaciskach oprawy,</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jakości połączeń śrubowych słupów, masztów, wysięgników i opraw,</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stanu antykorozyjnej powłoki ochronnej wszystkich elementów.</w:t>
      </w:r>
    </w:p>
    <w:p w:rsidR="00E0581A" w:rsidRPr="00A8518B" w:rsidRDefault="00F319D0" w:rsidP="00E0581A">
      <w:pPr>
        <w:pStyle w:val="Nagwek2"/>
        <w:pageBreakBefore w:val="0"/>
        <w:numPr>
          <w:ilvl w:val="12"/>
          <w:numId w:val="0"/>
        </w:numPr>
        <w:spacing w:before="0" w:after="0"/>
        <w:jc w:val="left"/>
        <w:rPr>
          <w:rFonts w:asciiTheme="minorHAnsi" w:hAnsiTheme="minorHAnsi"/>
          <w:sz w:val="20"/>
          <w:szCs w:val="20"/>
        </w:rPr>
      </w:pPr>
      <w:r>
        <w:rPr>
          <w:rFonts w:asciiTheme="minorHAnsi" w:hAnsiTheme="minorHAnsi"/>
          <w:sz w:val="20"/>
          <w:szCs w:val="20"/>
        </w:rPr>
        <w:t>6.4</w:t>
      </w:r>
      <w:r w:rsidR="00E0581A" w:rsidRPr="00A8518B">
        <w:rPr>
          <w:rFonts w:asciiTheme="minorHAnsi" w:hAnsiTheme="minorHAnsi"/>
          <w:sz w:val="20"/>
          <w:szCs w:val="20"/>
        </w:rPr>
        <w:t>. Linia kablowa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W czasie wykonywania i po zakończeniu robót kablowych należy przeprowadzić następujące pomiary:</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głębokości zakopania kabla,</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grubości podsypki piaskowej nad i pod kablem,</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odległości folii ochronnej od kabla,</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rezystancji izolacji i ciągłości żył kabla.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Pomiary należy wykonywać co 10 m budowanej linii kablowej, za wyjątkiem pomiarów rezystancji i ciągłości żył kabla, które należy wykonywać dla każdego odcinka kabla.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Ponadto należy sprawdzić wskaźnik zagęszczenia gruntu nad kablem i rozplantowanie nadmiaru ziemi.</w:t>
      </w:r>
    </w:p>
    <w:p w:rsidR="00E0581A" w:rsidRPr="00A8518B" w:rsidRDefault="00F319D0" w:rsidP="00E0581A">
      <w:pPr>
        <w:pStyle w:val="Nagwek2"/>
        <w:pageBreakBefore w:val="0"/>
        <w:numPr>
          <w:ilvl w:val="12"/>
          <w:numId w:val="0"/>
        </w:numPr>
        <w:spacing w:before="0" w:after="0"/>
        <w:jc w:val="left"/>
        <w:rPr>
          <w:rFonts w:asciiTheme="minorHAnsi" w:hAnsiTheme="minorHAnsi"/>
          <w:sz w:val="20"/>
          <w:szCs w:val="20"/>
        </w:rPr>
      </w:pPr>
      <w:r>
        <w:rPr>
          <w:rFonts w:asciiTheme="minorHAnsi" w:hAnsiTheme="minorHAnsi"/>
          <w:sz w:val="20"/>
          <w:szCs w:val="20"/>
        </w:rPr>
        <w:t>6.5</w:t>
      </w:r>
      <w:r w:rsidR="00E0581A" w:rsidRPr="00A8518B">
        <w:rPr>
          <w:rFonts w:asciiTheme="minorHAnsi" w:hAnsiTheme="minorHAnsi"/>
          <w:sz w:val="20"/>
          <w:szCs w:val="20"/>
        </w:rPr>
        <w:t>. Instalacja przeciwporażeniowa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Podczas wykonywania uziomów taśmowych należy wykonać pomiar głębokości ułożenia bednarki oraz sprawdzić stan połączeń spawanych, a po jej zasypaniu, sprawdzić wskaźnik zagęszczenia i rozplantowanie gruntu.</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Pomiary głębokości ułożenia bednarki należy wykonywać co 10 m, przy czym bednarka nie powinna być zakopana płycej niż 60 cm.</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Wskaźnik zagęszczenia gruntu powinien być zgodny z wymaganiami podanymi w punkcie 5.2.</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 wykonaniu uziomów ochronnych należy wykonać pomiary ich rezystancji. Otrzymane wyniki nie mogą być gorsze od wartości podanych w dokumentacji projektowej.</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 wykonaniu instalacji oświetleniowej należy pomierzyć (przy zerowaniu) impedancje pętli zwarciowych dla stwierdzenia skuteczności zerowania.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Wszystkie wyniki pomiarów należy zamieścić w protokóle pomiarowym ochrony przeciwporażeniowej.</w:t>
      </w:r>
    </w:p>
    <w:p w:rsidR="00E0581A" w:rsidRPr="00A8518B" w:rsidRDefault="00F319D0" w:rsidP="00E0581A">
      <w:pPr>
        <w:pStyle w:val="Nagwek2"/>
        <w:pageBreakBefore w:val="0"/>
        <w:numPr>
          <w:ilvl w:val="12"/>
          <w:numId w:val="0"/>
        </w:numPr>
        <w:spacing w:before="0" w:after="0"/>
        <w:jc w:val="left"/>
        <w:rPr>
          <w:rFonts w:asciiTheme="minorHAnsi" w:hAnsiTheme="minorHAnsi"/>
          <w:sz w:val="20"/>
          <w:szCs w:val="20"/>
        </w:rPr>
      </w:pPr>
      <w:r>
        <w:rPr>
          <w:rFonts w:asciiTheme="minorHAnsi" w:hAnsiTheme="minorHAnsi"/>
          <w:sz w:val="20"/>
          <w:szCs w:val="20"/>
        </w:rPr>
        <w:t>6.6</w:t>
      </w:r>
      <w:r w:rsidR="00E0581A" w:rsidRPr="00A8518B">
        <w:rPr>
          <w:rFonts w:asciiTheme="minorHAnsi" w:hAnsiTheme="minorHAnsi"/>
          <w:sz w:val="20"/>
          <w:szCs w:val="20"/>
        </w:rPr>
        <w:t>. Pomiar natężenia oświetlenia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Pomiary należy wykonywać po upływie co najmniej 0,5 godz. od włączenia lamp. Lampy przed pomiarem powinny być wyświecone minimum przez 100 godzin. Pomiary należy wykonywać przy suchej i czystej nawierzchni, wolnej od pojazdów, pieszych i jakichkolwiek obiektów obcych, mogących zniekształcić przebieg pomiaru. Pomiarów nie należy przeprowadzać podczas nocy księżycowych oraz w złych warunkach atmosferycznych (mgła, śnieżyca, unoszący się kurz itp.). Do pomiarów należy używać przyrządów pomiarowych o zakresach zapewniających przy każdym pomiarze odchylenia nie mniejsze od 30% całej skali na danym zakresie.</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Pomiary natężenia oświetlania należy wykonywać za pomocą luksomierza wyposażonego w urządzenie do korekcji kątowej, a element światłoczuły powinien posiadać urządzenie umożliwiające dokładne poziomowanie podczas pomiaru.</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Pomiary należy przeprowadzać dla punktów jezdni, zgodnie z PN-76/E-02032.</w:t>
      </w:r>
    </w:p>
    <w:p w:rsidR="00E0581A" w:rsidRPr="00A8518B" w:rsidRDefault="00F319D0" w:rsidP="00E0581A">
      <w:pPr>
        <w:pStyle w:val="Nagwek2"/>
        <w:pageBreakBefore w:val="0"/>
        <w:numPr>
          <w:ilvl w:val="12"/>
          <w:numId w:val="0"/>
        </w:numPr>
        <w:spacing w:before="0" w:after="0"/>
        <w:jc w:val="left"/>
        <w:rPr>
          <w:rFonts w:asciiTheme="minorHAnsi" w:hAnsiTheme="minorHAnsi"/>
          <w:sz w:val="20"/>
          <w:szCs w:val="20"/>
        </w:rPr>
      </w:pPr>
      <w:r>
        <w:rPr>
          <w:rFonts w:asciiTheme="minorHAnsi" w:hAnsiTheme="minorHAnsi"/>
          <w:sz w:val="20"/>
          <w:szCs w:val="20"/>
        </w:rPr>
        <w:t>6.7</w:t>
      </w:r>
      <w:r w:rsidR="00E0581A" w:rsidRPr="00A8518B">
        <w:rPr>
          <w:rFonts w:asciiTheme="minorHAnsi" w:hAnsiTheme="minorHAnsi"/>
          <w:sz w:val="20"/>
          <w:szCs w:val="20"/>
        </w:rPr>
        <w:t>. Zasady postępowania z wadliwie wykonanymi elementami robót</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 xml:space="preserve">Wszystkie </w:t>
      </w:r>
      <w:r w:rsidR="00A95FEE">
        <w:rPr>
          <w:rFonts w:asciiTheme="minorHAnsi" w:hAnsiTheme="minorHAnsi"/>
        </w:rPr>
        <w:t>wyroby budowlane</w:t>
      </w:r>
      <w:r w:rsidRPr="00A8518B">
        <w:rPr>
          <w:rFonts w:asciiTheme="minorHAnsi" w:hAnsiTheme="minorHAnsi"/>
        </w:rPr>
        <w:t xml:space="preserve"> nie spełniające wymagań ustalonych w odpowiednich punktach </w:t>
      </w:r>
      <w:r w:rsidR="005B48CA">
        <w:rPr>
          <w:rFonts w:asciiTheme="minorHAnsi" w:hAnsiTheme="minorHAnsi"/>
        </w:rPr>
        <w:t>STWiORB</w:t>
      </w:r>
      <w:r w:rsidRPr="00A8518B">
        <w:rPr>
          <w:rFonts w:asciiTheme="minorHAnsi" w:hAnsiTheme="minorHAnsi"/>
        </w:rPr>
        <w:t xml:space="preserve"> zostaną przez Inżyniera odrzucone.</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Wszystkie elementy robót, które wykazu</w:t>
      </w:r>
      <w:r>
        <w:rPr>
          <w:rFonts w:asciiTheme="minorHAnsi" w:hAnsiTheme="minorHAnsi"/>
        </w:rPr>
        <w:t xml:space="preserve">ją odstępstwa od postanowień </w:t>
      </w:r>
      <w:r w:rsidR="005B48CA">
        <w:rPr>
          <w:rFonts w:asciiTheme="minorHAnsi" w:hAnsiTheme="minorHAnsi"/>
        </w:rPr>
        <w:t>STWiORB</w:t>
      </w:r>
      <w:r w:rsidRPr="00A8518B">
        <w:rPr>
          <w:rFonts w:asciiTheme="minorHAnsi" w:hAnsiTheme="minorHAnsi"/>
        </w:rPr>
        <w:t xml:space="preserve"> zostaną rozebrane i ponownie wykonane na koszt Wykonawcy.</w:t>
      </w:r>
    </w:p>
    <w:p w:rsidR="00E0581A" w:rsidRPr="00A8518B" w:rsidRDefault="00E0581A" w:rsidP="00E5206A">
      <w:pPr>
        <w:pStyle w:val="Nagwek3"/>
      </w:pPr>
      <w:bookmarkStart w:id="1324" w:name="_Toc450718599"/>
      <w:bookmarkStart w:id="1325" w:name="_Toc451138869"/>
      <w:bookmarkStart w:id="1326" w:name="_Toc369334468"/>
      <w:bookmarkStart w:id="1327" w:name="_Toc378577032"/>
      <w:bookmarkStart w:id="1328" w:name="_Toc378577152"/>
      <w:bookmarkStart w:id="1329" w:name="_Toc427178295"/>
      <w:r w:rsidRPr="00A8518B">
        <w:t>7. obmiar robót</w:t>
      </w:r>
      <w:bookmarkEnd w:id="1324"/>
      <w:bookmarkEnd w:id="1325"/>
      <w:bookmarkEnd w:id="1326"/>
      <w:bookmarkEnd w:id="1327"/>
      <w:bookmarkEnd w:id="1328"/>
      <w:bookmarkEnd w:id="1329"/>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7.1. Ogólne zasady obmiaru robót</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Ogólne z</w:t>
      </w:r>
      <w:r>
        <w:rPr>
          <w:rFonts w:asciiTheme="minorHAnsi" w:hAnsiTheme="minorHAnsi"/>
        </w:rPr>
        <w:t xml:space="preserve">asady obmiaru robót podano w </w:t>
      </w:r>
      <w:r w:rsidR="005B48CA">
        <w:rPr>
          <w:rFonts w:asciiTheme="minorHAnsi" w:hAnsiTheme="minorHAnsi"/>
        </w:rPr>
        <w:t>STWiORB</w:t>
      </w:r>
      <w:r w:rsidRPr="00A8518B">
        <w:rPr>
          <w:rFonts w:asciiTheme="minorHAnsi" w:hAnsiTheme="minorHAnsi"/>
        </w:rPr>
        <w:t xml:space="preserve"> D-M-00.00.00.00 „Wymagania ogólne” pkt 7.</w:t>
      </w:r>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7.2. Jednostka obmiarowa</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Jednostką obmiarową dla linii kablowej jest metr, a dla latarni, masztów i szaf oświetleniowych jest sztuka.</w:t>
      </w:r>
    </w:p>
    <w:p w:rsidR="00E0581A" w:rsidRPr="00A8518B" w:rsidRDefault="00E0581A" w:rsidP="00E5206A">
      <w:pPr>
        <w:pStyle w:val="Nagwek3"/>
      </w:pPr>
      <w:bookmarkStart w:id="1330" w:name="_Toc450718600"/>
      <w:bookmarkStart w:id="1331" w:name="_Toc451138870"/>
      <w:bookmarkStart w:id="1332" w:name="_Toc369334469"/>
      <w:bookmarkStart w:id="1333" w:name="_Toc378577033"/>
      <w:bookmarkStart w:id="1334" w:name="_Toc378577153"/>
      <w:bookmarkStart w:id="1335" w:name="_Toc427178296"/>
      <w:r w:rsidRPr="00A8518B">
        <w:lastRenderedPageBreak/>
        <w:t>8. odbiór robót</w:t>
      </w:r>
      <w:bookmarkEnd w:id="1330"/>
      <w:bookmarkEnd w:id="1331"/>
      <w:bookmarkEnd w:id="1332"/>
      <w:bookmarkEnd w:id="1333"/>
      <w:bookmarkEnd w:id="1334"/>
      <w:bookmarkEnd w:id="1335"/>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8.1. Ogólne zasady odbioru robót</w:t>
      </w:r>
    </w:p>
    <w:p w:rsidR="00E0581A" w:rsidRPr="00A8518B" w:rsidRDefault="00E0581A" w:rsidP="00E0581A">
      <w:pPr>
        <w:pStyle w:val="tekstost"/>
        <w:numPr>
          <w:ilvl w:val="12"/>
          <w:numId w:val="0"/>
        </w:numPr>
        <w:jc w:val="left"/>
        <w:rPr>
          <w:rFonts w:asciiTheme="minorHAnsi" w:hAnsiTheme="minorHAnsi"/>
        </w:rPr>
      </w:pPr>
      <w:r w:rsidRPr="00A8518B">
        <w:rPr>
          <w:rFonts w:asciiTheme="minorHAnsi" w:hAnsiTheme="minorHAnsi"/>
        </w:rPr>
        <w:t>Ogólne za</w:t>
      </w:r>
      <w:r>
        <w:rPr>
          <w:rFonts w:asciiTheme="minorHAnsi" w:hAnsiTheme="minorHAnsi"/>
        </w:rPr>
        <w:t xml:space="preserve">sady odbioru robót podano w  </w:t>
      </w:r>
      <w:r w:rsidR="005B48CA">
        <w:rPr>
          <w:rFonts w:asciiTheme="minorHAnsi" w:hAnsiTheme="minorHAnsi"/>
        </w:rPr>
        <w:t>STWiORB</w:t>
      </w:r>
      <w:r w:rsidRPr="00A8518B">
        <w:rPr>
          <w:rFonts w:asciiTheme="minorHAnsi" w:hAnsiTheme="minorHAnsi"/>
        </w:rPr>
        <w:t xml:space="preserve"> D-M-00.00.00.00 „Wymagania ogólne” pkt 8.</w:t>
      </w:r>
    </w:p>
    <w:p w:rsidR="00E0581A" w:rsidRPr="00A8518B" w:rsidRDefault="00E0581A" w:rsidP="00E0581A">
      <w:pPr>
        <w:pStyle w:val="tekstost"/>
        <w:numPr>
          <w:ilvl w:val="12"/>
          <w:numId w:val="0"/>
        </w:numPr>
        <w:jc w:val="left"/>
        <w:rPr>
          <w:rFonts w:asciiTheme="minorHAnsi" w:hAnsiTheme="minorHAnsi"/>
        </w:rPr>
      </w:pPr>
      <w:r w:rsidRPr="00A8518B">
        <w:rPr>
          <w:rFonts w:asciiTheme="minorHAnsi" w:hAnsiTheme="minorHAnsi"/>
        </w:rPr>
        <w:t xml:space="preserve">Roboty uznaje się za wykonane zgodnie z dokumentacją projektową, </w:t>
      </w:r>
      <w:r w:rsidR="005B48CA">
        <w:rPr>
          <w:rFonts w:asciiTheme="minorHAnsi" w:hAnsiTheme="minorHAnsi"/>
        </w:rPr>
        <w:t>STWiORB</w:t>
      </w:r>
      <w:r w:rsidRPr="00A8518B">
        <w:rPr>
          <w:rFonts w:asciiTheme="minorHAnsi" w:hAnsiTheme="minorHAnsi"/>
        </w:rPr>
        <w:t xml:space="preserve"> i wymaganiami Inżyniera, jeżeli wszystkie pomiary i badania z zachowaniem tolerancji wg pkt 6 dały wyniki pozytywne.</w:t>
      </w:r>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8.2. Odbiór robót zanikających i ulegających zakryciu</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Odbiorowi robót zanikających i ulegających zakryciu podlegają:</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wykopy pod fundamenty i kable,</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wykonanie fundamentów i ust</w:t>
      </w:r>
      <w:r>
        <w:rPr>
          <w:rFonts w:asciiTheme="minorHAnsi" w:hAnsiTheme="minorHAnsi"/>
        </w:rPr>
        <w:t>r</w:t>
      </w:r>
      <w:r w:rsidRPr="00A8518B">
        <w:rPr>
          <w:rFonts w:asciiTheme="minorHAnsi" w:hAnsiTheme="minorHAnsi"/>
        </w:rPr>
        <w:t>ojów,</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ułożenie kabla z wykonaniem podsypki pod i nad kablem,</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wykonanie uziomów taśmowych.</w:t>
      </w:r>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8.3. Dokumenty do odbioru końcowego robót</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Do odbioru końcowego Wykonawca jest zobowiązany przygotować, oprócz dokumentó</w:t>
      </w:r>
      <w:r>
        <w:rPr>
          <w:rFonts w:asciiTheme="minorHAnsi" w:hAnsiTheme="minorHAnsi"/>
        </w:rPr>
        <w:t xml:space="preserve">w wymienionych w punkcie 8.5 </w:t>
      </w:r>
      <w:r w:rsidR="005B48CA">
        <w:rPr>
          <w:rFonts w:asciiTheme="minorHAnsi" w:hAnsiTheme="minorHAnsi"/>
        </w:rPr>
        <w:t>STWiORB</w:t>
      </w:r>
      <w:r w:rsidRPr="00A8518B">
        <w:rPr>
          <w:rFonts w:asciiTheme="minorHAnsi" w:hAnsiTheme="minorHAnsi"/>
        </w:rPr>
        <w:t xml:space="preserve"> D-M-00.00.00.00 „Wymagania ogólne”:</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geodezyjną dokumentację powykonawczą,</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protokóły z dokonanych pomiarów skuteczności zerowania zastosowanej ochrony przeciwporażeniowej.</w:t>
      </w:r>
    </w:p>
    <w:p w:rsidR="00E0581A" w:rsidRPr="00A8518B" w:rsidRDefault="00E0581A" w:rsidP="00E5206A">
      <w:pPr>
        <w:pStyle w:val="Nagwek3"/>
      </w:pPr>
      <w:bookmarkStart w:id="1336" w:name="_Toc450718601"/>
      <w:bookmarkStart w:id="1337" w:name="_Toc451138871"/>
      <w:bookmarkStart w:id="1338" w:name="_Toc369334470"/>
      <w:bookmarkStart w:id="1339" w:name="_Toc378577034"/>
      <w:bookmarkStart w:id="1340" w:name="_Toc378577154"/>
      <w:bookmarkStart w:id="1341" w:name="_Toc427178297"/>
      <w:r w:rsidRPr="00A8518B">
        <w:t>9. podstawa płatności</w:t>
      </w:r>
      <w:bookmarkEnd w:id="1336"/>
      <w:bookmarkEnd w:id="1337"/>
      <w:bookmarkEnd w:id="1338"/>
      <w:bookmarkEnd w:id="1339"/>
      <w:bookmarkEnd w:id="1340"/>
      <w:bookmarkEnd w:id="1341"/>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9.1. Ogólne ustalenia dotyczące podstawy płatności</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 xml:space="preserve">Ogólne ustalenia dotyczące podstawy płatności podano w </w:t>
      </w:r>
      <w:r w:rsidR="005B48CA">
        <w:rPr>
          <w:rFonts w:asciiTheme="minorHAnsi" w:hAnsiTheme="minorHAnsi"/>
        </w:rPr>
        <w:t>STWiORB</w:t>
      </w:r>
      <w:r w:rsidRPr="00A8518B">
        <w:rPr>
          <w:rFonts w:asciiTheme="minorHAnsi" w:hAnsiTheme="minorHAnsi"/>
        </w:rPr>
        <w:t xml:space="preserve"> D-M-00.00.00.00 „Wymagania ogólne” pkt 9.</w:t>
      </w:r>
    </w:p>
    <w:p w:rsidR="00E0581A" w:rsidRPr="00A8518B" w:rsidRDefault="00E0581A" w:rsidP="00E0581A">
      <w:pPr>
        <w:pStyle w:val="Nagwek2"/>
        <w:pageBreakBefore w:val="0"/>
        <w:numPr>
          <w:ilvl w:val="12"/>
          <w:numId w:val="0"/>
        </w:numPr>
        <w:spacing w:before="0" w:after="0"/>
        <w:jc w:val="left"/>
        <w:rPr>
          <w:rFonts w:asciiTheme="minorHAnsi" w:hAnsiTheme="minorHAnsi"/>
          <w:sz w:val="20"/>
          <w:szCs w:val="20"/>
        </w:rPr>
      </w:pPr>
      <w:r w:rsidRPr="00A8518B">
        <w:rPr>
          <w:rFonts w:asciiTheme="minorHAnsi" w:hAnsiTheme="minorHAnsi"/>
          <w:sz w:val="20"/>
          <w:szCs w:val="20"/>
        </w:rPr>
        <w:t>9.2. Cena jednostki obmiarowej</w:t>
      </w:r>
    </w:p>
    <w:p w:rsidR="00E0581A" w:rsidRPr="00A8518B" w:rsidRDefault="00E0581A" w:rsidP="00E0581A">
      <w:pPr>
        <w:numPr>
          <w:ilvl w:val="12"/>
          <w:numId w:val="0"/>
        </w:numPr>
        <w:jc w:val="left"/>
        <w:rPr>
          <w:rFonts w:asciiTheme="minorHAnsi" w:hAnsiTheme="minorHAnsi"/>
        </w:rPr>
      </w:pPr>
      <w:r w:rsidRPr="00A8518B">
        <w:rPr>
          <w:rFonts w:asciiTheme="minorHAnsi" w:hAnsiTheme="minorHAnsi"/>
        </w:rPr>
        <w:t>Cena 1 m lin</w:t>
      </w:r>
      <w:r w:rsidR="00F319D0">
        <w:rPr>
          <w:rFonts w:asciiTheme="minorHAnsi" w:hAnsiTheme="minorHAnsi"/>
        </w:rPr>
        <w:t xml:space="preserve">ii kablowej lub 1 szt. Latarni </w:t>
      </w:r>
      <w:r w:rsidRPr="00A8518B">
        <w:rPr>
          <w:rFonts w:asciiTheme="minorHAnsi" w:hAnsiTheme="minorHAnsi"/>
        </w:rPr>
        <w:t>obejmuje odpowiednio:</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wyznaczenie robót w terenie,</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dostarczenie materiałów,</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wykopy pod fundamenty lub kable,</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wykonanie fundamentów lub ust</w:t>
      </w:r>
      <w:r>
        <w:rPr>
          <w:rFonts w:asciiTheme="minorHAnsi" w:hAnsiTheme="minorHAnsi"/>
        </w:rPr>
        <w:t>r</w:t>
      </w:r>
      <w:r w:rsidRPr="00A8518B">
        <w:rPr>
          <w:rFonts w:asciiTheme="minorHAnsi" w:hAnsiTheme="minorHAnsi"/>
        </w:rPr>
        <w:t>ojów,</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zasypanie fundamentów, ust</w:t>
      </w:r>
      <w:r>
        <w:rPr>
          <w:rFonts w:asciiTheme="minorHAnsi" w:hAnsiTheme="minorHAnsi"/>
        </w:rPr>
        <w:t>r</w:t>
      </w:r>
      <w:r w:rsidRPr="00A8518B">
        <w:rPr>
          <w:rFonts w:asciiTheme="minorHAnsi" w:hAnsiTheme="minorHAnsi"/>
        </w:rPr>
        <w:t>ojów i kabli, zagęszczenie gruntu oraz rozplantowanie lub odwiezienie nadmiaru gruntu,</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montaż masztów, słupów, wysięgników, opraw, szafy oświetleniowej i instalacji przeciwporażeniowej,</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układanie kabli z podsypką i zasypką piaskową oraz z folią ochronną,</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podłączenie zasilania,</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sprawdzenie działania oświetlenia z pomiarem natężenia oświetlenia,</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sporządzenie geodezyjnej dokumentacji powykonawczej,</w:t>
      </w:r>
    </w:p>
    <w:p w:rsidR="00E0581A" w:rsidRPr="00A8518B" w:rsidRDefault="00E0581A" w:rsidP="00973D29">
      <w:pPr>
        <w:numPr>
          <w:ilvl w:val="0"/>
          <w:numId w:val="38"/>
        </w:numPr>
        <w:overflowPunct/>
        <w:autoSpaceDE/>
        <w:autoSpaceDN/>
        <w:adjustRightInd/>
        <w:jc w:val="left"/>
        <w:textAlignment w:val="auto"/>
        <w:rPr>
          <w:rFonts w:asciiTheme="minorHAnsi" w:hAnsiTheme="minorHAnsi"/>
        </w:rPr>
      </w:pPr>
      <w:r w:rsidRPr="00A8518B">
        <w:rPr>
          <w:rFonts w:asciiTheme="minorHAnsi" w:hAnsiTheme="minorHAnsi"/>
        </w:rPr>
        <w:t>konserwacja urządzeń do chwili przekazania oświetlenia Zamawiającemu.</w:t>
      </w:r>
    </w:p>
    <w:p w:rsidR="00E0581A" w:rsidRPr="00A8518B" w:rsidRDefault="00E0581A" w:rsidP="00E5206A">
      <w:pPr>
        <w:pStyle w:val="Nagwek3"/>
      </w:pPr>
      <w:bookmarkStart w:id="1342" w:name="_Toc450718602"/>
      <w:bookmarkStart w:id="1343" w:name="_Toc451138872"/>
      <w:bookmarkStart w:id="1344" w:name="_Toc369334471"/>
      <w:bookmarkStart w:id="1345" w:name="_Toc378577035"/>
      <w:bookmarkStart w:id="1346" w:name="_Toc378577155"/>
      <w:bookmarkStart w:id="1347" w:name="_Toc427178298"/>
      <w:r w:rsidRPr="00A8518B">
        <w:t>10. przepisy związane</w:t>
      </w:r>
      <w:bookmarkEnd w:id="1342"/>
      <w:bookmarkEnd w:id="1343"/>
      <w:bookmarkEnd w:id="1344"/>
      <w:bookmarkEnd w:id="1345"/>
      <w:bookmarkEnd w:id="1346"/>
      <w:bookmarkEnd w:id="1347"/>
    </w:p>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10.1. Normy</w:t>
      </w:r>
    </w:p>
    <w:tbl>
      <w:tblPr>
        <w:tblW w:w="9790" w:type="dxa"/>
        <w:tblLayout w:type="fixed"/>
        <w:tblCellMar>
          <w:left w:w="70" w:type="dxa"/>
          <w:right w:w="70" w:type="dxa"/>
        </w:tblCellMar>
        <w:tblLook w:val="0000"/>
      </w:tblPr>
      <w:tblGrid>
        <w:gridCol w:w="496"/>
        <w:gridCol w:w="1842"/>
        <w:gridCol w:w="7452"/>
      </w:tblGrid>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1.</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PN-80/B-03322</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Elektroenergetyczne linie napowietrzne. Fundamenty konstrukcji wsporczych</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2.</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PN-68/B-06050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Roboty ziemne budowlane. Wymagania w zakresie wykonywania badań przy odbiorze</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3.</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PN-88/B-06250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Beton zwykły</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4.</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PN-86/B-06712</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Kruszywa mineralne do betonu</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5.</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PN-85/B-23010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Domieszki do betonu. Klasyfikacja i określenia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lang w:val="en-US"/>
              </w:rPr>
            </w:pPr>
            <w:r w:rsidRPr="00A8518B">
              <w:rPr>
                <w:rFonts w:asciiTheme="minorHAnsi" w:hAnsiTheme="minorHAnsi"/>
              </w:rPr>
              <w:t xml:space="preserve">  </w:t>
            </w:r>
            <w:r w:rsidRPr="00A8518B">
              <w:rPr>
                <w:rFonts w:asciiTheme="minorHAnsi" w:hAnsiTheme="minorHAnsi"/>
                <w:lang w:val="en-US"/>
              </w:rPr>
              <w:t>6.</w:t>
            </w:r>
          </w:p>
        </w:tc>
        <w:tc>
          <w:tcPr>
            <w:tcW w:w="1842" w:type="dxa"/>
            <w:tcBorders>
              <w:top w:val="nil"/>
              <w:left w:val="nil"/>
              <w:bottom w:val="nil"/>
              <w:right w:val="nil"/>
            </w:tcBorders>
          </w:tcPr>
          <w:p w:rsidR="00E0581A" w:rsidRPr="00A8518B" w:rsidRDefault="00E0581A" w:rsidP="00FB6574">
            <w:pPr>
              <w:jc w:val="left"/>
              <w:rPr>
                <w:rFonts w:asciiTheme="minorHAnsi" w:hAnsiTheme="minorHAnsi"/>
                <w:lang w:val="en-US"/>
              </w:rPr>
            </w:pPr>
            <w:r w:rsidRPr="00A8518B">
              <w:rPr>
                <w:rFonts w:asciiTheme="minorHAnsi" w:hAnsiTheme="minorHAnsi"/>
                <w:lang w:val="en-US"/>
              </w:rPr>
              <w:t>PN-88/B-30000</w:t>
            </w:r>
          </w:p>
        </w:tc>
        <w:tc>
          <w:tcPr>
            <w:tcW w:w="7452" w:type="dxa"/>
            <w:tcBorders>
              <w:top w:val="nil"/>
              <w:left w:val="nil"/>
              <w:bottom w:val="nil"/>
              <w:right w:val="nil"/>
            </w:tcBorders>
          </w:tcPr>
          <w:p w:rsidR="00E0581A" w:rsidRPr="00A8518B" w:rsidRDefault="00E0581A" w:rsidP="00FB6574">
            <w:pPr>
              <w:jc w:val="left"/>
              <w:rPr>
                <w:rFonts w:asciiTheme="minorHAnsi" w:hAnsiTheme="minorHAnsi"/>
                <w:lang w:val="en-US"/>
              </w:rPr>
            </w:pPr>
            <w:r w:rsidRPr="00A8518B">
              <w:rPr>
                <w:rFonts w:asciiTheme="minorHAnsi" w:hAnsiTheme="minorHAnsi"/>
                <w:lang w:val="en-US"/>
              </w:rPr>
              <w:t>Cement portlandzki</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lang w:val="en-US"/>
              </w:rPr>
              <w:t xml:space="preserve">  </w:t>
            </w:r>
            <w:r w:rsidRPr="00A8518B">
              <w:rPr>
                <w:rFonts w:asciiTheme="minorHAnsi" w:hAnsiTheme="minorHAnsi"/>
              </w:rPr>
              <w:t>7.</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PN-90/B-03200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Konstrukcje stalowe. Obliczenia statyczne i projektowanie</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8.</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PN-88/B-32250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Materiały budowlane. Woda do betonów i zapraw</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  9.</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PN-80/C-89205</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Rury z nieplastyfikowanego polichlorku winylu</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10.</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PN-76/E-02032</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Oświetlenie dróg publicznych</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11.</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PN-55/E-05021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Urządzenia elektroenergetyczne. Wyznaczanie obciążalności przewodów i kabli</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12.</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PN-75/E-05100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Elektroenergetyczne linie napowietrzne. Projektowanie i budowa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13.</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PN-76/E-05125</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Elektroenergetyczne linie kablowe. Projektowanie i budowa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14.</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PN-91/E-05160/01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Rozdzielnice i sterownice niskonapięciowe. Wymagania dotyczące zestawów badanych w pełnym i niepełnym zakresie badań typu</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lastRenderedPageBreak/>
              <w:t>15.</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PN-83/E-06305</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Elektryczne oprawy oświetleniowe. Typowe wymagania i badania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16.</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PN-79/E-06314</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Elektryczne oprawy oświetleniowe zewnętrzne</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17.</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PN-93/E-90401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Kable elektroenergetyczne i sygnalizacyjne o izolacji i powłoce polwinitowej na napięcie znamionowe nie przekraczające 6,6 kV. Kable elektroenergetyczne na napięcie znamionowe 0,6/1 kV</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18.</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PN-91/M-34501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Gazociągi i instalacje gazownicze. Skrzyżowania gazociągów z przeszkodami terenowymi. Wymagania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19.</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PN-86/O-79100</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Opakowania transportowe. Odporność na narażanie mechaniczne. Wymagania i badania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20.</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BN-80/6112-28</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Kit miniowy</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21.</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BN-68/6353-03</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Folia kalandrowana techniczna z uplastycznionego polichlorku winylu suspensyjnego</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22.</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BN-88/6731-08</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Cement. Transport i przechowywanie</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23.</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BN-66/6774-01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Kruszywa naturalne do nawierzchni drogowych. Żwir i pospółka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24.</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BN-87/6774-04</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Kruszywa mineralne do nawierzchni drogowych. Piasek</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25.</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BN-83/8836-02</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Przewody podziemne. Roboty ziemne. Wymagania i badania przy odbiorze</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26.</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BN-77/8931-12</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Oznaczenie wskaźnika zagęszczenia gruntu</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27.</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BN-72/8932-01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Budowle drogowe i kolejowe. Roboty ziemne</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28.</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BN-83/8971-06</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Rury bezciśnieniowe. Kielichowe rury betonowe i żelbetowe WIPRO</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29. </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BN-89/8984-17/03</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Telekomunikacyjne sieci miejscowe. Linie kablowe. Ogólne wymagania i badania.</w:t>
            </w:r>
          </w:p>
        </w:tc>
      </w:tr>
      <w:tr w:rsidR="00E0581A" w:rsidRPr="00A8518B" w:rsidTr="00FB6574">
        <w:tc>
          <w:tcPr>
            <w:tcW w:w="496"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 xml:space="preserve">30. </w:t>
            </w:r>
          </w:p>
        </w:tc>
        <w:tc>
          <w:tcPr>
            <w:tcW w:w="184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BN-79/9068-01</w:t>
            </w:r>
          </w:p>
        </w:tc>
        <w:tc>
          <w:tcPr>
            <w:tcW w:w="7452" w:type="dxa"/>
            <w:tcBorders>
              <w:top w:val="nil"/>
              <w:left w:val="nil"/>
              <w:bottom w:val="nil"/>
              <w:right w:val="nil"/>
            </w:tcBorders>
          </w:tcPr>
          <w:p w:rsidR="00E0581A" w:rsidRPr="00A8518B" w:rsidRDefault="00E0581A" w:rsidP="00FB6574">
            <w:pPr>
              <w:jc w:val="left"/>
              <w:rPr>
                <w:rFonts w:asciiTheme="minorHAnsi" w:hAnsiTheme="minorHAnsi"/>
              </w:rPr>
            </w:pPr>
            <w:r w:rsidRPr="00A8518B">
              <w:rPr>
                <w:rFonts w:asciiTheme="minorHAnsi" w:hAnsiTheme="minorHAnsi"/>
              </w:rPr>
              <w:t>Prefabrykaty budowlane z betonu. Elementy konstrukcji wsporczych oświetleniowych i energetycznych linii napowietrznych</w:t>
            </w:r>
          </w:p>
        </w:tc>
      </w:tr>
    </w:tbl>
    <w:p w:rsidR="00E0581A" w:rsidRPr="00A8518B" w:rsidRDefault="00E0581A" w:rsidP="00E0581A">
      <w:pPr>
        <w:pStyle w:val="Nagwek2"/>
        <w:pageBreakBefore w:val="0"/>
        <w:spacing w:before="0" w:after="0"/>
        <w:jc w:val="left"/>
        <w:rPr>
          <w:rFonts w:asciiTheme="minorHAnsi" w:hAnsiTheme="minorHAnsi"/>
          <w:sz w:val="20"/>
          <w:szCs w:val="20"/>
        </w:rPr>
      </w:pPr>
      <w:r w:rsidRPr="00A8518B">
        <w:rPr>
          <w:rFonts w:asciiTheme="minorHAnsi" w:hAnsiTheme="minorHAnsi"/>
          <w:sz w:val="20"/>
          <w:szCs w:val="20"/>
        </w:rPr>
        <w:t>10.2. Inne dokumenty</w:t>
      </w:r>
    </w:p>
    <w:p w:rsidR="00E0581A" w:rsidRPr="00A8518B" w:rsidRDefault="00E0581A" w:rsidP="00790883">
      <w:pPr>
        <w:numPr>
          <w:ilvl w:val="0"/>
          <w:numId w:val="40"/>
        </w:numPr>
        <w:overflowPunct/>
        <w:autoSpaceDE/>
        <w:autoSpaceDN/>
        <w:adjustRightInd/>
        <w:jc w:val="left"/>
        <w:textAlignment w:val="auto"/>
        <w:rPr>
          <w:rFonts w:asciiTheme="minorHAnsi" w:hAnsiTheme="minorHAnsi"/>
        </w:rPr>
      </w:pPr>
      <w:r w:rsidRPr="00A8518B">
        <w:rPr>
          <w:rFonts w:asciiTheme="minorHAnsi" w:hAnsiTheme="minorHAnsi"/>
        </w:rPr>
        <w:t>Przepisy budowy urządzeń elektrycznych. PBUE, wyd. 1980 r.</w:t>
      </w:r>
    </w:p>
    <w:p w:rsidR="00E0581A" w:rsidRPr="00A8518B" w:rsidRDefault="00E0581A" w:rsidP="00790883">
      <w:pPr>
        <w:numPr>
          <w:ilvl w:val="0"/>
          <w:numId w:val="40"/>
        </w:numPr>
        <w:overflowPunct/>
        <w:autoSpaceDE/>
        <w:autoSpaceDN/>
        <w:adjustRightInd/>
        <w:jc w:val="left"/>
        <w:textAlignment w:val="auto"/>
        <w:rPr>
          <w:rFonts w:asciiTheme="minorHAnsi" w:hAnsiTheme="minorHAnsi"/>
        </w:rPr>
      </w:pPr>
      <w:r w:rsidRPr="00A8518B">
        <w:rPr>
          <w:rFonts w:asciiTheme="minorHAnsi" w:hAnsiTheme="minorHAnsi"/>
        </w:rPr>
        <w:t>Rozporządzenie Ministra Budownictwa i Przemysłu Materiałów Budowlanych w sprawie bezpieczeństwa i higieny pracy przy wykonywaniu robót budowlano-montażowych i rozbiórkowych. (Dz.U. Nr 13 z dn. 10.04.1972 r.)</w:t>
      </w:r>
    </w:p>
    <w:p w:rsidR="00E0581A" w:rsidRPr="00A8518B" w:rsidRDefault="00E0581A" w:rsidP="00790883">
      <w:pPr>
        <w:numPr>
          <w:ilvl w:val="0"/>
          <w:numId w:val="40"/>
        </w:numPr>
        <w:overflowPunct/>
        <w:autoSpaceDE/>
        <w:autoSpaceDN/>
        <w:adjustRightInd/>
        <w:jc w:val="left"/>
        <w:textAlignment w:val="auto"/>
        <w:rPr>
          <w:rFonts w:asciiTheme="minorHAnsi" w:hAnsiTheme="minorHAnsi"/>
        </w:rPr>
      </w:pPr>
      <w:r w:rsidRPr="00A8518B">
        <w:rPr>
          <w:rFonts w:asciiTheme="minorHAnsi" w:hAnsiTheme="minorHAnsi"/>
        </w:rPr>
        <w:t>Warunki techniczne wykonania i odbioru robót budowlano-montażowych - Część V. Instalacje elektryczne, 1973 r.</w:t>
      </w:r>
    </w:p>
    <w:p w:rsidR="00E0581A" w:rsidRPr="00A8518B" w:rsidRDefault="00E0581A" w:rsidP="00790883">
      <w:pPr>
        <w:numPr>
          <w:ilvl w:val="0"/>
          <w:numId w:val="40"/>
        </w:numPr>
        <w:overflowPunct/>
        <w:autoSpaceDE/>
        <w:autoSpaceDN/>
        <w:adjustRightInd/>
        <w:jc w:val="left"/>
        <w:textAlignment w:val="auto"/>
        <w:rPr>
          <w:rFonts w:asciiTheme="minorHAnsi" w:hAnsiTheme="minorHAnsi"/>
        </w:rPr>
      </w:pPr>
      <w:r w:rsidRPr="00A8518B">
        <w:rPr>
          <w:rFonts w:asciiTheme="minorHAnsi" w:hAnsiTheme="minorHAnsi"/>
        </w:rPr>
        <w:t>Rozporządzenie Ministra Przemysłu  z dn. 26.11.1990 r. w sprawie warunków technicznych, jakim powinny odpowiadać urządzenia elektroenergetyczne w zakresie ochrony przeciwporażeniowej. (Dz.U. Nr 81 z dn. 26.11.1990 r.)</w:t>
      </w:r>
    </w:p>
    <w:p w:rsidR="00E0581A" w:rsidRPr="00A8518B" w:rsidRDefault="00E0581A" w:rsidP="00790883">
      <w:pPr>
        <w:numPr>
          <w:ilvl w:val="0"/>
          <w:numId w:val="40"/>
        </w:numPr>
        <w:overflowPunct/>
        <w:autoSpaceDE/>
        <w:autoSpaceDN/>
        <w:adjustRightInd/>
        <w:jc w:val="left"/>
        <w:textAlignment w:val="auto"/>
        <w:rPr>
          <w:rFonts w:asciiTheme="minorHAnsi" w:hAnsiTheme="minorHAnsi"/>
        </w:rPr>
      </w:pPr>
      <w:r w:rsidRPr="00A8518B">
        <w:rPr>
          <w:rFonts w:asciiTheme="minorHAnsi" w:hAnsiTheme="minorHAnsi"/>
        </w:rPr>
        <w:t>Instrukcja zabezpieczeń przed korozją konstrukcji betonowych, nr 240, ITB 1982 r.</w:t>
      </w:r>
    </w:p>
    <w:p w:rsidR="00E0581A" w:rsidRDefault="00E0581A"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FB6574" w:rsidRDefault="00FB6574" w:rsidP="00256565">
      <w:pPr>
        <w:pStyle w:val="Tekstpodstawowy"/>
        <w:spacing w:line="240" w:lineRule="auto"/>
        <w:jc w:val="center"/>
        <w:rPr>
          <w:rFonts w:asciiTheme="minorHAnsi" w:hAnsiTheme="minorHAnsi"/>
          <w:b/>
          <w:sz w:val="20"/>
          <w:szCs w:val="20"/>
        </w:rPr>
      </w:pPr>
    </w:p>
    <w:p w:rsidR="00A95FEE" w:rsidRDefault="00A95FEE" w:rsidP="00EC116D">
      <w:pPr>
        <w:pStyle w:val="Tekstpodstawowy"/>
        <w:spacing w:line="240" w:lineRule="auto"/>
        <w:jc w:val="center"/>
        <w:rPr>
          <w:rFonts w:asciiTheme="minorHAnsi" w:hAnsiTheme="minorHAnsi"/>
          <w:b/>
          <w:sz w:val="20"/>
          <w:szCs w:val="20"/>
        </w:rPr>
      </w:pPr>
      <w:r>
        <w:rPr>
          <w:rFonts w:asciiTheme="minorHAnsi" w:hAnsiTheme="minorHAnsi"/>
          <w:b/>
          <w:sz w:val="20"/>
          <w:szCs w:val="20"/>
        </w:rPr>
        <w:br w:type="page"/>
      </w:r>
    </w:p>
    <w:p w:rsidR="00EC116D" w:rsidRPr="00A95FEE" w:rsidRDefault="00A95FEE" w:rsidP="00946928">
      <w:pPr>
        <w:pStyle w:val="Nagwek2"/>
      </w:pPr>
      <w:r w:rsidRPr="00A95FEE">
        <w:rPr>
          <w:rFonts w:ascii="Calibri" w:hAnsi="Calibri" w:cs="Calibri"/>
        </w:rPr>
        <w:lastRenderedPageBreak/>
        <w:t>SPECYFIKACJE TECHNICZNE</w:t>
      </w:r>
      <w:r w:rsidR="00EC116D" w:rsidRPr="00A95FEE">
        <w:t xml:space="preserve"> WYKONYWANIA I ODBIORU ROBÓT BUDOWLANYCH</w:t>
      </w:r>
    </w:p>
    <w:p w:rsidR="00EC116D" w:rsidRPr="00946928" w:rsidRDefault="00EC116D" w:rsidP="00946928">
      <w:pPr>
        <w:pStyle w:val="Nagwek1"/>
      </w:pPr>
      <w:bookmarkStart w:id="1348" w:name="_Toc427178299"/>
      <w:bookmarkStart w:id="1349" w:name="_Toc459929684"/>
      <w:r w:rsidRPr="00946928">
        <w:t>D - 10.11.01 MAŁA ARCHITEKTURA</w:t>
      </w:r>
      <w:bookmarkEnd w:id="1348"/>
      <w:bookmarkEnd w:id="1349"/>
    </w:p>
    <w:p w:rsidR="00EC116D" w:rsidRDefault="00EC116D" w:rsidP="00FB6574">
      <w:pPr>
        <w:jc w:val="center"/>
        <w:rPr>
          <w:rStyle w:val="header1"/>
          <w:rFonts w:asciiTheme="minorHAnsi" w:eastAsiaTheme="majorEastAsia" w:hAnsiTheme="minorHAnsi"/>
          <w:sz w:val="22"/>
          <w:szCs w:val="22"/>
        </w:rPr>
      </w:pPr>
    </w:p>
    <w:p w:rsidR="00FB6574" w:rsidRPr="00FB6574" w:rsidRDefault="00FB6574" w:rsidP="00FB6574">
      <w:pPr>
        <w:rPr>
          <w:rFonts w:asciiTheme="minorHAnsi" w:hAnsiTheme="minorHAnsi"/>
        </w:rPr>
      </w:pPr>
    </w:p>
    <w:p w:rsidR="00FB6574" w:rsidRPr="00FB6574" w:rsidRDefault="00FB6574" w:rsidP="00EF1952">
      <w:pPr>
        <w:pStyle w:val="Nagwek3"/>
      </w:pPr>
      <w:r w:rsidRPr="00FB6574">
        <w:t>1. Wstęp</w:t>
      </w:r>
    </w:p>
    <w:p w:rsidR="00FB6574" w:rsidRPr="00FB6574" w:rsidRDefault="00FB6574" w:rsidP="00FB6574">
      <w:pPr>
        <w:pStyle w:val="Nagwek2"/>
        <w:pageBreakBefore w:val="0"/>
        <w:spacing w:before="0" w:after="0"/>
        <w:jc w:val="left"/>
        <w:rPr>
          <w:rFonts w:asciiTheme="minorHAnsi" w:hAnsiTheme="minorHAnsi"/>
          <w:sz w:val="20"/>
          <w:szCs w:val="20"/>
        </w:rPr>
      </w:pPr>
      <w:r w:rsidRPr="00FB6574">
        <w:rPr>
          <w:rFonts w:asciiTheme="minorHAnsi" w:hAnsiTheme="minorHAnsi"/>
          <w:sz w:val="20"/>
          <w:szCs w:val="20"/>
        </w:rPr>
        <w:t xml:space="preserve">1.1. Przedmiot </w:t>
      </w:r>
      <w:r w:rsidR="005B48CA">
        <w:rPr>
          <w:rFonts w:asciiTheme="minorHAnsi" w:hAnsiTheme="minorHAnsi"/>
          <w:sz w:val="20"/>
          <w:szCs w:val="20"/>
        </w:rPr>
        <w:t>STWiORB</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Przedmiotem </w:t>
      </w:r>
      <w:r w:rsidR="00ED6D29">
        <w:rPr>
          <w:rFonts w:asciiTheme="minorHAnsi" w:hAnsiTheme="minorHAnsi"/>
        </w:rPr>
        <w:t>niniejszej</w:t>
      </w:r>
      <w:r>
        <w:rPr>
          <w:rFonts w:asciiTheme="minorHAnsi" w:hAnsiTheme="minorHAnsi"/>
        </w:rPr>
        <w:t xml:space="preserve"> </w:t>
      </w:r>
      <w:r w:rsidR="00ED6D29">
        <w:rPr>
          <w:rFonts w:asciiTheme="minorHAnsi" w:hAnsiTheme="minorHAnsi"/>
        </w:rPr>
        <w:t>Specyfikacji</w:t>
      </w:r>
      <w:r>
        <w:rPr>
          <w:rFonts w:asciiTheme="minorHAnsi" w:hAnsiTheme="minorHAnsi"/>
        </w:rPr>
        <w:t xml:space="preserve"> Wykonywania i Odbioru Robót Budowlanych</w:t>
      </w:r>
      <w:r w:rsidRPr="00FB6574">
        <w:rPr>
          <w:rFonts w:asciiTheme="minorHAnsi" w:hAnsiTheme="minorHAnsi"/>
        </w:rPr>
        <w:t xml:space="preserve"> są wymagania dotyczące wykonania i odbioru robót przy ustawieniu urządzeń obiektów małej architektury w związku z zadaniem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946928" w:rsidRDefault="00946928" w:rsidP="00FB6574">
      <w:pPr>
        <w:pStyle w:val="Nagwek2"/>
        <w:pageBreakBefore w:val="0"/>
        <w:spacing w:before="0" w:after="0"/>
        <w:jc w:val="left"/>
        <w:rPr>
          <w:rFonts w:asciiTheme="minorHAnsi" w:hAnsiTheme="minorHAnsi"/>
          <w:sz w:val="20"/>
          <w:szCs w:val="20"/>
        </w:rPr>
      </w:pPr>
    </w:p>
    <w:p w:rsidR="00FB6574" w:rsidRPr="00FB6574" w:rsidRDefault="00FB6574" w:rsidP="00FB6574">
      <w:pPr>
        <w:pStyle w:val="Nagwek2"/>
        <w:pageBreakBefore w:val="0"/>
        <w:spacing w:before="0" w:after="0"/>
        <w:jc w:val="left"/>
        <w:rPr>
          <w:rFonts w:asciiTheme="minorHAnsi" w:hAnsiTheme="minorHAnsi"/>
          <w:sz w:val="20"/>
          <w:szCs w:val="20"/>
        </w:rPr>
      </w:pPr>
      <w:r w:rsidRPr="00FB6574">
        <w:rPr>
          <w:rFonts w:asciiTheme="minorHAnsi" w:hAnsiTheme="minorHAnsi"/>
          <w:sz w:val="20"/>
          <w:szCs w:val="20"/>
        </w:rPr>
        <w:t xml:space="preserve">1.2. Zakres stosowania </w:t>
      </w:r>
      <w:r w:rsidR="005B48CA">
        <w:rPr>
          <w:rFonts w:asciiTheme="minorHAnsi" w:hAnsiTheme="minorHAnsi"/>
          <w:sz w:val="20"/>
          <w:szCs w:val="20"/>
        </w:rPr>
        <w:t>STWiORB</w:t>
      </w:r>
    </w:p>
    <w:p w:rsidR="00FB6574" w:rsidRPr="00FB6574" w:rsidRDefault="00FE60E3" w:rsidP="00FB6574">
      <w:pPr>
        <w:pStyle w:val="tekstost"/>
        <w:numPr>
          <w:ilvl w:val="12"/>
          <w:numId w:val="0"/>
        </w:numPr>
        <w:jc w:val="left"/>
        <w:rPr>
          <w:rFonts w:asciiTheme="minorHAnsi" w:hAnsiTheme="minorHAnsi"/>
        </w:rPr>
      </w:pPr>
      <w:r>
        <w:rPr>
          <w:rFonts w:asciiTheme="minorHAnsi" w:hAnsiTheme="minorHAnsi"/>
        </w:rPr>
        <w:t>Specyfikacja techniczna</w:t>
      </w:r>
      <w:r w:rsidR="00FB6574">
        <w:rPr>
          <w:rFonts w:asciiTheme="minorHAnsi" w:hAnsiTheme="minorHAnsi"/>
        </w:rPr>
        <w:t xml:space="preserve"> </w:t>
      </w:r>
      <w:r>
        <w:rPr>
          <w:rFonts w:asciiTheme="minorHAnsi" w:hAnsiTheme="minorHAnsi"/>
        </w:rPr>
        <w:t>stanowi</w:t>
      </w:r>
      <w:r w:rsidR="00FB6574" w:rsidRPr="00FB6574">
        <w:rPr>
          <w:rFonts w:asciiTheme="minorHAnsi" w:hAnsiTheme="minorHAnsi"/>
        </w:rPr>
        <w:t xml:space="preserve"> dokument przetargowy i kontraktowy przy zlecaniu i realizacji robót wymienionych w punkcie 1.1.</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 xml:space="preserve">1.3. Zakres robót objętych </w:t>
      </w:r>
      <w:r w:rsidR="005B48CA">
        <w:rPr>
          <w:rFonts w:asciiTheme="minorHAnsi" w:hAnsiTheme="minorHAnsi"/>
          <w:b/>
          <w:bCs/>
          <w:kern w:val="28"/>
        </w:rPr>
        <w:t>STWiORB</w:t>
      </w:r>
    </w:p>
    <w:p w:rsidR="00FB6574" w:rsidRPr="00FB6574" w:rsidRDefault="00FB6574" w:rsidP="00FB6574">
      <w:pPr>
        <w:pStyle w:val="tekstost"/>
        <w:numPr>
          <w:ilvl w:val="12"/>
          <w:numId w:val="0"/>
        </w:numPr>
        <w:jc w:val="left"/>
        <w:rPr>
          <w:rFonts w:asciiTheme="minorHAnsi" w:hAnsiTheme="minorHAnsi"/>
        </w:rPr>
      </w:pPr>
      <w:r>
        <w:rPr>
          <w:rFonts w:asciiTheme="minorHAnsi" w:hAnsiTheme="minorHAnsi"/>
        </w:rPr>
        <w:t xml:space="preserve">Ustalenia zawarte w </w:t>
      </w:r>
      <w:r w:rsidR="00ED6D29">
        <w:rPr>
          <w:rFonts w:asciiTheme="minorHAnsi" w:hAnsiTheme="minorHAnsi"/>
        </w:rPr>
        <w:t>niniejszej</w:t>
      </w:r>
      <w:r>
        <w:rPr>
          <w:rFonts w:asciiTheme="minorHAnsi" w:hAnsiTheme="minorHAnsi"/>
        </w:rPr>
        <w:t xml:space="preserve"> </w:t>
      </w:r>
      <w:r w:rsidR="00ED6D29">
        <w:rPr>
          <w:rFonts w:asciiTheme="minorHAnsi" w:hAnsiTheme="minorHAnsi"/>
        </w:rPr>
        <w:t>specyfikacji</w:t>
      </w:r>
      <w:r w:rsidRPr="00FB6574">
        <w:rPr>
          <w:rFonts w:asciiTheme="minorHAnsi" w:hAnsiTheme="minorHAnsi"/>
        </w:rPr>
        <w:t xml:space="preserve"> dotyczą prowadzenia robót przy wykonaniu i montażu urządzeń i obiektów małej architektury :</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Wykonanie i ustawienie ławek</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Wykonanie koszy i </w:t>
      </w:r>
      <w:r>
        <w:rPr>
          <w:rFonts w:asciiTheme="minorHAnsi" w:hAnsiTheme="minorHAnsi"/>
        </w:rPr>
        <w:t xml:space="preserve"> ustawianie koszy na śmieci</w:t>
      </w:r>
    </w:p>
    <w:p w:rsid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Wykonanie i montaż balustrad </w:t>
      </w:r>
      <w:r>
        <w:rPr>
          <w:rFonts w:asciiTheme="minorHAnsi" w:hAnsiTheme="minorHAnsi"/>
        </w:rPr>
        <w:t>–</w:t>
      </w:r>
      <w:r w:rsidRPr="00FB6574">
        <w:rPr>
          <w:rFonts w:asciiTheme="minorHAnsi" w:hAnsiTheme="minorHAnsi"/>
        </w:rPr>
        <w:t xml:space="preserve"> poręczy</w:t>
      </w:r>
    </w:p>
    <w:p w:rsidR="00FB6574" w:rsidRDefault="00FB6574" w:rsidP="00FB6574">
      <w:pPr>
        <w:pStyle w:val="tekstost"/>
        <w:numPr>
          <w:ilvl w:val="12"/>
          <w:numId w:val="0"/>
        </w:numPr>
        <w:jc w:val="left"/>
        <w:rPr>
          <w:rFonts w:asciiTheme="minorHAnsi" w:hAnsiTheme="minorHAnsi"/>
        </w:rPr>
      </w:pPr>
      <w:r>
        <w:rPr>
          <w:rFonts w:asciiTheme="minorHAnsi" w:hAnsiTheme="minorHAnsi"/>
        </w:rPr>
        <w:t xml:space="preserve">Wykonanie i montaż </w:t>
      </w:r>
      <w:r w:rsidR="005E6FEF">
        <w:rPr>
          <w:rFonts w:asciiTheme="minorHAnsi" w:hAnsiTheme="minorHAnsi"/>
        </w:rPr>
        <w:t>słupków z betonu płukanego</w:t>
      </w:r>
    </w:p>
    <w:p w:rsidR="00FB6574" w:rsidRDefault="004009B1" w:rsidP="00FB6574">
      <w:pPr>
        <w:pStyle w:val="tekstost"/>
        <w:numPr>
          <w:ilvl w:val="12"/>
          <w:numId w:val="0"/>
        </w:numPr>
        <w:jc w:val="left"/>
        <w:rPr>
          <w:rFonts w:asciiTheme="minorHAnsi" w:hAnsiTheme="minorHAnsi"/>
        </w:rPr>
      </w:pPr>
      <w:r>
        <w:rPr>
          <w:rFonts w:asciiTheme="minorHAnsi" w:hAnsiTheme="minorHAnsi"/>
        </w:rPr>
        <w:t xml:space="preserve">Wykonanie i montaż </w:t>
      </w:r>
      <w:r w:rsidR="005E6FEF">
        <w:rPr>
          <w:rFonts w:asciiTheme="minorHAnsi" w:hAnsiTheme="minorHAnsi"/>
        </w:rPr>
        <w:t>stopni prefabrykowanych betonowych</w:t>
      </w:r>
    </w:p>
    <w:p w:rsidR="004009B1" w:rsidRDefault="004009B1" w:rsidP="00FB6574">
      <w:pPr>
        <w:pStyle w:val="tekstost"/>
        <w:numPr>
          <w:ilvl w:val="12"/>
          <w:numId w:val="0"/>
        </w:numPr>
        <w:jc w:val="left"/>
        <w:rPr>
          <w:rFonts w:asciiTheme="minorHAnsi" w:hAnsiTheme="minorHAnsi"/>
        </w:rPr>
      </w:pPr>
      <w:r>
        <w:rPr>
          <w:rFonts w:asciiTheme="minorHAnsi" w:hAnsiTheme="minorHAnsi"/>
        </w:rPr>
        <w:t>Wykon</w:t>
      </w:r>
      <w:r w:rsidR="005E6FEF">
        <w:rPr>
          <w:rFonts w:asciiTheme="minorHAnsi" w:hAnsiTheme="minorHAnsi"/>
        </w:rPr>
        <w:t>anie i montaż palisad</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1.4. Określenia podstawowe</w:t>
      </w:r>
    </w:p>
    <w:p w:rsidR="00FB6574" w:rsidRPr="00FB6574" w:rsidRDefault="004009B1" w:rsidP="00FB6574">
      <w:pPr>
        <w:pStyle w:val="tekstost"/>
        <w:numPr>
          <w:ilvl w:val="12"/>
          <w:numId w:val="0"/>
        </w:numPr>
        <w:jc w:val="left"/>
        <w:rPr>
          <w:rFonts w:asciiTheme="minorHAnsi" w:hAnsiTheme="minorHAnsi"/>
        </w:rPr>
      </w:pPr>
      <w:r>
        <w:rPr>
          <w:rFonts w:asciiTheme="minorHAnsi" w:hAnsiTheme="minorHAnsi"/>
        </w:rPr>
        <w:t xml:space="preserve">Określenia podane w </w:t>
      </w:r>
      <w:r w:rsidR="00ED6D29">
        <w:rPr>
          <w:rFonts w:asciiTheme="minorHAnsi" w:hAnsiTheme="minorHAnsi"/>
        </w:rPr>
        <w:t>niniejszej</w:t>
      </w:r>
      <w:r>
        <w:rPr>
          <w:rFonts w:asciiTheme="minorHAnsi" w:hAnsiTheme="minorHAnsi"/>
        </w:rPr>
        <w:t xml:space="preserve"> </w:t>
      </w:r>
      <w:r w:rsidR="005B48CA">
        <w:rPr>
          <w:rFonts w:asciiTheme="minorHAnsi" w:hAnsiTheme="minorHAnsi"/>
        </w:rPr>
        <w:t>STWiORB</w:t>
      </w:r>
      <w:r w:rsidR="00FB6574" w:rsidRPr="00FB6574">
        <w:rPr>
          <w:rFonts w:asciiTheme="minorHAnsi" w:hAnsiTheme="minorHAnsi"/>
        </w:rPr>
        <w:t xml:space="preserve">  są zgodne z obowiązującymi odpowiednimi normami i </w:t>
      </w:r>
      <w:r w:rsidR="005B48CA">
        <w:rPr>
          <w:rFonts w:asciiTheme="minorHAnsi" w:hAnsiTheme="minorHAnsi"/>
        </w:rPr>
        <w:t>STWiORB</w:t>
      </w:r>
      <w:r>
        <w:rPr>
          <w:rFonts w:asciiTheme="minorHAnsi" w:hAnsiTheme="minorHAnsi"/>
        </w:rPr>
        <w:t xml:space="preserve"> </w:t>
      </w:r>
      <w:r w:rsidR="00FB6574" w:rsidRPr="00FB6574">
        <w:rPr>
          <w:rFonts w:asciiTheme="minorHAnsi" w:hAnsiTheme="minorHAnsi"/>
        </w:rPr>
        <w:t>D</w:t>
      </w:r>
      <w:r w:rsidR="00FB6574" w:rsidRPr="00FB6574">
        <w:rPr>
          <w:rFonts w:asciiTheme="minorHAnsi" w:hAnsiTheme="minorHAnsi"/>
        </w:rPr>
        <w:noBreakHyphen/>
        <w:t>M.00.00.00 "Wymagania ogólne".</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1.5. Ogólne wymagania dotyczące robót</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Wykonawca robót jest odpowiedzialny za jakość ich wykonania oraz za zgodność z opracowaną przez siebie i zatwierdzoną przez Zamawiającego i Inżyniera Dokumentacją Projektową, </w:t>
      </w:r>
      <w:r w:rsidR="005B48CA">
        <w:rPr>
          <w:rFonts w:asciiTheme="minorHAnsi" w:hAnsiTheme="minorHAnsi"/>
        </w:rPr>
        <w:t>STWiORB</w:t>
      </w:r>
      <w:r w:rsidRPr="00FB6574">
        <w:rPr>
          <w:rFonts w:asciiTheme="minorHAnsi" w:hAnsiTheme="minorHAnsi"/>
        </w:rPr>
        <w:t>.</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Ogólne wymagania dotyczące robót podano w </w:t>
      </w:r>
      <w:r w:rsidR="005B48CA">
        <w:rPr>
          <w:rFonts w:asciiTheme="minorHAnsi" w:hAnsiTheme="minorHAnsi"/>
        </w:rPr>
        <w:t>STWiORB</w:t>
      </w:r>
      <w:r w:rsidRPr="00FB6574">
        <w:rPr>
          <w:rFonts w:asciiTheme="minorHAnsi" w:hAnsiTheme="minorHAnsi"/>
        </w:rPr>
        <w:t xml:space="preserve"> D</w:t>
      </w:r>
      <w:r w:rsidRPr="00FB6574">
        <w:rPr>
          <w:rFonts w:asciiTheme="minorHAnsi" w:hAnsiTheme="minorHAnsi"/>
        </w:rPr>
        <w:noBreakHyphen/>
        <w:t>M.00.00.00 "Wymagania ogólne"</w:t>
      </w:r>
    </w:p>
    <w:p w:rsidR="00946928" w:rsidRDefault="00946928" w:rsidP="00FB6574">
      <w:pPr>
        <w:rPr>
          <w:rFonts w:asciiTheme="minorHAnsi" w:hAnsiTheme="minorHAnsi"/>
          <w:b/>
          <w:bCs/>
          <w:kern w:val="28"/>
        </w:rPr>
      </w:pPr>
    </w:p>
    <w:p w:rsidR="00FB6574" w:rsidRPr="00FB6574" w:rsidRDefault="00FB6574" w:rsidP="00EF1952">
      <w:pPr>
        <w:pStyle w:val="Nagwek3"/>
      </w:pPr>
      <w:r w:rsidRPr="00FB6574">
        <w:t xml:space="preserve">2. </w:t>
      </w:r>
      <w:r w:rsidR="00A95FEE">
        <w:t>Wyroby budowlane</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Określenia standardu materiału dokonano poprzez nazwę rodzajową towaru stanowiącą informację o właściwości, jakości, masie, przeznaczeniu, sposobie, czasie lub miejscu wytworzenia, składzie, funkcji lub przydatności towaru itp. </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 Materiałami stosowanymi przy wykonywaniu r</w:t>
      </w:r>
      <w:r w:rsidR="004009B1">
        <w:rPr>
          <w:rFonts w:asciiTheme="minorHAnsi" w:hAnsiTheme="minorHAnsi"/>
        </w:rPr>
        <w:t xml:space="preserve">obót na według zasad </w:t>
      </w:r>
      <w:r w:rsidR="00ED6D29">
        <w:rPr>
          <w:rFonts w:asciiTheme="minorHAnsi" w:hAnsiTheme="minorHAnsi"/>
        </w:rPr>
        <w:t>niniejszej</w:t>
      </w:r>
      <w:r w:rsidR="004009B1">
        <w:rPr>
          <w:rFonts w:asciiTheme="minorHAnsi" w:hAnsiTheme="minorHAnsi"/>
        </w:rPr>
        <w:t xml:space="preserve"> </w:t>
      </w:r>
      <w:r w:rsidR="00ED6D29">
        <w:rPr>
          <w:rFonts w:asciiTheme="minorHAnsi" w:hAnsiTheme="minorHAnsi"/>
        </w:rPr>
        <w:t>Specyfikacji</w:t>
      </w:r>
      <w:r w:rsidR="004009B1">
        <w:rPr>
          <w:rFonts w:asciiTheme="minorHAnsi" w:hAnsiTheme="minorHAnsi"/>
        </w:rPr>
        <w:t xml:space="preserve"> </w:t>
      </w:r>
      <w:r w:rsidRPr="00FB6574">
        <w:rPr>
          <w:rFonts w:asciiTheme="minorHAnsi" w:hAnsiTheme="minorHAnsi"/>
        </w:rPr>
        <w:t>są:</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2</w:t>
      </w:r>
      <w:r w:rsidR="004009B1">
        <w:rPr>
          <w:rFonts w:asciiTheme="minorHAnsi" w:hAnsiTheme="minorHAnsi"/>
          <w:b/>
          <w:bCs/>
          <w:kern w:val="28"/>
        </w:rPr>
        <w:t>.1. Ł</w:t>
      </w:r>
      <w:r w:rsidRPr="00FB6574">
        <w:rPr>
          <w:rFonts w:asciiTheme="minorHAnsi" w:hAnsiTheme="minorHAnsi"/>
          <w:b/>
          <w:bCs/>
          <w:kern w:val="28"/>
        </w:rPr>
        <w:t xml:space="preserve">awki </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Stal kwasoodporna OH18N9 – rury i blachy o wymiarach zgodnych z dokumentacją </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beton klasy C12/15.</w:t>
      </w:r>
    </w:p>
    <w:p w:rsidR="00FB6574" w:rsidRPr="00FB6574" w:rsidRDefault="00FB6574" w:rsidP="00FB6574">
      <w:pPr>
        <w:rPr>
          <w:rFonts w:asciiTheme="minorHAnsi" w:hAnsiTheme="minorHAnsi"/>
          <w:b/>
          <w:bCs/>
          <w:kern w:val="28"/>
        </w:rPr>
      </w:pPr>
      <w:r w:rsidRPr="00FB6574">
        <w:rPr>
          <w:rFonts w:asciiTheme="minorHAnsi" w:hAnsiTheme="minorHAnsi"/>
          <w:b/>
          <w:bCs/>
          <w:kern w:val="28"/>
        </w:rPr>
        <w:t>2.2 Kosz na śmieci</w:t>
      </w:r>
    </w:p>
    <w:p w:rsidR="00FB6574" w:rsidRDefault="00FB6574" w:rsidP="00FB6574">
      <w:pPr>
        <w:pStyle w:val="tekstost"/>
        <w:numPr>
          <w:ilvl w:val="12"/>
          <w:numId w:val="0"/>
        </w:numPr>
        <w:jc w:val="left"/>
        <w:rPr>
          <w:rFonts w:asciiTheme="minorHAnsi" w:hAnsiTheme="minorHAnsi"/>
        </w:rPr>
      </w:pPr>
      <w:r w:rsidRPr="00FB6574">
        <w:rPr>
          <w:rFonts w:asciiTheme="minorHAnsi" w:hAnsiTheme="minorHAnsi"/>
        </w:rPr>
        <w:t>Stal kwasoodporna OH18N9 – rury i blachy o wymiarac</w:t>
      </w:r>
      <w:r w:rsidR="004009B1">
        <w:rPr>
          <w:rFonts w:asciiTheme="minorHAnsi" w:hAnsiTheme="minorHAnsi"/>
        </w:rPr>
        <w:t>h</w:t>
      </w:r>
      <w:r w:rsidR="00946928">
        <w:rPr>
          <w:rFonts w:asciiTheme="minorHAnsi" w:hAnsiTheme="minorHAnsi"/>
        </w:rPr>
        <w:t xml:space="preserve"> zgodnych z dokumentacją </w:t>
      </w:r>
    </w:p>
    <w:p w:rsidR="00464FC9" w:rsidRPr="00FB6574" w:rsidRDefault="00464FC9" w:rsidP="00FB6574">
      <w:pPr>
        <w:pStyle w:val="tekstost"/>
        <w:numPr>
          <w:ilvl w:val="12"/>
          <w:numId w:val="0"/>
        </w:numPr>
        <w:jc w:val="left"/>
        <w:rPr>
          <w:rFonts w:asciiTheme="minorHAnsi" w:hAnsiTheme="minorHAnsi"/>
        </w:rPr>
      </w:pPr>
      <w:r>
        <w:rPr>
          <w:rFonts w:asciiTheme="minorHAnsi" w:hAnsiTheme="minorHAnsi"/>
        </w:rPr>
        <w:t>Beton klasy C12/15</w:t>
      </w:r>
    </w:p>
    <w:p w:rsidR="00FB6574" w:rsidRPr="00FB6574" w:rsidRDefault="00FB6574" w:rsidP="00FB6574">
      <w:pPr>
        <w:rPr>
          <w:rFonts w:asciiTheme="minorHAnsi" w:hAnsiTheme="minorHAnsi"/>
          <w:b/>
          <w:bCs/>
          <w:kern w:val="28"/>
        </w:rPr>
      </w:pPr>
      <w:r w:rsidRPr="00FB6574">
        <w:rPr>
          <w:rFonts w:asciiTheme="minorHAnsi" w:hAnsiTheme="minorHAnsi"/>
          <w:b/>
          <w:bCs/>
          <w:kern w:val="28"/>
        </w:rPr>
        <w:t>2.3.Balustrada - poręcz</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lastRenderedPageBreak/>
        <w:t>Stal kwasoodporna OH18N9 – rury i blachy o wymiarac</w:t>
      </w:r>
      <w:r w:rsidR="004009B1">
        <w:rPr>
          <w:rFonts w:asciiTheme="minorHAnsi" w:hAnsiTheme="minorHAnsi"/>
        </w:rPr>
        <w:t>h</w:t>
      </w:r>
      <w:r w:rsidR="00946928">
        <w:rPr>
          <w:rFonts w:asciiTheme="minorHAnsi" w:hAnsiTheme="minorHAnsi"/>
        </w:rPr>
        <w:t xml:space="preserve"> zgodnych z dokumentacją </w:t>
      </w:r>
    </w:p>
    <w:p w:rsidR="00FB6574" w:rsidRDefault="00FB6574" w:rsidP="00FB6574">
      <w:pPr>
        <w:pStyle w:val="tekstost"/>
        <w:numPr>
          <w:ilvl w:val="12"/>
          <w:numId w:val="0"/>
        </w:numPr>
        <w:jc w:val="left"/>
        <w:rPr>
          <w:rFonts w:asciiTheme="minorHAnsi" w:hAnsiTheme="minorHAnsi"/>
        </w:rPr>
      </w:pPr>
      <w:r w:rsidRPr="00FB6574">
        <w:rPr>
          <w:rFonts w:asciiTheme="minorHAnsi" w:hAnsiTheme="minorHAnsi"/>
        </w:rPr>
        <w:t>beton klasy C12/15.</w:t>
      </w:r>
    </w:p>
    <w:p w:rsidR="005E6FEF" w:rsidRPr="005E6FEF" w:rsidRDefault="005E6FEF" w:rsidP="00FB6574">
      <w:pPr>
        <w:pStyle w:val="tekstost"/>
        <w:numPr>
          <w:ilvl w:val="12"/>
          <w:numId w:val="0"/>
        </w:numPr>
        <w:jc w:val="left"/>
        <w:rPr>
          <w:rFonts w:asciiTheme="minorHAnsi" w:hAnsiTheme="minorHAnsi"/>
          <w:b/>
        </w:rPr>
      </w:pPr>
      <w:r w:rsidRPr="005E6FEF">
        <w:rPr>
          <w:rFonts w:asciiTheme="minorHAnsi" w:hAnsiTheme="minorHAnsi"/>
          <w:b/>
        </w:rPr>
        <w:t>2.4 Stopnie prefabrykowane</w:t>
      </w:r>
    </w:p>
    <w:p w:rsidR="005E6FEF" w:rsidRDefault="005E6FEF" w:rsidP="00FB6574">
      <w:pPr>
        <w:pStyle w:val="tekstost"/>
        <w:numPr>
          <w:ilvl w:val="12"/>
          <w:numId w:val="0"/>
        </w:numPr>
        <w:jc w:val="left"/>
        <w:rPr>
          <w:rFonts w:asciiTheme="minorHAnsi" w:hAnsiTheme="minorHAnsi"/>
        </w:rPr>
      </w:pPr>
      <w:r>
        <w:rPr>
          <w:rFonts w:asciiTheme="minorHAnsi" w:hAnsiTheme="minorHAnsi"/>
        </w:rPr>
        <w:t>Stopnie  betonowe o wymiarach 80x35x15 o nasiąkliwości nie mniejszej niż 6%, z betonu klasy nie niższej niż C30/37,5 i odporności na sól</w:t>
      </w:r>
    </w:p>
    <w:p w:rsidR="005E6FEF" w:rsidRPr="005E6FEF" w:rsidRDefault="005E6FEF" w:rsidP="00FB6574">
      <w:pPr>
        <w:pStyle w:val="tekstost"/>
        <w:numPr>
          <w:ilvl w:val="12"/>
          <w:numId w:val="0"/>
        </w:numPr>
        <w:jc w:val="left"/>
        <w:rPr>
          <w:rFonts w:asciiTheme="minorHAnsi" w:hAnsiTheme="minorHAnsi"/>
          <w:b/>
        </w:rPr>
      </w:pPr>
      <w:r w:rsidRPr="005E6FEF">
        <w:rPr>
          <w:rFonts w:asciiTheme="minorHAnsi" w:hAnsiTheme="minorHAnsi"/>
          <w:b/>
        </w:rPr>
        <w:t>2.5 Słupki z betonu płukanego</w:t>
      </w:r>
    </w:p>
    <w:p w:rsidR="00464FC9" w:rsidRDefault="005E6FEF" w:rsidP="005E6FEF">
      <w:pPr>
        <w:pStyle w:val="tekstost"/>
        <w:numPr>
          <w:ilvl w:val="12"/>
          <w:numId w:val="0"/>
        </w:numPr>
        <w:jc w:val="left"/>
        <w:rPr>
          <w:rFonts w:asciiTheme="minorHAnsi" w:hAnsiTheme="minorHAnsi"/>
        </w:rPr>
      </w:pPr>
      <w:r>
        <w:rPr>
          <w:rFonts w:asciiTheme="minorHAnsi" w:hAnsiTheme="minorHAnsi"/>
        </w:rPr>
        <w:t>Słupki o kształcie stożkowym, wysokości 100 cm z betonu klasy nie niższej niż C30/37,5, beton płukany</w:t>
      </w:r>
    </w:p>
    <w:p w:rsidR="005E6FEF" w:rsidRPr="005E6FEF" w:rsidRDefault="005E6FEF" w:rsidP="005E6FEF">
      <w:pPr>
        <w:pStyle w:val="tekstost"/>
        <w:numPr>
          <w:ilvl w:val="12"/>
          <w:numId w:val="0"/>
        </w:numPr>
        <w:jc w:val="left"/>
        <w:rPr>
          <w:rFonts w:asciiTheme="minorHAnsi" w:hAnsiTheme="minorHAnsi"/>
          <w:b/>
        </w:rPr>
      </w:pPr>
      <w:r w:rsidRPr="005E6FEF">
        <w:rPr>
          <w:rFonts w:asciiTheme="minorHAnsi" w:hAnsiTheme="minorHAnsi"/>
          <w:b/>
        </w:rPr>
        <w:t>2.6 Palisady</w:t>
      </w:r>
    </w:p>
    <w:p w:rsidR="005E6FEF" w:rsidRDefault="005E6FEF" w:rsidP="005E6FEF">
      <w:pPr>
        <w:pStyle w:val="tekstost"/>
        <w:numPr>
          <w:ilvl w:val="12"/>
          <w:numId w:val="0"/>
        </w:numPr>
        <w:jc w:val="left"/>
        <w:rPr>
          <w:rFonts w:asciiTheme="minorHAnsi" w:hAnsiTheme="minorHAnsi"/>
          <w:b/>
          <w:bCs/>
          <w:kern w:val="28"/>
        </w:rPr>
      </w:pPr>
      <w:r>
        <w:rPr>
          <w:rFonts w:asciiTheme="minorHAnsi" w:hAnsiTheme="minorHAnsi"/>
        </w:rPr>
        <w:t>Palisady betonowe o wysokości 60 cm koloru szarego wykonane z betonu klasy nie niższej niż C30/37,5</w:t>
      </w:r>
    </w:p>
    <w:p w:rsidR="00FB6574" w:rsidRPr="00FB6574" w:rsidRDefault="00FB6574" w:rsidP="00EF1952">
      <w:pPr>
        <w:pStyle w:val="Nagwek3"/>
      </w:pPr>
      <w:r w:rsidRPr="00FB6574">
        <w:t>3. Sprzęt</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Montaż wykonany będzie ręcznie.</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3.1. wiertnica ręczna lub mechaniczna fi 300 do wykonywania otworów w gruncie.</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3.2. Koparko ładowarka – maszyna pomocnicza </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3.2. Sprzęt do montażu zalecany przez producenta.</w:t>
      </w:r>
    </w:p>
    <w:p w:rsidR="00946928" w:rsidRDefault="00946928" w:rsidP="00FB6574">
      <w:pPr>
        <w:rPr>
          <w:rFonts w:asciiTheme="minorHAnsi" w:hAnsiTheme="minorHAnsi"/>
          <w:b/>
          <w:bCs/>
          <w:kern w:val="28"/>
        </w:rPr>
      </w:pPr>
    </w:p>
    <w:p w:rsidR="00FB6574" w:rsidRPr="00FB6574" w:rsidRDefault="00FB6574" w:rsidP="00EF1952">
      <w:pPr>
        <w:pStyle w:val="Nagwek3"/>
      </w:pPr>
      <w:r w:rsidRPr="00FB6574">
        <w:t>4. Transport</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Elementy małej architektury należy przewozić w sposób zabezpieczający je przed uszkodzeniem.</w:t>
      </w:r>
    </w:p>
    <w:p w:rsidR="00946928" w:rsidRDefault="00946928" w:rsidP="00FB6574">
      <w:pPr>
        <w:rPr>
          <w:rFonts w:asciiTheme="minorHAnsi" w:hAnsiTheme="minorHAnsi"/>
          <w:b/>
          <w:bCs/>
          <w:kern w:val="28"/>
        </w:rPr>
      </w:pPr>
    </w:p>
    <w:p w:rsidR="00FB6574" w:rsidRPr="00FB6574" w:rsidRDefault="00FB6574" w:rsidP="00EF1952">
      <w:pPr>
        <w:pStyle w:val="Nagwek3"/>
      </w:pPr>
      <w:r w:rsidRPr="00FB6574">
        <w:t>5. Wykonanie robót</w:t>
      </w:r>
    </w:p>
    <w:p w:rsidR="00FB6574" w:rsidRPr="00FB6574" w:rsidRDefault="00FB6574" w:rsidP="00FB6574">
      <w:pPr>
        <w:rPr>
          <w:rFonts w:asciiTheme="minorHAnsi" w:hAnsiTheme="minorHAnsi"/>
          <w:b/>
          <w:bCs/>
          <w:kern w:val="28"/>
        </w:rPr>
      </w:pPr>
      <w:r w:rsidRPr="00FB6574">
        <w:rPr>
          <w:rFonts w:asciiTheme="minorHAnsi" w:hAnsiTheme="minorHAnsi"/>
          <w:b/>
          <w:bCs/>
          <w:kern w:val="28"/>
        </w:rPr>
        <w:t>5.1. Ogólne wymagania dotyczące robót</w:t>
      </w:r>
    </w:p>
    <w:p w:rsidR="00FB6574" w:rsidRPr="00FB6574" w:rsidRDefault="00FB6574" w:rsidP="00FB6574">
      <w:pPr>
        <w:pStyle w:val="tekstost"/>
        <w:numPr>
          <w:ilvl w:val="12"/>
          <w:numId w:val="0"/>
        </w:numPr>
        <w:jc w:val="left"/>
        <w:rPr>
          <w:rFonts w:asciiTheme="minorHAnsi" w:hAnsiTheme="minorHAnsi"/>
        </w:rPr>
      </w:pPr>
      <w:r w:rsidRPr="00FB6574">
        <w:rPr>
          <w:rFonts w:asciiTheme="minorHAnsi" w:hAnsiTheme="minorHAnsi"/>
        </w:rPr>
        <w:t xml:space="preserve">Ogólne wymagania dotyczące wykonania robót podano w </w:t>
      </w:r>
      <w:r w:rsidR="005B48CA">
        <w:rPr>
          <w:rFonts w:asciiTheme="minorHAnsi" w:hAnsiTheme="minorHAnsi"/>
        </w:rPr>
        <w:t>STWiORB</w:t>
      </w:r>
      <w:r w:rsidRPr="00FB6574">
        <w:rPr>
          <w:rFonts w:asciiTheme="minorHAnsi" w:hAnsiTheme="minorHAnsi"/>
        </w:rPr>
        <w:t xml:space="preserve"> D-M.00.00.00 "Wymagania ogólne".</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5.2. Wykonanie wykopów pod fundamenty</w:t>
      </w:r>
    </w:p>
    <w:p w:rsidR="00FB6574" w:rsidRPr="00FB6574" w:rsidRDefault="00FB6574" w:rsidP="00FB6574">
      <w:pPr>
        <w:rPr>
          <w:rFonts w:asciiTheme="minorHAnsi" w:hAnsiTheme="minorHAnsi"/>
        </w:rPr>
      </w:pPr>
      <w:r w:rsidRPr="00FB6574">
        <w:rPr>
          <w:rFonts w:asciiTheme="minorHAnsi" w:hAnsiTheme="minorHAnsi"/>
        </w:rPr>
        <w:t xml:space="preserve">Wykopy należy wykonać wiertnicą ręczną lub mechaniczną, grunt z odwiertu składować w miejscu docelowego wbudowania, miejsce odwiertu zabezpieczyć przed odstępem osób postronnych. Nie dopuszcza się pozostawienia otwartego otworu wiertniczego bez zabezpieczenia. Otwory należy wywiercić do głębokości przewidzianej w dokumentacji. W wypadku zasypania się odwiertu należy przed montażem fundamentów odtworzyć otwór do wymiarów zgodnych z dokumentacją. </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 xml:space="preserve">5.3. Ustawienie elementów małej architektury </w:t>
      </w:r>
    </w:p>
    <w:p w:rsidR="00FB6574" w:rsidRPr="00FB6574" w:rsidRDefault="00FB6574" w:rsidP="00FB6574">
      <w:pPr>
        <w:rPr>
          <w:rFonts w:asciiTheme="minorHAnsi" w:hAnsiTheme="minorHAnsi"/>
        </w:rPr>
      </w:pPr>
      <w:r w:rsidRPr="00FB6574">
        <w:rPr>
          <w:rFonts w:asciiTheme="minorHAnsi" w:hAnsiTheme="minorHAnsi"/>
        </w:rPr>
        <w:t>Elementy małej architektury należy montować w fundamencie według zaleceń producenta.</w:t>
      </w:r>
    </w:p>
    <w:p w:rsidR="00946928" w:rsidRDefault="00946928" w:rsidP="00FB6574">
      <w:pPr>
        <w:rPr>
          <w:rFonts w:asciiTheme="minorHAnsi" w:hAnsiTheme="minorHAnsi"/>
          <w:b/>
          <w:bCs/>
          <w:kern w:val="28"/>
        </w:rPr>
      </w:pPr>
    </w:p>
    <w:p w:rsidR="00FB6574" w:rsidRPr="00FB6574" w:rsidRDefault="00FB6574" w:rsidP="00EF1952">
      <w:pPr>
        <w:pStyle w:val="Nagwek3"/>
      </w:pPr>
      <w:r w:rsidRPr="00FB6574">
        <w:t>6. Kontrola jakości robót</w:t>
      </w:r>
    </w:p>
    <w:p w:rsidR="00FB6574" w:rsidRPr="00FB6574" w:rsidRDefault="00FB6574" w:rsidP="00FB6574">
      <w:pPr>
        <w:rPr>
          <w:rFonts w:asciiTheme="minorHAnsi" w:hAnsiTheme="minorHAnsi"/>
        </w:rPr>
      </w:pPr>
      <w:r w:rsidRPr="00FB6574">
        <w:rPr>
          <w:rFonts w:asciiTheme="minorHAnsi" w:hAnsiTheme="minorHAnsi"/>
        </w:rPr>
        <w:t xml:space="preserve">Ogólne zasady kontroli jakości robót podano w </w:t>
      </w:r>
      <w:r w:rsidR="005B48CA">
        <w:rPr>
          <w:rFonts w:asciiTheme="minorHAnsi" w:hAnsiTheme="minorHAnsi"/>
        </w:rPr>
        <w:t>STWiORB</w:t>
      </w:r>
      <w:r w:rsidRPr="00FB6574">
        <w:rPr>
          <w:rFonts w:asciiTheme="minorHAnsi" w:hAnsiTheme="minorHAnsi"/>
        </w:rPr>
        <w:t xml:space="preserve"> D-M.00.00.00 "Wymagania ogólne".</w:t>
      </w:r>
    </w:p>
    <w:p w:rsidR="00946928" w:rsidRDefault="00946928" w:rsidP="00FB6574">
      <w:pPr>
        <w:rPr>
          <w:rFonts w:asciiTheme="minorHAnsi" w:hAnsiTheme="minorHAnsi"/>
          <w:b/>
          <w:bCs/>
          <w:kern w:val="28"/>
        </w:rPr>
      </w:pPr>
    </w:p>
    <w:p w:rsidR="00FB6574" w:rsidRPr="00FB6574" w:rsidRDefault="00FB6574" w:rsidP="00FB6574">
      <w:pPr>
        <w:rPr>
          <w:rFonts w:asciiTheme="minorHAnsi" w:hAnsiTheme="minorHAnsi"/>
          <w:b/>
          <w:bCs/>
          <w:kern w:val="28"/>
        </w:rPr>
      </w:pPr>
      <w:r w:rsidRPr="00FB6574">
        <w:rPr>
          <w:rFonts w:asciiTheme="minorHAnsi" w:hAnsiTheme="minorHAnsi"/>
          <w:b/>
          <w:bCs/>
          <w:kern w:val="28"/>
        </w:rPr>
        <w:t>6.1. Kontroli jakości robót podlegają:</w:t>
      </w:r>
    </w:p>
    <w:p w:rsidR="00FB6574" w:rsidRPr="004009B1" w:rsidRDefault="00FB6574" w:rsidP="00FB6574">
      <w:pPr>
        <w:rPr>
          <w:rFonts w:asciiTheme="minorHAnsi" w:hAnsiTheme="minorHAnsi"/>
        </w:rPr>
      </w:pPr>
      <w:r w:rsidRPr="00FB6574">
        <w:noBreakHyphen/>
      </w:r>
      <w:r w:rsidRPr="00FB6574">
        <w:tab/>
      </w:r>
      <w:r w:rsidRPr="004009B1">
        <w:rPr>
          <w:rFonts w:asciiTheme="minorHAnsi" w:hAnsiTheme="minorHAnsi"/>
        </w:rPr>
        <w:t>jakość użytych materiałów,</w:t>
      </w:r>
    </w:p>
    <w:p w:rsidR="00FB6574" w:rsidRPr="00FB6574" w:rsidRDefault="00FB6574" w:rsidP="00FB6574">
      <w:pPr>
        <w:rPr>
          <w:rFonts w:asciiTheme="minorHAnsi" w:hAnsiTheme="minorHAnsi"/>
        </w:rPr>
      </w:pPr>
      <w:r w:rsidRPr="004009B1">
        <w:rPr>
          <w:rFonts w:asciiTheme="minorHAnsi" w:hAnsiTheme="minorHAnsi"/>
        </w:rPr>
        <w:noBreakHyphen/>
      </w:r>
      <w:r w:rsidRPr="004009B1">
        <w:rPr>
          <w:rFonts w:asciiTheme="minorHAnsi" w:hAnsiTheme="minorHAnsi"/>
        </w:rPr>
        <w:tab/>
        <w:t>zgodność wykonania robót z Dokumentacją Projektową oraz z poleceniami Inżyniera.</w:t>
      </w:r>
    </w:p>
    <w:p w:rsidR="00946928" w:rsidRDefault="00946928" w:rsidP="00946928">
      <w:pPr>
        <w:jc w:val="left"/>
        <w:rPr>
          <w:rFonts w:asciiTheme="minorHAnsi" w:hAnsiTheme="minorHAnsi"/>
          <w:b/>
          <w:bCs/>
          <w:kern w:val="28"/>
        </w:rPr>
      </w:pPr>
    </w:p>
    <w:p w:rsidR="00EF1952" w:rsidRDefault="00FB6574" w:rsidP="00790883">
      <w:pPr>
        <w:pStyle w:val="Nagwek3"/>
        <w:numPr>
          <w:ilvl w:val="0"/>
          <w:numId w:val="83"/>
        </w:numPr>
      </w:pPr>
      <w:r w:rsidRPr="00EF1952">
        <w:t>Obmiar robót</w:t>
      </w:r>
    </w:p>
    <w:p w:rsidR="00EF1952" w:rsidRPr="00203191" w:rsidRDefault="00EF1952" w:rsidP="00EF1952">
      <w:pPr>
        <w:pStyle w:val="Nagwek4"/>
        <w:tabs>
          <w:tab w:val="left" w:pos="9914"/>
        </w:tabs>
        <w:rPr>
          <w:rFonts w:asciiTheme="minorHAnsi" w:hAnsiTheme="minorHAnsi"/>
        </w:rPr>
      </w:pPr>
      <w:r w:rsidRPr="00203191">
        <w:rPr>
          <w:rFonts w:asciiTheme="minorHAnsi" w:hAnsiTheme="minorHAnsi"/>
        </w:rPr>
        <w:t>7.1. Ogólne zasady obmiaru robót</w:t>
      </w:r>
    </w:p>
    <w:p w:rsidR="00EF1952" w:rsidRPr="00203191" w:rsidRDefault="00EF1952" w:rsidP="00EF1952">
      <w:pPr>
        <w:rPr>
          <w:rFonts w:asciiTheme="minorHAnsi" w:hAnsiTheme="minorHAnsi"/>
        </w:rPr>
      </w:pPr>
      <w:r w:rsidRPr="00203191">
        <w:rPr>
          <w:rFonts w:asciiTheme="minorHAnsi" w:hAnsiTheme="minorHAnsi"/>
        </w:rPr>
        <w:t>Ogólne zasady obmiaru robót podano w SSTWiORB D-M-00.00.00 „Wymagania ogólne” pkt 7.</w:t>
      </w:r>
    </w:p>
    <w:p w:rsidR="00EF1952" w:rsidRPr="00203191" w:rsidRDefault="00EF1952" w:rsidP="00EF1952">
      <w:pPr>
        <w:pStyle w:val="Nagwek4"/>
        <w:tabs>
          <w:tab w:val="left" w:pos="9914"/>
        </w:tabs>
        <w:rPr>
          <w:rFonts w:asciiTheme="minorHAnsi" w:hAnsiTheme="minorHAnsi"/>
        </w:rPr>
      </w:pPr>
      <w:r w:rsidRPr="00203191">
        <w:rPr>
          <w:rFonts w:asciiTheme="minorHAnsi" w:hAnsiTheme="minorHAnsi"/>
        </w:rPr>
        <w:t>7.2. Jednostka obmiarowa</w:t>
      </w:r>
    </w:p>
    <w:p w:rsidR="00EF1952" w:rsidRDefault="00EF1952" w:rsidP="00EF1952">
      <w:pPr>
        <w:rPr>
          <w:rFonts w:asciiTheme="minorHAnsi" w:hAnsiTheme="minorHAnsi"/>
        </w:rPr>
      </w:pPr>
      <w:r w:rsidRPr="00203191">
        <w:rPr>
          <w:rFonts w:asciiTheme="minorHAnsi" w:hAnsiTheme="minorHAnsi"/>
        </w:rPr>
        <w:t>Jednostką obmiarową jest:</w:t>
      </w:r>
    </w:p>
    <w:p w:rsidR="00EF1952" w:rsidRDefault="00EF1952" w:rsidP="00EF1952">
      <w:pPr>
        <w:rPr>
          <w:rFonts w:asciiTheme="minorHAnsi" w:hAnsiTheme="minorHAnsi"/>
        </w:rPr>
      </w:pPr>
      <w:r>
        <w:rPr>
          <w:rFonts w:asciiTheme="minorHAnsi" w:hAnsiTheme="minorHAnsi"/>
        </w:rPr>
        <w:lastRenderedPageBreak/>
        <w:t>- szt (sztuka) dla ławek, koszy i słupków</w:t>
      </w:r>
    </w:p>
    <w:p w:rsidR="00FB6574" w:rsidRDefault="00EF1952" w:rsidP="00FB6574">
      <w:pPr>
        <w:rPr>
          <w:rFonts w:asciiTheme="minorHAnsi" w:hAnsiTheme="minorHAnsi"/>
        </w:rPr>
      </w:pPr>
      <w:r>
        <w:rPr>
          <w:rFonts w:asciiTheme="minorHAnsi" w:hAnsiTheme="minorHAnsi"/>
        </w:rPr>
        <w:t>- m (metr) dla balustrad</w:t>
      </w:r>
    </w:p>
    <w:p w:rsidR="00EF1952" w:rsidRDefault="00EF1952" w:rsidP="00FB6574">
      <w:pPr>
        <w:rPr>
          <w:rFonts w:asciiTheme="minorHAnsi" w:hAnsiTheme="minorHAnsi"/>
        </w:rPr>
      </w:pPr>
    </w:p>
    <w:p w:rsidR="00EF1952" w:rsidRPr="00FB6574" w:rsidRDefault="00EF1952" w:rsidP="00FB6574">
      <w:pPr>
        <w:rPr>
          <w:rFonts w:asciiTheme="minorHAnsi" w:hAnsiTheme="minorHAnsi"/>
        </w:rPr>
      </w:pPr>
    </w:p>
    <w:p w:rsidR="00FB6574" w:rsidRPr="00FB6574" w:rsidRDefault="00FB6574" w:rsidP="00EF1952">
      <w:pPr>
        <w:pStyle w:val="Nagwek3"/>
      </w:pPr>
      <w:r w:rsidRPr="00FB6574">
        <w:t>8. Odbiór robót</w:t>
      </w:r>
    </w:p>
    <w:p w:rsidR="00FB6574" w:rsidRPr="00FB6574" w:rsidRDefault="00FB6574" w:rsidP="00FB6574">
      <w:pPr>
        <w:rPr>
          <w:rFonts w:asciiTheme="minorHAnsi" w:hAnsiTheme="minorHAnsi"/>
        </w:rPr>
      </w:pPr>
      <w:r w:rsidRPr="00FB6574">
        <w:rPr>
          <w:rFonts w:asciiTheme="minorHAnsi" w:hAnsiTheme="minorHAnsi"/>
        </w:rPr>
        <w:t xml:space="preserve">Ogólne zasady odbioru robót podano w </w:t>
      </w:r>
      <w:r w:rsidR="005B48CA">
        <w:rPr>
          <w:rFonts w:asciiTheme="minorHAnsi" w:hAnsiTheme="minorHAnsi"/>
        </w:rPr>
        <w:t>STWiORB</w:t>
      </w:r>
      <w:r w:rsidRPr="00FB6574">
        <w:rPr>
          <w:rFonts w:asciiTheme="minorHAnsi" w:hAnsiTheme="minorHAnsi"/>
        </w:rPr>
        <w:t xml:space="preserve"> D-M.00.00.00 "Wymagania ogólne".</w:t>
      </w:r>
    </w:p>
    <w:p w:rsidR="00946928" w:rsidRDefault="00946928" w:rsidP="00FB6574">
      <w:pPr>
        <w:jc w:val="left"/>
        <w:rPr>
          <w:rFonts w:asciiTheme="minorHAnsi" w:hAnsiTheme="minorHAnsi"/>
          <w:b/>
          <w:bCs/>
          <w:kern w:val="28"/>
        </w:rPr>
      </w:pPr>
    </w:p>
    <w:p w:rsidR="00FB6574" w:rsidRPr="00FB6574" w:rsidRDefault="00FB6574" w:rsidP="00D109A9">
      <w:pPr>
        <w:pStyle w:val="Nagwek3"/>
      </w:pPr>
      <w:r w:rsidRPr="00FB6574">
        <w:t>9. Podstawa płatności</w:t>
      </w:r>
    </w:p>
    <w:p w:rsidR="00D109A9" w:rsidRPr="00203191" w:rsidRDefault="00D109A9" w:rsidP="00D109A9">
      <w:pPr>
        <w:pStyle w:val="Nagwek4"/>
        <w:tabs>
          <w:tab w:val="left" w:pos="9914"/>
        </w:tabs>
        <w:rPr>
          <w:rFonts w:asciiTheme="minorHAnsi" w:hAnsiTheme="minorHAnsi"/>
        </w:rPr>
      </w:pPr>
      <w:r>
        <w:rPr>
          <w:rFonts w:asciiTheme="minorHAnsi" w:hAnsiTheme="minorHAnsi"/>
        </w:rPr>
        <w:t>9</w:t>
      </w:r>
      <w:r w:rsidRPr="00203191">
        <w:rPr>
          <w:rFonts w:asciiTheme="minorHAnsi" w:hAnsiTheme="minorHAnsi"/>
        </w:rPr>
        <w:t>.1. Ogólne ustalenia dotyczące podstawy płatności</w:t>
      </w:r>
    </w:p>
    <w:p w:rsidR="00D109A9" w:rsidRPr="00203191" w:rsidRDefault="00D109A9" w:rsidP="00D109A9">
      <w:pPr>
        <w:rPr>
          <w:rFonts w:asciiTheme="minorHAnsi" w:hAnsiTheme="minorHAnsi"/>
        </w:rPr>
      </w:pPr>
      <w:r w:rsidRPr="00203191">
        <w:rPr>
          <w:rFonts w:asciiTheme="minorHAnsi" w:hAnsiTheme="minorHAnsi"/>
        </w:rPr>
        <w:t>Ogólne ustalenia dotyczące podstawy płatności podano w STWiORB D-M-00.00.00 „Wymagania ogólne” pkt 9.</w:t>
      </w:r>
    </w:p>
    <w:p w:rsidR="00D109A9" w:rsidRPr="00203191" w:rsidRDefault="00D109A9" w:rsidP="00D109A9">
      <w:pPr>
        <w:pStyle w:val="Nagwek4"/>
        <w:tabs>
          <w:tab w:val="left" w:pos="9914"/>
        </w:tabs>
        <w:rPr>
          <w:rFonts w:asciiTheme="minorHAnsi" w:hAnsiTheme="minorHAnsi"/>
        </w:rPr>
      </w:pPr>
      <w:r w:rsidRPr="00203191">
        <w:rPr>
          <w:rFonts w:asciiTheme="minorHAnsi" w:hAnsiTheme="minorHAnsi"/>
        </w:rPr>
        <w:t>9.2. Cena jednostki obmiarowej</w:t>
      </w:r>
    </w:p>
    <w:p w:rsidR="00FB6574" w:rsidRDefault="00D109A9" w:rsidP="00D109A9">
      <w:pPr>
        <w:rPr>
          <w:rFonts w:asciiTheme="minorHAnsi" w:hAnsiTheme="minorHAnsi"/>
        </w:rPr>
      </w:pPr>
      <w:r w:rsidRPr="00203191">
        <w:rPr>
          <w:rFonts w:asciiTheme="minorHAnsi" w:hAnsiTheme="minorHAnsi"/>
        </w:rPr>
        <w:t xml:space="preserve">Cena wykonania 1 </w:t>
      </w:r>
      <w:r>
        <w:rPr>
          <w:rFonts w:asciiTheme="minorHAnsi" w:hAnsiTheme="minorHAnsi"/>
        </w:rPr>
        <w:t>szt/ 1m elementów</w:t>
      </w:r>
      <w:r w:rsidRPr="00203191">
        <w:rPr>
          <w:rFonts w:asciiTheme="minorHAnsi" w:hAnsiTheme="minorHAnsi"/>
        </w:rPr>
        <w:t xml:space="preserve"> </w:t>
      </w:r>
      <w:r>
        <w:rPr>
          <w:rFonts w:asciiTheme="minorHAnsi" w:hAnsiTheme="minorHAnsi"/>
        </w:rPr>
        <w:t xml:space="preserve">małej architektury </w:t>
      </w:r>
      <w:r w:rsidRPr="00203191">
        <w:rPr>
          <w:rFonts w:asciiTheme="minorHAnsi" w:hAnsiTheme="minorHAnsi"/>
        </w:rPr>
        <w:t>obejmuje</w:t>
      </w:r>
      <w:r>
        <w:rPr>
          <w:rFonts w:asciiTheme="minorHAnsi" w:hAnsiTheme="minorHAnsi"/>
        </w:rPr>
        <w:t>:</w:t>
      </w:r>
    </w:p>
    <w:p w:rsidR="00D109A9" w:rsidRDefault="00D109A9" w:rsidP="00790883">
      <w:pPr>
        <w:pStyle w:val="Akapitzlist"/>
        <w:numPr>
          <w:ilvl w:val="0"/>
          <w:numId w:val="84"/>
        </w:numPr>
        <w:rPr>
          <w:rFonts w:asciiTheme="minorHAnsi" w:hAnsiTheme="minorHAnsi"/>
        </w:rPr>
      </w:pPr>
      <w:r>
        <w:rPr>
          <w:rFonts w:asciiTheme="minorHAnsi" w:hAnsiTheme="minorHAnsi"/>
        </w:rPr>
        <w:t>Prace przygotowawcze</w:t>
      </w:r>
    </w:p>
    <w:p w:rsidR="00D109A9" w:rsidRDefault="00D109A9" w:rsidP="00790883">
      <w:pPr>
        <w:pStyle w:val="Akapitzlist"/>
        <w:numPr>
          <w:ilvl w:val="0"/>
          <w:numId w:val="84"/>
        </w:numPr>
        <w:rPr>
          <w:rFonts w:asciiTheme="minorHAnsi" w:hAnsiTheme="minorHAnsi"/>
        </w:rPr>
      </w:pPr>
      <w:r>
        <w:rPr>
          <w:rFonts w:asciiTheme="minorHAnsi" w:hAnsiTheme="minorHAnsi"/>
        </w:rPr>
        <w:t>Wytyczenie elementów małej architektury w terenie</w:t>
      </w:r>
    </w:p>
    <w:p w:rsidR="00D109A9" w:rsidRDefault="00D109A9" w:rsidP="00790883">
      <w:pPr>
        <w:pStyle w:val="Akapitzlist"/>
        <w:numPr>
          <w:ilvl w:val="0"/>
          <w:numId w:val="84"/>
        </w:numPr>
        <w:rPr>
          <w:rFonts w:asciiTheme="minorHAnsi" w:hAnsiTheme="minorHAnsi"/>
        </w:rPr>
      </w:pPr>
      <w:r>
        <w:rPr>
          <w:rFonts w:asciiTheme="minorHAnsi" w:hAnsiTheme="minorHAnsi"/>
        </w:rPr>
        <w:t>Dostawę materiałów</w:t>
      </w:r>
    </w:p>
    <w:p w:rsidR="00D109A9" w:rsidRDefault="00D109A9" w:rsidP="00790883">
      <w:pPr>
        <w:pStyle w:val="Akapitzlist"/>
        <w:numPr>
          <w:ilvl w:val="0"/>
          <w:numId w:val="84"/>
        </w:numPr>
        <w:rPr>
          <w:rFonts w:asciiTheme="minorHAnsi" w:hAnsiTheme="minorHAnsi"/>
        </w:rPr>
      </w:pPr>
      <w:r>
        <w:rPr>
          <w:rFonts w:asciiTheme="minorHAnsi" w:hAnsiTheme="minorHAnsi"/>
        </w:rPr>
        <w:t>Montaż elementów małej architektury</w:t>
      </w:r>
    </w:p>
    <w:p w:rsidR="00D109A9" w:rsidRPr="00D109A9" w:rsidRDefault="00D109A9" w:rsidP="00790883">
      <w:pPr>
        <w:pStyle w:val="Akapitzlist"/>
        <w:numPr>
          <w:ilvl w:val="0"/>
          <w:numId w:val="84"/>
        </w:numPr>
        <w:rPr>
          <w:rFonts w:asciiTheme="minorHAnsi" w:hAnsiTheme="minorHAnsi"/>
        </w:rPr>
      </w:pPr>
      <w:r>
        <w:rPr>
          <w:rFonts w:asciiTheme="minorHAnsi" w:hAnsiTheme="minorHAnsi"/>
        </w:rPr>
        <w:t>Badania i pomiary wymagane w STWiORB lub dokumentach kontraktowych</w:t>
      </w:r>
    </w:p>
    <w:p w:rsidR="00946928" w:rsidRDefault="00946928" w:rsidP="00FB6574">
      <w:pPr>
        <w:jc w:val="left"/>
        <w:rPr>
          <w:rFonts w:asciiTheme="minorHAnsi" w:hAnsiTheme="minorHAnsi"/>
          <w:b/>
          <w:bCs/>
          <w:kern w:val="28"/>
        </w:rPr>
      </w:pPr>
    </w:p>
    <w:p w:rsidR="00FB6574" w:rsidRPr="00FB6574" w:rsidRDefault="00FB6574" w:rsidP="00D109A9">
      <w:pPr>
        <w:pStyle w:val="Nagwek3"/>
      </w:pPr>
      <w:r w:rsidRPr="00FB6574">
        <w:t>10. Przepisy związane</w:t>
      </w:r>
    </w:p>
    <w:p w:rsidR="00FB6574" w:rsidRPr="00FB6574" w:rsidRDefault="00FB6574" w:rsidP="00FB6574">
      <w:pPr>
        <w:rPr>
          <w:rFonts w:asciiTheme="minorHAnsi" w:hAnsiTheme="minorHAnsi"/>
        </w:rPr>
      </w:pPr>
      <w:r w:rsidRPr="00FB6574">
        <w:rPr>
          <w:rFonts w:asciiTheme="minorHAnsi" w:hAnsiTheme="minorHAnsi"/>
        </w:rPr>
        <w:t>Nie występują.</w:t>
      </w:r>
    </w:p>
    <w:p w:rsidR="004F5BEB" w:rsidRPr="008C309F" w:rsidRDefault="004F5BEB" w:rsidP="004F5BEB">
      <w:pPr>
        <w:pStyle w:val="Nagwek2"/>
      </w:pPr>
      <w:r w:rsidRPr="008C309F">
        <w:lastRenderedPageBreak/>
        <w:t>SZCZEGÓŁOWA SPECYFIKACJA TECHNICZNA WYKONANIA I ODBIORU ROBÓT BUDOWLANYCH</w:t>
      </w:r>
    </w:p>
    <w:p w:rsidR="004F5BEB" w:rsidRPr="008C309F" w:rsidRDefault="004F5BEB" w:rsidP="004F5BEB">
      <w:pPr>
        <w:pStyle w:val="Nagwek1"/>
      </w:pPr>
      <w:bookmarkStart w:id="1350" w:name="_Toc377823430"/>
      <w:bookmarkStart w:id="1351" w:name="_Toc427178300"/>
      <w:bookmarkStart w:id="1352" w:name="_Toc459929685"/>
      <w:r w:rsidRPr="008C309F">
        <w:t>D-10.01.01 mury oporowe</w:t>
      </w:r>
      <w:bookmarkEnd w:id="1350"/>
      <w:bookmarkEnd w:id="1351"/>
      <w:bookmarkEnd w:id="1352"/>
    </w:p>
    <w:p w:rsidR="004F5BEB" w:rsidRPr="008C309F" w:rsidRDefault="004F5BEB" w:rsidP="004F5BEB">
      <w:pPr>
        <w:rPr>
          <w:color w:val="000000"/>
        </w:rPr>
      </w:pPr>
    </w:p>
    <w:p w:rsidR="004F5BEB" w:rsidRPr="00946928" w:rsidRDefault="004F5BEB" w:rsidP="004F5BEB">
      <w:pPr>
        <w:rPr>
          <w:rFonts w:asciiTheme="minorHAnsi" w:hAnsiTheme="minorHAnsi"/>
          <w:b/>
          <w:color w:val="000000"/>
        </w:rPr>
      </w:pPr>
      <w:r w:rsidRPr="00946928">
        <w:rPr>
          <w:rFonts w:asciiTheme="minorHAnsi" w:hAnsiTheme="minorHAnsi"/>
          <w:b/>
          <w:color w:val="000000"/>
        </w:rPr>
        <w:t>1. Wstęp</w:t>
      </w:r>
    </w:p>
    <w:p w:rsidR="004F5BEB" w:rsidRPr="00946928" w:rsidRDefault="004F5BEB" w:rsidP="004F5BEB">
      <w:pPr>
        <w:rPr>
          <w:rFonts w:asciiTheme="minorHAnsi" w:hAnsiTheme="minorHAnsi"/>
          <w:b/>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1.1. Przedmiot STWiORB</w:t>
      </w:r>
    </w:p>
    <w:p w:rsidR="004F5BEB" w:rsidRPr="00946928" w:rsidRDefault="004F5BEB" w:rsidP="004F5BEB">
      <w:pPr>
        <w:rPr>
          <w:rFonts w:asciiTheme="minorHAnsi" w:hAnsiTheme="minorHAnsi"/>
          <w:b/>
          <w:bCs/>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Przedmiotem niniejszej szczegółowej specyfikacji technicznej wykonania i odbioru robót budowlanych (STWiORB) są wymagania dotyczące wykonania i odbioru robót związanych z wykonaniem murów oporowych z prefabrykowanych żelbetowych ścianek kątowych.</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1.2. Zakres stosowania STWiORB</w:t>
      </w:r>
    </w:p>
    <w:p w:rsidR="004F5BEB" w:rsidRPr="00946928" w:rsidRDefault="004F5BEB" w:rsidP="004F5BEB">
      <w:pPr>
        <w:rPr>
          <w:rFonts w:asciiTheme="minorHAnsi" w:hAnsiTheme="minorHAnsi"/>
          <w:b/>
          <w:bCs/>
          <w:color w:val="000000"/>
        </w:rPr>
      </w:pPr>
    </w:p>
    <w:p w:rsidR="004F5BEB" w:rsidRPr="00946928" w:rsidRDefault="00946928" w:rsidP="004F5BEB">
      <w:pPr>
        <w:rPr>
          <w:rFonts w:asciiTheme="minorHAnsi" w:hAnsiTheme="minorHAnsi"/>
        </w:rPr>
      </w:pPr>
      <w:r>
        <w:rPr>
          <w:rFonts w:asciiTheme="minorHAnsi" w:hAnsiTheme="minorHAnsi" w:cs="Calibri"/>
        </w:rPr>
        <w:t xml:space="preserve">Specyfikacja techniczna stanowi dokument przetargowy i kontraktowy przy realizacji  zadania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1.3. Zakres robót objętych STWiORB</w:t>
      </w:r>
    </w:p>
    <w:p w:rsidR="004F5BEB" w:rsidRPr="00946928" w:rsidRDefault="004F5BEB" w:rsidP="004F5BEB">
      <w:pPr>
        <w:rPr>
          <w:rFonts w:asciiTheme="minorHAnsi" w:hAnsiTheme="minorHAnsi"/>
          <w:b/>
          <w:bCs/>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Ustalenia zawarte w niniejszej specyfikacji dotyczą zasad prowadzenia robót związanych z wykonaniem murów oporowych</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1.4. Określenia podstawowe</w:t>
      </w:r>
    </w:p>
    <w:p w:rsidR="004F5BEB" w:rsidRPr="00946928" w:rsidRDefault="004F5BEB" w:rsidP="004F5BEB">
      <w:pPr>
        <w:rPr>
          <w:rFonts w:asciiTheme="minorHAnsi" w:hAnsiTheme="minorHAnsi"/>
          <w:b/>
          <w:bCs/>
          <w:color w:val="000000"/>
        </w:rPr>
      </w:pPr>
      <w:r w:rsidRPr="00946928">
        <w:rPr>
          <w:rFonts w:asciiTheme="minorHAnsi" w:hAnsiTheme="minorHAnsi"/>
          <w:b/>
          <w:color w:val="000000"/>
        </w:rPr>
        <w:t>1.4.1</w:t>
      </w:r>
      <w:r w:rsidRPr="00946928">
        <w:rPr>
          <w:rFonts w:asciiTheme="minorHAnsi" w:hAnsiTheme="minorHAnsi"/>
          <w:color w:val="000000"/>
        </w:rPr>
        <w:t xml:space="preserve"> Mur oporowy - budowla utrzymująca w stanie stateczności uskok naziomu gruntów rodzimych lub nasypowych albo innych wyrobów rozdrobnionych</w:t>
      </w:r>
    </w:p>
    <w:p w:rsidR="004F5BEB" w:rsidRPr="00946928" w:rsidRDefault="004F5BEB" w:rsidP="004F5BEB">
      <w:pPr>
        <w:rPr>
          <w:rFonts w:asciiTheme="minorHAnsi" w:hAnsiTheme="minorHAnsi"/>
          <w:color w:val="000000"/>
        </w:rPr>
      </w:pPr>
      <w:r w:rsidRPr="00946928">
        <w:rPr>
          <w:rFonts w:asciiTheme="minorHAnsi" w:hAnsiTheme="minorHAnsi"/>
          <w:b/>
          <w:color w:val="000000"/>
        </w:rPr>
        <w:t>1.4.2</w:t>
      </w:r>
      <w:r w:rsidRPr="00946928">
        <w:rPr>
          <w:rFonts w:asciiTheme="minorHAnsi" w:hAnsiTheme="minorHAnsi"/>
          <w:color w:val="000000"/>
        </w:rPr>
        <w:t xml:space="preserve"> Pozostałe określenia podstawowe są zgodne z obowiązują</w:t>
      </w:r>
      <w:r w:rsidRPr="00946928">
        <w:rPr>
          <w:rFonts w:asciiTheme="minorHAnsi" w:hAnsiTheme="minorHAnsi"/>
          <w:color w:val="000000"/>
        </w:rPr>
        <w:softHyphen/>
        <w:t>cymi, odpowiednimi polskimi normami i z definicjami podanymi w STWiORB D-M-00.00.00 „Wymagania ogólne” pkt 1.4.</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1.5. Ogólne wymagania dotyczące robót</w:t>
      </w:r>
    </w:p>
    <w:p w:rsidR="004F5BEB" w:rsidRPr="00946928" w:rsidRDefault="004F5BEB" w:rsidP="004F5BEB">
      <w:pPr>
        <w:rPr>
          <w:rFonts w:asciiTheme="minorHAnsi" w:hAnsiTheme="minorHAnsi"/>
          <w:b/>
          <w:bCs/>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wymagania dotyczące robót podano w STWiORB D-M-00.00.00 „Wymagania ogólne” pkt 1.5.</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color w:val="000000"/>
        </w:rPr>
      </w:pPr>
      <w:r w:rsidRPr="00946928">
        <w:rPr>
          <w:rFonts w:asciiTheme="minorHAnsi" w:hAnsiTheme="minorHAnsi"/>
          <w:b/>
          <w:color w:val="000000"/>
        </w:rPr>
        <w:t xml:space="preserve">2. </w:t>
      </w:r>
      <w:r w:rsidRPr="00946928">
        <w:rPr>
          <w:rFonts w:asciiTheme="minorHAnsi" w:hAnsiTheme="minorHAnsi"/>
          <w:b/>
        </w:rPr>
        <w:t>WYROBY BUDOWLANE I</w:t>
      </w:r>
      <w:r w:rsidRPr="00946928">
        <w:rPr>
          <w:rFonts w:asciiTheme="minorHAnsi" w:hAnsiTheme="minorHAnsi"/>
          <w:b/>
          <w:color w:val="000000"/>
        </w:rPr>
        <w:t xml:space="preserve">  MATERIAŁY</w:t>
      </w:r>
    </w:p>
    <w:p w:rsidR="004F5BEB" w:rsidRPr="00946928" w:rsidRDefault="004F5BEB" w:rsidP="004F5BEB">
      <w:pPr>
        <w:rPr>
          <w:rFonts w:asciiTheme="minorHAnsi" w:hAnsiTheme="minorHAnsi"/>
          <w:b/>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2.1. Ogólne wymagania dotyczące wyrobów</w:t>
      </w:r>
    </w:p>
    <w:p w:rsidR="004F5BEB" w:rsidRPr="00946928" w:rsidRDefault="004F5BEB" w:rsidP="004F5BEB">
      <w:pPr>
        <w:rPr>
          <w:rFonts w:asciiTheme="minorHAnsi" w:hAnsiTheme="minorHAnsi"/>
          <w:b/>
          <w:bCs/>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wymagania dotyczące wyrobów, ich pozyskiwania i składowania, podano w STWiORB D-M-00.00.00 „Wymagania ogólne” pkt 2.</w:t>
      </w:r>
    </w:p>
    <w:p w:rsidR="004F5BEB" w:rsidRPr="00946928" w:rsidRDefault="004F5BEB" w:rsidP="004F5BEB">
      <w:pPr>
        <w:shd w:val="clear" w:color="auto" w:fill="FFFFFF"/>
        <w:rPr>
          <w:rFonts w:asciiTheme="minorHAnsi" w:hAnsiTheme="minorHAnsi"/>
        </w:rPr>
      </w:pPr>
    </w:p>
    <w:p w:rsidR="004F5BEB" w:rsidRPr="00946928" w:rsidRDefault="004F5BEB" w:rsidP="004F5BEB">
      <w:pPr>
        <w:shd w:val="clear" w:color="auto" w:fill="FFFFFF"/>
        <w:ind w:left="19"/>
        <w:rPr>
          <w:rFonts w:asciiTheme="minorHAnsi" w:hAnsiTheme="minorHAnsi"/>
        </w:rPr>
      </w:pPr>
      <w:r w:rsidRPr="00946928">
        <w:rPr>
          <w:rFonts w:asciiTheme="minorHAnsi" w:hAnsiTheme="minorHAnsi"/>
          <w:b/>
          <w:bCs/>
          <w:color w:val="000000"/>
          <w:spacing w:val="-1"/>
        </w:rPr>
        <w:t>2.2. Elementy prefabrykowane</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3"/>
        </w:rPr>
        <w:t>Należy użyć prefabrykatów z betonu klasy min C30/37; XF2, Cl0.4, D</w:t>
      </w:r>
      <w:r w:rsidRPr="00946928">
        <w:rPr>
          <w:rFonts w:asciiTheme="minorHAnsi" w:hAnsiTheme="minorHAnsi"/>
          <w:color w:val="000000"/>
          <w:spacing w:val="-3"/>
          <w:vertAlign w:val="subscript"/>
        </w:rPr>
        <w:t>max</w:t>
      </w:r>
      <w:r w:rsidRPr="00946928">
        <w:rPr>
          <w:rFonts w:asciiTheme="minorHAnsi" w:hAnsiTheme="minorHAnsi"/>
          <w:color w:val="000000"/>
          <w:spacing w:val="-3"/>
        </w:rPr>
        <w:t xml:space="preserve">16 i S2. Max </w:t>
      </w:r>
      <w:r w:rsidRPr="00946928">
        <w:rPr>
          <w:rFonts w:asciiTheme="minorHAnsi" w:hAnsiTheme="minorHAnsi"/>
          <w:color w:val="000000"/>
        </w:rPr>
        <w:t xml:space="preserve">w/c &lt;0,55. Minimalna zawartość cementu 300 kg/m . Prefabrykaty winny posiadać </w:t>
      </w:r>
      <w:r w:rsidRPr="00946928">
        <w:rPr>
          <w:rFonts w:asciiTheme="minorHAnsi" w:hAnsiTheme="minorHAnsi"/>
          <w:color w:val="000000"/>
          <w:spacing w:val="-1"/>
        </w:rPr>
        <w:t xml:space="preserve">wytrzymałość odpowiednią dla przejęcia przez mur oporowy parcia gruntu i innych obciążeń </w:t>
      </w:r>
      <w:r w:rsidRPr="00946928">
        <w:rPr>
          <w:rFonts w:asciiTheme="minorHAnsi" w:hAnsiTheme="minorHAnsi"/>
          <w:color w:val="000000"/>
        </w:rPr>
        <w:t>występujących na drodze.</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t>Elementy winny być grubości min 10 cm.</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2"/>
        </w:rPr>
        <w:t>Prefabrykaty winny</w:t>
      </w:r>
      <w:r w:rsidR="00464FC9">
        <w:rPr>
          <w:rFonts w:asciiTheme="minorHAnsi" w:hAnsiTheme="minorHAnsi"/>
          <w:color w:val="000000"/>
          <w:spacing w:val="-2"/>
        </w:rPr>
        <w:t xml:space="preserve"> spełniać wymagania PN-EN 13369</w:t>
      </w:r>
      <w:r w:rsidRPr="00946928">
        <w:rPr>
          <w:rFonts w:asciiTheme="minorHAnsi" w:hAnsiTheme="minorHAnsi"/>
          <w:color w:val="000000"/>
          <w:spacing w:val="-2"/>
        </w:rPr>
        <w:t>.</w:t>
      </w:r>
    </w:p>
    <w:p w:rsidR="004F5BEB" w:rsidRPr="00946928" w:rsidRDefault="004F5BEB" w:rsidP="004F5BEB">
      <w:pPr>
        <w:shd w:val="clear" w:color="auto" w:fill="FFFFFF"/>
        <w:ind w:left="14" w:right="10"/>
        <w:rPr>
          <w:rFonts w:asciiTheme="minorHAnsi" w:hAnsiTheme="minorHAnsi"/>
        </w:rPr>
      </w:pPr>
      <w:r w:rsidRPr="00946928">
        <w:rPr>
          <w:rFonts w:asciiTheme="minorHAnsi" w:hAnsiTheme="minorHAnsi"/>
          <w:color w:val="000000"/>
          <w:spacing w:val="-1"/>
        </w:rPr>
        <w:t xml:space="preserve">Elementy należy składować na wyrównanym, utwardzonym i odwodnionym podłożu. </w:t>
      </w:r>
      <w:r w:rsidRPr="00946928">
        <w:rPr>
          <w:rFonts w:asciiTheme="minorHAnsi" w:hAnsiTheme="minorHAnsi"/>
          <w:color w:val="000000"/>
        </w:rPr>
        <w:t>Poszczególne rodzaje elementów powinny być składowane oddzielnie.</w:t>
      </w:r>
    </w:p>
    <w:p w:rsidR="004F5BEB" w:rsidRPr="00946928" w:rsidRDefault="004F5BEB" w:rsidP="004F5BEB">
      <w:pPr>
        <w:shd w:val="clear" w:color="auto" w:fill="FFFFFF"/>
        <w:tabs>
          <w:tab w:val="left" w:pos="427"/>
        </w:tabs>
        <w:ind w:left="14"/>
        <w:rPr>
          <w:rFonts w:asciiTheme="minorHAnsi" w:hAnsiTheme="minorHAnsi"/>
        </w:rPr>
      </w:pPr>
      <w:r w:rsidRPr="00946928">
        <w:rPr>
          <w:rFonts w:asciiTheme="minorHAnsi" w:hAnsiTheme="minorHAnsi"/>
          <w:b/>
          <w:bCs/>
          <w:color w:val="000000"/>
          <w:spacing w:val="-8"/>
        </w:rPr>
        <w:t>2.3.</w:t>
      </w:r>
      <w:r w:rsidRPr="00946928">
        <w:rPr>
          <w:rFonts w:asciiTheme="minorHAnsi" w:hAnsiTheme="minorHAnsi"/>
          <w:b/>
          <w:bCs/>
          <w:color w:val="000000"/>
        </w:rPr>
        <w:tab/>
      </w:r>
      <w:r w:rsidRPr="00946928">
        <w:rPr>
          <w:rFonts w:asciiTheme="minorHAnsi" w:hAnsiTheme="minorHAnsi"/>
          <w:b/>
          <w:bCs/>
          <w:color w:val="000000"/>
          <w:spacing w:val="-3"/>
        </w:rPr>
        <w:t>Beton</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t>Na podbudowę należy stosować beton C12</w:t>
      </w:r>
      <w:r w:rsidR="00464FC9">
        <w:rPr>
          <w:rFonts w:asciiTheme="minorHAnsi" w:hAnsiTheme="minorHAnsi"/>
          <w:color w:val="000000"/>
          <w:spacing w:val="-1"/>
        </w:rPr>
        <w:t>/</w:t>
      </w:r>
      <w:r w:rsidRPr="00946928">
        <w:rPr>
          <w:rFonts w:asciiTheme="minorHAnsi" w:hAnsiTheme="minorHAnsi"/>
          <w:color w:val="000000"/>
          <w:spacing w:val="-1"/>
        </w:rPr>
        <w:t xml:space="preserve">15,  na oczep beton C25/30 </w:t>
      </w:r>
      <w:r w:rsidRPr="00946928">
        <w:rPr>
          <w:rFonts w:asciiTheme="minorHAnsi" w:hAnsiTheme="minorHAnsi"/>
          <w:color w:val="000000"/>
        </w:rPr>
        <w:t>odpowiadające wymaganiom wg PN-EN 206-1</w:t>
      </w:r>
      <w:r w:rsidR="00464FC9">
        <w:rPr>
          <w:rFonts w:asciiTheme="minorHAnsi" w:hAnsiTheme="minorHAnsi"/>
          <w:color w:val="000000"/>
        </w:rPr>
        <w:t>. Dopuszcza się uzycie oczepów prefabrykowanych</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rPr>
        <w:lastRenderedPageBreak/>
        <w:t>Do betonu powinien być stosowany cement portlandzki klasy, co najmniej 32,5 i powinien spełniać wymagania PN-EN 197-1.</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rPr>
        <w:t>Kruszywo do betonu powinno spełniać wymagania PN-EN 12620 o odpowiednich kategoriach:</w:t>
      </w:r>
    </w:p>
    <w:p w:rsidR="004F5BEB" w:rsidRPr="00946928" w:rsidRDefault="004F5BEB" w:rsidP="004F5BEB">
      <w:pPr>
        <w:shd w:val="clear" w:color="auto" w:fill="FFFFFF"/>
        <w:tabs>
          <w:tab w:val="left" w:pos="1133"/>
        </w:tabs>
        <w:ind w:left="1003"/>
        <w:rPr>
          <w:rFonts w:asciiTheme="minorHAnsi" w:hAnsiTheme="minorHAnsi"/>
        </w:rPr>
      </w:pPr>
      <w:r w:rsidRPr="00946928">
        <w:rPr>
          <w:rFonts w:asciiTheme="minorHAnsi" w:hAnsiTheme="minorHAnsi"/>
          <w:color w:val="000000"/>
        </w:rPr>
        <w:t>-</w:t>
      </w:r>
      <w:r w:rsidRPr="00946928">
        <w:rPr>
          <w:rFonts w:asciiTheme="minorHAnsi" w:hAnsiTheme="minorHAnsi"/>
          <w:color w:val="000000"/>
        </w:rPr>
        <w:tab/>
      </w:r>
      <w:r w:rsidRPr="00946928">
        <w:rPr>
          <w:rFonts w:asciiTheme="minorHAnsi" w:hAnsiTheme="minorHAnsi"/>
          <w:color w:val="000000"/>
          <w:spacing w:val="-4"/>
        </w:rPr>
        <w:t>dla C12/15 - grube GC90/15, f</w:t>
      </w:r>
      <w:r w:rsidRPr="00946928">
        <w:rPr>
          <w:rFonts w:asciiTheme="minorHAnsi" w:hAnsiTheme="minorHAnsi"/>
          <w:color w:val="000000"/>
          <w:spacing w:val="-4"/>
          <w:vertAlign w:val="subscript"/>
        </w:rPr>
        <w:t>4</w:t>
      </w:r>
      <w:r w:rsidRPr="00946928">
        <w:rPr>
          <w:rFonts w:asciiTheme="minorHAnsi" w:hAnsiTheme="minorHAnsi"/>
          <w:i/>
          <w:iCs/>
          <w:color w:val="000000"/>
          <w:spacing w:val="-4"/>
        </w:rPr>
        <w:t xml:space="preserve">, </w:t>
      </w:r>
      <w:r w:rsidRPr="00946928">
        <w:rPr>
          <w:rFonts w:asciiTheme="minorHAnsi" w:hAnsiTheme="minorHAnsi"/>
          <w:color w:val="000000"/>
          <w:spacing w:val="-4"/>
        </w:rPr>
        <w:t>F2 i SI40</w:t>
      </w:r>
    </w:p>
    <w:p w:rsidR="004F5BEB" w:rsidRPr="00946928" w:rsidRDefault="004F5BEB" w:rsidP="004F5BEB">
      <w:pPr>
        <w:shd w:val="clear" w:color="auto" w:fill="FFFFFF"/>
        <w:tabs>
          <w:tab w:val="left" w:pos="2347"/>
        </w:tabs>
        <w:ind w:left="2208"/>
        <w:rPr>
          <w:rFonts w:asciiTheme="minorHAnsi" w:hAnsiTheme="minorHAnsi"/>
        </w:rPr>
      </w:pPr>
      <w:r w:rsidRPr="00946928">
        <w:rPr>
          <w:rFonts w:asciiTheme="minorHAnsi" w:hAnsiTheme="minorHAnsi"/>
          <w:color w:val="000000"/>
        </w:rPr>
        <w:t>-</w:t>
      </w:r>
      <w:r w:rsidRPr="00946928">
        <w:rPr>
          <w:rFonts w:asciiTheme="minorHAnsi" w:hAnsiTheme="minorHAnsi"/>
          <w:color w:val="000000"/>
        </w:rPr>
        <w:tab/>
      </w:r>
      <w:r w:rsidRPr="00946928">
        <w:rPr>
          <w:rFonts w:asciiTheme="minorHAnsi" w:hAnsiTheme="minorHAnsi"/>
          <w:color w:val="000000"/>
          <w:spacing w:val="-7"/>
        </w:rPr>
        <w:t xml:space="preserve">drobne </w:t>
      </w:r>
      <w:r w:rsidRPr="00946928">
        <w:rPr>
          <w:rFonts w:asciiTheme="minorHAnsi" w:hAnsiTheme="minorHAnsi"/>
          <w:smallCaps/>
          <w:color w:val="000000"/>
          <w:spacing w:val="-7"/>
        </w:rPr>
        <w:t xml:space="preserve">Gf85 </w:t>
      </w:r>
      <w:r w:rsidRPr="00946928">
        <w:rPr>
          <w:rFonts w:asciiTheme="minorHAnsi" w:hAnsiTheme="minorHAnsi"/>
          <w:color w:val="000000"/>
          <w:spacing w:val="-7"/>
        </w:rPr>
        <w:t>i f</w:t>
      </w:r>
      <w:r w:rsidRPr="00946928">
        <w:rPr>
          <w:rFonts w:asciiTheme="minorHAnsi" w:hAnsiTheme="minorHAnsi"/>
          <w:color w:val="000000"/>
          <w:spacing w:val="-7"/>
          <w:vertAlign w:val="subscript"/>
        </w:rPr>
        <w:t>10</w:t>
      </w:r>
      <w:r w:rsidRPr="00946928">
        <w:rPr>
          <w:rFonts w:asciiTheme="minorHAnsi" w:hAnsiTheme="minorHAnsi"/>
          <w:color w:val="000000"/>
          <w:spacing w:val="-7"/>
        </w:rPr>
        <w:t>,</w:t>
      </w:r>
    </w:p>
    <w:p w:rsidR="004F5BEB" w:rsidRPr="00946928" w:rsidRDefault="004F5BEB" w:rsidP="004F5BEB">
      <w:pPr>
        <w:shd w:val="clear" w:color="auto" w:fill="FFFFFF"/>
        <w:tabs>
          <w:tab w:val="left" w:pos="1133"/>
        </w:tabs>
        <w:ind w:left="1003"/>
        <w:rPr>
          <w:rFonts w:asciiTheme="minorHAnsi" w:hAnsiTheme="minorHAnsi"/>
        </w:rPr>
      </w:pPr>
      <w:r w:rsidRPr="00946928">
        <w:rPr>
          <w:rFonts w:asciiTheme="minorHAnsi" w:hAnsiTheme="minorHAnsi"/>
          <w:color w:val="000000"/>
        </w:rPr>
        <w:t>-</w:t>
      </w:r>
      <w:r w:rsidRPr="00946928">
        <w:rPr>
          <w:rFonts w:asciiTheme="minorHAnsi" w:hAnsiTheme="minorHAnsi"/>
          <w:color w:val="000000"/>
        </w:rPr>
        <w:tab/>
      </w:r>
      <w:r w:rsidRPr="00946928">
        <w:rPr>
          <w:rFonts w:asciiTheme="minorHAnsi" w:hAnsiTheme="minorHAnsi"/>
          <w:color w:val="000000"/>
          <w:spacing w:val="-5"/>
        </w:rPr>
        <w:t>dla C25/30 - grube GC90/15, f</w:t>
      </w:r>
      <w:r w:rsidRPr="00946928">
        <w:rPr>
          <w:rFonts w:asciiTheme="minorHAnsi" w:hAnsiTheme="minorHAnsi"/>
          <w:color w:val="000000"/>
          <w:spacing w:val="-5"/>
          <w:vertAlign w:val="subscript"/>
        </w:rPr>
        <w:t>4</w:t>
      </w:r>
      <w:r w:rsidRPr="00946928">
        <w:rPr>
          <w:rFonts w:asciiTheme="minorHAnsi" w:hAnsiTheme="minorHAnsi"/>
          <w:i/>
          <w:iCs/>
          <w:color w:val="000000"/>
          <w:spacing w:val="-5"/>
        </w:rPr>
        <w:t xml:space="preserve">, </w:t>
      </w:r>
      <w:r w:rsidRPr="00946928">
        <w:rPr>
          <w:rFonts w:asciiTheme="minorHAnsi" w:hAnsiTheme="minorHAnsi"/>
          <w:color w:val="000000"/>
          <w:spacing w:val="-5"/>
        </w:rPr>
        <w:t>F2 i SI20 i LA25</w:t>
      </w:r>
    </w:p>
    <w:p w:rsidR="004F5BEB" w:rsidRPr="00946928" w:rsidRDefault="004F5BEB" w:rsidP="004F5BEB">
      <w:pPr>
        <w:shd w:val="clear" w:color="auto" w:fill="FFFFFF"/>
        <w:tabs>
          <w:tab w:val="left" w:pos="2347"/>
        </w:tabs>
        <w:ind w:left="2208"/>
        <w:rPr>
          <w:rFonts w:asciiTheme="minorHAnsi" w:hAnsiTheme="minorHAnsi"/>
        </w:rPr>
      </w:pPr>
      <w:r w:rsidRPr="00946928">
        <w:rPr>
          <w:rFonts w:asciiTheme="minorHAnsi" w:hAnsiTheme="minorHAnsi"/>
          <w:color w:val="000000"/>
        </w:rPr>
        <w:t>-</w:t>
      </w:r>
      <w:r w:rsidRPr="00946928">
        <w:rPr>
          <w:rFonts w:asciiTheme="minorHAnsi" w:hAnsiTheme="minorHAnsi"/>
          <w:color w:val="000000"/>
        </w:rPr>
        <w:tab/>
      </w:r>
      <w:r w:rsidRPr="00946928">
        <w:rPr>
          <w:rFonts w:asciiTheme="minorHAnsi" w:hAnsiTheme="minorHAnsi"/>
          <w:color w:val="000000"/>
          <w:spacing w:val="-5"/>
        </w:rPr>
        <w:t xml:space="preserve">drobne </w:t>
      </w:r>
      <w:r w:rsidRPr="00946928">
        <w:rPr>
          <w:rFonts w:asciiTheme="minorHAnsi" w:hAnsiTheme="minorHAnsi"/>
          <w:smallCaps/>
          <w:color w:val="000000"/>
          <w:spacing w:val="-5"/>
        </w:rPr>
        <w:t xml:space="preserve">Gf88 </w:t>
      </w:r>
      <w:r w:rsidRPr="00946928">
        <w:rPr>
          <w:rFonts w:asciiTheme="minorHAnsi" w:hAnsiTheme="minorHAnsi"/>
          <w:color w:val="000000"/>
          <w:spacing w:val="-5"/>
        </w:rPr>
        <w:t>i f3.</w:t>
      </w:r>
    </w:p>
    <w:p w:rsidR="004F5BEB" w:rsidRPr="00946928" w:rsidRDefault="004F5BEB" w:rsidP="004F5BEB">
      <w:pPr>
        <w:shd w:val="clear" w:color="auto" w:fill="FFFFFF"/>
        <w:ind w:left="5" w:right="14"/>
        <w:rPr>
          <w:rFonts w:asciiTheme="minorHAnsi" w:hAnsiTheme="minorHAnsi"/>
        </w:rPr>
      </w:pPr>
      <w:r w:rsidRPr="00946928">
        <w:rPr>
          <w:rFonts w:asciiTheme="minorHAnsi" w:hAnsiTheme="minorHAnsi"/>
          <w:color w:val="000000"/>
          <w:spacing w:val="-1"/>
        </w:rPr>
        <w:t xml:space="preserve">Woda powinna spełniać wymagania PN-EN 1008. Bez badań laboratoryjnych </w:t>
      </w:r>
      <w:r w:rsidRPr="00946928">
        <w:rPr>
          <w:rFonts w:asciiTheme="minorHAnsi" w:hAnsiTheme="minorHAnsi"/>
          <w:color w:val="000000"/>
        </w:rPr>
        <w:t>można stosować wodę wodociągową pitną.</w:t>
      </w:r>
    </w:p>
    <w:p w:rsidR="004F5BEB" w:rsidRPr="00946928" w:rsidRDefault="004F5BEB" w:rsidP="004F5BEB">
      <w:pPr>
        <w:shd w:val="clear" w:color="auto" w:fill="FFFFFF"/>
        <w:tabs>
          <w:tab w:val="left" w:pos="427"/>
        </w:tabs>
        <w:ind w:left="14"/>
        <w:rPr>
          <w:rFonts w:asciiTheme="minorHAnsi" w:hAnsiTheme="minorHAnsi"/>
          <w:b/>
          <w:bCs/>
          <w:color w:val="000000"/>
          <w:spacing w:val="-7"/>
        </w:rPr>
      </w:pPr>
    </w:p>
    <w:p w:rsidR="004F5BEB" w:rsidRPr="00946928" w:rsidRDefault="004F5BEB" w:rsidP="004F5BEB">
      <w:pPr>
        <w:shd w:val="clear" w:color="auto" w:fill="FFFFFF"/>
        <w:tabs>
          <w:tab w:val="left" w:pos="427"/>
        </w:tabs>
        <w:ind w:left="14"/>
        <w:rPr>
          <w:rFonts w:asciiTheme="minorHAnsi" w:hAnsiTheme="minorHAnsi"/>
        </w:rPr>
      </w:pPr>
      <w:r w:rsidRPr="00946928">
        <w:rPr>
          <w:rFonts w:asciiTheme="minorHAnsi" w:hAnsiTheme="minorHAnsi"/>
          <w:b/>
          <w:bCs/>
          <w:color w:val="000000"/>
          <w:spacing w:val="-7"/>
        </w:rPr>
        <w:t>2.4.</w:t>
      </w:r>
      <w:r w:rsidRPr="00946928">
        <w:rPr>
          <w:rFonts w:asciiTheme="minorHAnsi" w:hAnsiTheme="minorHAnsi"/>
          <w:b/>
          <w:bCs/>
          <w:color w:val="000000"/>
        </w:rPr>
        <w:tab/>
      </w:r>
      <w:r w:rsidRPr="00946928">
        <w:rPr>
          <w:rFonts w:asciiTheme="minorHAnsi" w:hAnsiTheme="minorHAnsi"/>
          <w:b/>
          <w:bCs/>
          <w:color w:val="000000"/>
          <w:spacing w:val="-1"/>
        </w:rPr>
        <w:t>Wyroby izolacyjne</w:t>
      </w:r>
    </w:p>
    <w:p w:rsidR="004F5BEB" w:rsidRPr="00946928" w:rsidRDefault="004F5BEB" w:rsidP="004F5BEB">
      <w:pPr>
        <w:shd w:val="clear" w:color="auto" w:fill="FFFFFF"/>
        <w:ind w:left="5" w:right="14"/>
        <w:rPr>
          <w:rFonts w:asciiTheme="minorHAnsi" w:hAnsiTheme="minorHAnsi"/>
        </w:rPr>
      </w:pPr>
      <w:r w:rsidRPr="00946928">
        <w:rPr>
          <w:rFonts w:asciiTheme="minorHAnsi" w:hAnsiTheme="minorHAnsi"/>
          <w:color w:val="000000"/>
        </w:rPr>
        <w:t>Do izolacji murów oporowych należy stosować lepik asfaltowy stosowany na zimno wg PN-B-24620 oraz roztwór gruntujący i papę izolacyjną na włókninie o grubości min 5 mm spełniające wymagania polskich norm lub aprobat technicznych,</w:t>
      </w:r>
    </w:p>
    <w:p w:rsidR="004F5BEB" w:rsidRDefault="004F5BEB" w:rsidP="004F5BEB">
      <w:pPr>
        <w:shd w:val="clear" w:color="auto" w:fill="FFFFFF"/>
        <w:rPr>
          <w:rFonts w:asciiTheme="minorHAnsi" w:hAnsiTheme="minorHAnsi"/>
          <w:color w:val="000000"/>
        </w:rPr>
      </w:pPr>
      <w:r w:rsidRPr="00946928">
        <w:rPr>
          <w:rFonts w:asciiTheme="minorHAnsi" w:hAnsiTheme="minorHAnsi"/>
          <w:color w:val="000000"/>
        </w:rPr>
        <w:t>Zastosowane wyroby izolacyjne muszą być zaakceptowane przez Inżyniera.</w:t>
      </w:r>
    </w:p>
    <w:p w:rsidR="004F5BEB" w:rsidRPr="00946928" w:rsidRDefault="004F5BEB" w:rsidP="004F5BEB">
      <w:pPr>
        <w:pStyle w:val="Nagwek3"/>
        <w:rPr>
          <w:rFonts w:asciiTheme="minorHAnsi" w:hAnsiTheme="minorHAnsi"/>
        </w:rPr>
      </w:pPr>
      <w:r w:rsidRPr="00946928">
        <w:rPr>
          <w:rFonts w:asciiTheme="minorHAnsi" w:hAnsiTheme="minorHAnsi"/>
        </w:rPr>
        <w:t>3. sprzęt</w:t>
      </w:r>
    </w:p>
    <w:p w:rsidR="004F5BEB" w:rsidRPr="00946928" w:rsidRDefault="004F5BEB" w:rsidP="004F5BEB">
      <w:pPr>
        <w:rPr>
          <w:rFonts w:asciiTheme="minorHAnsi" w:hAnsiTheme="minorHAnsi"/>
          <w:b/>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3.1. Ogólne wymagania dotyczące sprzętu</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wymagania dotyczące sprzętu podano w STWiORB D-M-00.00.00 „Wymagania ogólne” pkt 3.</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3.2. Sprzęt do wykonania robót</w:t>
      </w:r>
    </w:p>
    <w:p w:rsidR="004F5BEB" w:rsidRPr="00946928" w:rsidRDefault="004F5BEB" w:rsidP="004F5BEB">
      <w:pPr>
        <w:rPr>
          <w:rFonts w:asciiTheme="minorHAnsi" w:hAnsiTheme="minorHAnsi"/>
          <w:b/>
          <w:bCs/>
          <w:color w:val="000000"/>
        </w:rPr>
      </w:pPr>
    </w:p>
    <w:p w:rsidR="004F5BEB" w:rsidRPr="00946928" w:rsidRDefault="004F5BEB" w:rsidP="004F5BEB">
      <w:pPr>
        <w:shd w:val="clear" w:color="auto" w:fill="FFFFFF"/>
        <w:ind w:left="5" w:right="14"/>
        <w:contextualSpacing/>
        <w:rPr>
          <w:rFonts w:asciiTheme="minorHAnsi" w:hAnsiTheme="minorHAnsi"/>
        </w:rPr>
      </w:pPr>
      <w:r w:rsidRPr="00946928">
        <w:rPr>
          <w:rFonts w:asciiTheme="minorHAnsi" w:hAnsiTheme="minorHAnsi"/>
          <w:color w:val="000000"/>
          <w:spacing w:val="-1"/>
        </w:rPr>
        <w:t xml:space="preserve">Wykonawca przystępujący do wykonania murów oporowych powinien wykazać się </w:t>
      </w:r>
      <w:r w:rsidRPr="00946928">
        <w:rPr>
          <w:rFonts w:asciiTheme="minorHAnsi" w:hAnsiTheme="minorHAnsi"/>
          <w:color w:val="000000"/>
        </w:rPr>
        <w:t>możliwością korzystania z następującego sprzętu:</w:t>
      </w:r>
    </w:p>
    <w:p w:rsidR="004F5BEB" w:rsidRPr="00946928" w:rsidRDefault="004F5BEB" w:rsidP="00790883">
      <w:pPr>
        <w:widowControl w:val="0"/>
        <w:numPr>
          <w:ilvl w:val="0"/>
          <w:numId w:val="54"/>
        </w:numPr>
        <w:shd w:val="clear" w:color="auto" w:fill="FFFFFF"/>
        <w:tabs>
          <w:tab w:val="left" w:pos="1133"/>
        </w:tabs>
        <w:overflowPunct/>
        <w:contextualSpacing/>
        <w:jc w:val="left"/>
        <w:textAlignment w:val="auto"/>
        <w:rPr>
          <w:rFonts w:asciiTheme="minorHAnsi" w:hAnsiTheme="minorHAnsi"/>
          <w:color w:val="000000"/>
        </w:rPr>
      </w:pPr>
      <w:r w:rsidRPr="00946928">
        <w:rPr>
          <w:rFonts w:asciiTheme="minorHAnsi" w:hAnsiTheme="minorHAnsi"/>
          <w:color w:val="000000"/>
          <w:spacing w:val="-1"/>
        </w:rPr>
        <w:t>koparek kołowych,</w:t>
      </w:r>
    </w:p>
    <w:p w:rsidR="004F5BEB" w:rsidRPr="00946928" w:rsidRDefault="004F5BEB" w:rsidP="00790883">
      <w:pPr>
        <w:widowControl w:val="0"/>
        <w:numPr>
          <w:ilvl w:val="0"/>
          <w:numId w:val="54"/>
        </w:numPr>
        <w:shd w:val="clear" w:color="auto" w:fill="FFFFFF"/>
        <w:tabs>
          <w:tab w:val="left" w:pos="1133"/>
        </w:tabs>
        <w:overflowPunct/>
        <w:contextualSpacing/>
        <w:jc w:val="left"/>
        <w:textAlignment w:val="auto"/>
        <w:rPr>
          <w:rFonts w:asciiTheme="minorHAnsi" w:hAnsiTheme="minorHAnsi"/>
          <w:color w:val="000000"/>
        </w:rPr>
      </w:pPr>
      <w:r w:rsidRPr="00946928">
        <w:rPr>
          <w:rFonts w:asciiTheme="minorHAnsi" w:hAnsiTheme="minorHAnsi"/>
          <w:color w:val="000000"/>
          <w:spacing w:val="-1"/>
        </w:rPr>
        <w:t>betoniarki przewoźnej,</w:t>
      </w:r>
    </w:p>
    <w:p w:rsidR="004F5BEB" w:rsidRPr="00946928" w:rsidRDefault="004F5BEB" w:rsidP="00790883">
      <w:pPr>
        <w:widowControl w:val="0"/>
        <w:numPr>
          <w:ilvl w:val="0"/>
          <w:numId w:val="54"/>
        </w:numPr>
        <w:shd w:val="clear" w:color="auto" w:fill="FFFFFF"/>
        <w:tabs>
          <w:tab w:val="left" w:pos="1133"/>
        </w:tabs>
        <w:overflowPunct/>
        <w:contextualSpacing/>
        <w:jc w:val="left"/>
        <w:textAlignment w:val="auto"/>
        <w:rPr>
          <w:rFonts w:asciiTheme="minorHAnsi" w:hAnsiTheme="minorHAnsi"/>
          <w:color w:val="000000"/>
        </w:rPr>
      </w:pPr>
      <w:r w:rsidRPr="00946928">
        <w:rPr>
          <w:rFonts w:asciiTheme="minorHAnsi" w:hAnsiTheme="minorHAnsi"/>
          <w:color w:val="000000"/>
          <w:spacing w:val="-1"/>
        </w:rPr>
        <w:t>wibratorów do betonu,</w:t>
      </w:r>
    </w:p>
    <w:p w:rsidR="004F5BEB" w:rsidRPr="00946928" w:rsidRDefault="004F5BEB" w:rsidP="00790883">
      <w:pPr>
        <w:widowControl w:val="0"/>
        <w:numPr>
          <w:ilvl w:val="0"/>
          <w:numId w:val="54"/>
        </w:numPr>
        <w:shd w:val="clear" w:color="auto" w:fill="FFFFFF"/>
        <w:tabs>
          <w:tab w:val="left" w:pos="1133"/>
        </w:tabs>
        <w:overflowPunct/>
        <w:contextualSpacing/>
        <w:jc w:val="left"/>
        <w:textAlignment w:val="auto"/>
        <w:rPr>
          <w:rFonts w:asciiTheme="minorHAnsi" w:hAnsiTheme="minorHAnsi"/>
          <w:color w:val="000000"/>
        </w:rPr>
      </w:pPr>
      <w:r w:rsidRPr="00946928">
        <w:rPr>
          <w:rFonts w:asciiTheme="minorHAnsi" w:hAnsiTheme="minorHAnsi"/>
          <w:color w:val="000000"/>
          <w:spacing w:val="-1"/>
        </w:rPr>
        <w:t>przewoźnego zbiornika na wodę,</w:t>
      </w:r>
    </w:p>
    <w:p w:rsidR="004F5BEB" w:rsidRPr="00946928" w:rsidRDefault="004F5BEB" w:rsidP="00790883">
      <w:pPr>
        <w:widowControl w:val="0"/>
        <w:numPr>
          <w:ilvl w:val="0"/>
          <w:numId w:val="54"/>
        </w:numPr>
        <w:shd w:val="clear" w:color="auto" w:fill="FFFFFF"/>
        <w:tabs>
          <w:tab w:val="left" w:pos="1133"/>
        </w:tabs>
        <w:overflowPunct/>
        <w:contextualSpacing/>
        <w:jc w:val="left"/>
        <w:textAlignment w:val="auto"/>
        <w:rPr>
          <w:rFonts w:asciiTheme="minorHAnsi" w:hAnsiTheme="minorHAnsi"/>
          <w:color w:val="000000"/>
        </w:rPr>
      </w:pPr>
      <w:r w:rsidRPr="00946928">
        <w:rPr>
          <w:rFonts w:asciiTheme="minorHAnsi" w:hAnsiTheme="minorHAnsi"/>
          <w:color w:val="000000"/>
          <w:spacing w:val="-3"/>
        </w:rPr>
        <w:t>żurawia,</w:t>
      </w:r>
    </w:p>
    <w:p w:rsidR="004F5BEB" w:rsidRPr="00946928" w:rsidRDefault="004F5BEB" w:rsidP="00790883">
      <w:pPr>
        <w:widowControl w:val="0"/>
        <w:numPr>
          <w:ilvl w:val="0"/>
          <w:numId w:val="54"/>
        </w:numPr>
        <w:shd w:val="clear" w:color="auto" w:fill="FFFFFF"/>
        <w:tabs>
          <w:tab w:val="left" w:pos="1133"/>
        </w:tabs>
        <w:overflowPunct/>
        <w:contextualSpacing/>
        <w:jc w:val="left"/>
        <w:textAlignment w:val="auto"/>
        <w:rPr>
          <w:rFonts w:asciiTheme="minorHAnsi" w:hAnsiTheme="minorHAnsi"/>
          <w:color w:val="000000"/>
        </w:rPr>
      </w:pPr>
      <w:r w:rsidRPr="00946928">
        <w:rPr>
          <w:rFonts w:asciiTheme="minorHAnsi" w:hAnsiTheme="minorHAnsi"/>
          <w:color w:val="000000"/>
          <w:spacing w:val="-2"/>
        </w:rPr>
        <w:t>ładowarki, itp</w:t>
      </w:r>
    </w:p>
    <w:p w:rsidR="004F5BEB" w:rsidRPr="00946928" w:rsidRDefault="004F5BEB" w:rsidP="004F5BEB">
      <w:pPr>
        <w:pStyle w:val="Nagwek3"/>
        <w:rPr>
          <w:rFonts w:asciiTheme="minorHAnsi" w:hAnsiTheme="minorHAnsi"/>
        </w:rPr>
      </w:pPr>
      <w:r w:rsidRPr="00946928">
        <w:rPr>
          <w:rFonts w:asciiTheme="minorHAnsi" w:hAnsiTheme="minorHAnsi"/>
        </w:rPr>
        <w:t>4. transport</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4.1. Ogólne wymagania dotyczące transportu</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wymagania dotyczące transportu podano w STWiORB D-M-00.00.00 „Wymagania ogólne” pkt 4.</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4.2. Transport wyrobów</w:t>
      </w:r>
    </w:p>
    <w:p w:rsidR="004F5BEB" w:rsidRPr="00946928" w:rsidRDefault="004F5BEB" w:rsidP="004F5BEB">
      <w:pPr>
        <w:rPr>
          <w:rFonts w:asciiTheme="minorHAnsi" w:hAnsiTheme="minorHAnsi"/>
          <w:b/>
          <w:bCs/>
          <w:color w:val="000000"/>
        </w:rPr>
      </w:pP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spacing w:val="-1"/>
        </w:rPr>
        <w:t>Transport wyrobów i wyrobów winien być wykonywany środkami transportu odpowiednimi dla danego asortymentu.</w:t>
      </w:r>
    </w:p>
    <w:p w:rsidR="004F5BEB" w:rsidRPr="00946928" w:rsidRDefault="004F5BEB" w:rsidP="004F5BEB">
      <w:pPr>
        <w:shd w:val="clear" w:color="auto" w:fill="FFFFFF"/>
        <w:ind w:left="14"/>
        <w:rPr>
          <w:rFonts w:asciiTheme="minorHAnsi" w:hAnsiTheme="minorHAnsi"/>
        </w:rPr>
      </w:pPr>
      <w:r w:rsidRPr="00946928">
        <w:rPr>
          <w:rFonts w:asciiTheme="minorHAnsi" w:hAnsiTheme="minorHAnsi"/>
          <w:color w:val="000000"/>
        </w:rPr>
        <w:t xml:space="preserve">Kruszywo można przewozić dowolnymi środkami transportu w warunkach zabezpieczających je przed zanieczyszczeniem, zmieszaniem z innymi kruszywami </w:t>
      </w:r>
      <w:r w:rsidRPr="00946928">
        <w:rPr>
          <w:rFonts w:asciiTheme="minorHAnsi" w:hAnsiTheme="minorHAnsi"/>
          <w:color w:val="000000"/>
          <w:spacing w:val="-1"/>
        </w:rPr>
        <w:t>i nadmiernym zawilgoceniem.</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 xml:space="preserve">Transport cementu musi odbywać się w sposób chroniący go przed zawilgoceniem, </w:t>
      </w:r>
      <w:r w:rsidRPr="00946928">
        <w:rPr>
          <w:rFonts w:asciiTheme="minorHAnsi" w:hAnsiTheme="minorHAnsi"/>
          <w:color w:val="000000"/>
          <w:spacing w:val="-1"/>
        </w:rPr>
        <w:t>zbryleniem i zanieczyszczeniem</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 xml:space="preserve">Transport mieszanki betonowej powinien odbywać się zgodnie z wymaganiami </w:t>
      </w:r>
      <w:r w:rsidRPr="00946928">
        <w:rPr>
          <w:rFonts w:asciiTheme="minorHAnsi" w:hAnsiTheme="minorHAnsi"/>
          <w:color w:val="000000"/>
          <w:spacing w:val="-2"/>
        </w:rPr>
        <w:t>PN-EN 206-1.</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Drewno i elementy deskowania można przewozić dowolnymi środkami transportu w warunkach zabezpieczających je przed uszkodzeniami.</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Elementy prefabrykowane można przewozić dowolnymi środkami transportu w warunkach zabezpieczających je przed uszkodzeniami.</w:t>
      </w:r>
    </w:p>
    <w:p w:rsidR="004F5BEB" w:rsidRPr="00946928" w:rsidRDefault="004F5BEB" w:rsidP="004F5BEB">
      <w:pPr>
        <w:pStyle w:val="Nagwek3"/>
        <w:rPr>
          <w:rFonts w:asciiTheme="minorHAnsi" w:hAnsiTheme="minorHAnsi"/>
        </w:rPr>
      </w:pPr>
      <w:r w:rsidRPr="00946928">
        <w:rPr>
          <w:rFonts w:asciiTheme="minorHAnsi" w:hAnsiTheme="minorHAnsi"/>
        </w:rPr>
        <w:lastRenderedPageBreak/>
        <w:t>5. wykonanie robót</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5.1. Ogólne zasady wykonania robót</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zasady wykonania robót podano w STWiORB D-M-00.00.00 „Wymagania ogólne” pkt 5.</w:t>
      </w:r>
    </w:p>
    <w:p w:rsidR="004F5BEB" w:rsidRPr="00946928" w:rsidRDefault="004F5BEB" w:rsidP="004F5BEB">
      <w:pPr>
        <w:rPr>
          <w:rFonts w:asciiTheme="minorHAnsi" w:hAnsiTheme="minorHAnsi"/>
          <w:color w:val="000000"/>
        </w:rPr>
      </w:pPr>
    </w:p>
    <w:p w:rsidR="004F5BEB" w:rsidRPr="00946928" w:rsidRDefault="004F5BEB" w:rsidP="004F5BEB">
      <w:pPr>
        <w:shd w:val="clear" w:color="auto" w:fill="FFFFFF"/>
        <w:ind w:left="10"/>
        <w:rPr>
          <w:rFonts w:asciiTheme="minorHAnsi" w:hAnsiTheme="minorHAnsi"/>
        </w:rPr>
      </w:pPr>
      <w:r w:rsidRPr="00946928">
        <w:rPr>
          <w:rFonts w:asciiTheme="minorHAnsi" w:hAnsiTheme="minorHAnsi"/>
          <w:b/>
          <w:bCs/>
          <w:color w:val="000000"/>
        </w:rPr>
        <w:t>5.2. Odwodnienie wykopu</w:t>
      </w:r>
    </w:p>
    <w:p w:rsidR="004F5BEB" w:rsidRPr="00946928" w:rsidRDefault="004F5BEB" w:rsidP="004F5BEB">
      <w:pPr>
        <w:shd w:val="clear" w:color="auto" w:fill="FFFFFF"/>
        <w:ind w:left="5"/>
        <w:rPr>
          <w:rFonts w:asciiTheme="minorHAnsi" w:hAnsiTheme="minorHAnsi"/>
          <w:color w:val="000000"/>
        </w:rPr>
      </w:pP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 xml:space="preserve">Niezależnie od budowy urządzeń stanowiących elementy systemów </w:t>
      </w:r>
      <w:r w:rsidRPr="00946928">
        <w:rPr>
          <w:rFonts w:asciiTheme="minorHAnsi" w:hAnsiTheme="minorHAnsi"/>
          <w:color w:val="000000"/>
          <w:spacing w:val="-1"/>
        </w:rPr>
        <w:t xml:space="preserve">odwadniających ujętych w Rysunkach, Wykonawca powinien wykonać urządzenia, które </w:t>
      </w:r>
      <w:r w:rsidRPr="00946928">
        <w:rPr>
          <w:rFonts w:asciiTheme="minorHAnsi" w:hAnsiTheme="minorHAnsi"/>
          <w:color w:val="000000"/>
        </w:rPr>
        <w:t xml:space="preserve">zapewniają odprowadzenie wód gruntowych i opadowych oraz wód stojących poza obszar </w:t>
      </w:r>
      <w:r w:rsidRPr="00946928">
        <w:rPr>
          <w:rFonts w:asciiTheme="minorHAnsi" w:hAnsiTheme="minorHAnsi"/>
          <w:color w:val="000000"/>
          <w:spacing w:val="-1"/>
        </w:rPr>
        <w:t xml:space="preserve">robót ziemnych, tak aby zabezpieczyć grunty przed przewilgoceniem i nawodnieniem. Stąd </w:t>
      </w:r>
      <w:r w:rsidRPr="00946928">
        <w:rPr>
          <w:rFonts w:asciiTheme="minorHAnsi" w:hAnsiTheme="minorHAnsi"/>
          <w:color w:val="000000"/>
          <w:spacing w:val="-2"/>
        </w:rPr>
        <w:t xml:space="preserve">obowiązek takiego wykonywania robót, aby powierzchniom wykopów nadać w całym okresie </w:t>
      </w:r>
      <w:r w:rsidRPr="00946928">
        <w:rPr>
          <w:rFonts w:asciiTheme="minorHAnsi" w:hAnsiTheme="minorHAnsi"/>
          <w:color w:val="000000"/>
        </w:rPr>
        <w:t>trwania robót spadki poprzeczne i podłużne zapewniające prawidłowe odwodnienie.</w:t>
      </w:r>
    </w:p>
    <w:p w:rsidR="004F5BEB" w:rsidRPr="00946928" w:rsidRDefault="004F5BEB" w:rsidP="004F5BEB">
      <w:pPr>
        <w:shd w:val="clear" w:color="auto" w:fill="FFFFFF"/>
        <w:ind w:left="5" w:right="5"/>
        <w:rPr>
          <w:rFonts w:asciiTheme="minorHAnsi" w:hAnsiTheme="minorHAnsi"/>
        </w:rPr>
      </w:pPr>
      <w:r w:rsidRPr="00946928">
        <w:rPr>
          <w:rFonts w:asciiTheme="minorHAnsi" w:hAnsiTheme="minorHAnsi"/>
          <w:color w:val="000000"/>
        </w:rPr>
        <w:t xml:space="preserve">Jeżeli wskutek zaniedbania Wykonawcy grunty ulegną nawodnieniu, które spowoduje ich długotrwałą nieprzydatność, Wykonawca ma obowiązek usunięcia tych </w:t>
      </w:r>
      <w:r w:rsidRPr="00946928">
        <w:rPr>
          <w:rFonts w:asciiTheme="minorHAnsi" w:hAnsiTheme="minorHAnsi"/>
          <w:color w:val="000000"/>
          <w:spacing w:val="-1"/>
        </w:rPr>
        <w:t xml:space="preserve">gruntów i zastąpienie gruntami przydatnymi na własny koszt bez jakichkolwiek dodatkowych </w:t>
      </w:r>
      <w:r w:rsidRPr="00946928">
        <w:rPr>
          <w:rFonts w:asciiTheme="minorHAnsi" w:hAnsiTheme="minorHAnsi"/>
          <w:color w:val="000000"/>
        </w:rPr>
        <w:t>opłat ze strony Zamawiającego.</w:t>
      </w:r>
    </w:p>
    <w:p w:rsidR="004F5BEB" w:rsidRPr="00946928" w:rsidRDefault="004F5BEB" w:rsidP="004F5BEB">
      <w:pPr>
        <w:shd w:val="clear" w:color="auto" w:fill="FFFFFF"/>
        <w:ind w:left="14"/>
        <w:rPr>
          <w:rFonts w:asciiTheme="minorHAnsi" w:hAnsiTheme="minorHAnsi"/>
          <w:b/>
          <w:bCs/>
          <w:color w:val="000000"/>
        </w:rPr>
      </w:pPr>
    </w:p>
    <w:p w:rsidR="004F5BEB" w:rsidRPr="00946928" w:rsidRDefault="004F5BEB" w:rsidP="004F5BEB">
      <w:pPr>
        <w:shd w:val="clear" w:color="auto" w:fill="FFFFFF"/>
        <w:ind w:left="14"/>
        <w:rPr>
          <w:rFonts w:asciiTheme="minorHAnsi" w:hAnsiTheme="minorHAnsi"/>
        </w:rPr>
      </w:pPr>
      <w:r w:rsidRPr="00946928">
        <w:rPr>
          <w:rFonts w:asciiTheme="minorHAnsi" w:hAnsiTheme="minorHAnsi"/>
          <w:b/>
          <w:bCs/>
          <w:color w:val="000000"/>
        </w:rPr>
        <w:t>5.3 Zasady prowadzenia robót</w:t>
      </w:r>
    </w:p>
    <w:p w:rsidR="004F5BEB" w:rsidRPr="00946928" w:rsidRDefault="004F5BEB" w:rsidP="004F5BEB">
      <w:pPr>
        <w:shd w:val="clear" w:color="auto" w:fill="FFFFFF"/>
        <w:ind w:left="10" w:right="5"/>
        <w:rPr>
          <w:rFonts w:asciiTheme="minorHAnsi" w:hAnsiTheme="minorHAnsi"/>
        </w:rPr>
      </w:pPr>
      <w:r w:rsidRPr="00946928">
        <w:rPr>
          <w:rFonts w:asciiTheme="minorHAnsi" w:hAnsiTheme="minorHAnsi"/>
          <w:color w:val="000000"/>
        </w:rPr>
        <w:t>Sposób wykonania skarp wykopu powinien gwarantować ich stateczność w całym okresie prowadzenia robót, a naprawa uszkodzeń, wynikających z nieprawidłowego ukształtowania skarp ich podcięcie lub innych odstępstw od wymagań określonych w Rysunkach obciąża Wykonawcę.</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Jeżeli grunt jest zamarznięty nie należy odspajać go do głębokości około 0,5 metra powyżej projektowanych rzędnych robót ziemnych.</w:t>
      </w:r>
    </w:p>
    <w:p w:rsidR="004F5BEB" w:rsidRPr="00946928" w:rsidRDefault="004F5BEB" w:rsidP="004F5BEB">
      <w:pPr>
        <w:shd w:val="clear" w:color="auto" w:fill="FFFFFF"/>
        <w:ind w:right="10"/>
        <w:rPr>
          <w:rFonts w:asciiTheme="minorHAnsi" w:hAnsiTheme="minorHAnsi"/>
        </w:rPr>
      </w:pPr>
      <w:r w:rsidRPr="00946928">
        <w:rPr>
          <w:rFonts w:asciiTheme="minorHAnsi" w:hAnsiTheme="minorHAnsi"/>
          <w:color w:val="000000"/>
        </w:rPr>
        <w:t>Należy zabezpieczyć drzewa znajdujące się na terenie przed uszkodzeniem i zniszczeniem.</w:t>
      </w:r>
    </w:p>
    <w:p w:rsidR="004F5BEB" w:rsidRPr="00946928" w:rsidRDefault="004F5BEB" w:rsidP="004F5BEB">
      <w:pPr>
        <w:shd w:val="clear" w:color="auto" w:fill="FFFFFF"/>
        <w:tabs>
          <w:tab w:val="left" w:pos="427"/>
        </w:tabs>
        <w:ind w:left="14"/>
        <w:rPr>
          <w:rFonts w:asciiTheme="minorHAnsi" w:hAnsiTheme="minorHAnsi"/>
          <w:b/>
          <w:bCs/>
          <w:color w:val="000000"/>
          <w:spacing w:val="-7"/>
        </w:rPr>
      </w:pPr>
    </w:p>
    <w:p w:rsidR="004F5BEB" w:rsidRPr="00946928" w:rsidRDefault="004F5BEB" w:rsidP="004F5BEB">
      <w:pPr>
        <w:shd w:val="clear" w:color="auto" w:fill="FFFFFF"/>
        <w:tabs>
          <w:tab w:val="left" w:pos="427"/>
        </w:tabs>
        <w:ind w:left="14"/>
        <w:rPr>
          <w:rFonts w:asciiTheme="minorHAnsi" w:hAnsiTheme="minorHAnsi"/>
        </w:rPr>
      </w:pPr>
      <w:r w:rsidRPr="00946928">
        <w:rPr>
          <w:rFonts w:asciiTheme="minorHAnsi" w:hAnsiTheme="minorHAnsi"/>
          <w:b/>
          <w:bCs/>
          <w:color w:val="000000"/>
          <w:spacing w:val="-7"/>
        </w:rPr>
        <w:t>5.4.</w:t>
      </w:r>
      <w:r w:rsidRPr="00946928">
        <w:rPr>
          <w:rFonts w:asciiTheme="minorHAnsi" w:hAnsiTheme="minorHAnsi"/>
          <w:b/>
          <w:bCs/>
          <w:color w:val="000000"/>
        </w:rPr>
        <w:tab/>
      </w:r>
      <w:r w:rsidRPr="00946928">
        <w:rPr>
          <w:rFonts w:asciiTheme="minorHAnsi" w:hAnsiTheme="minorHAnsi"/>
          <w:b/>
          <w:bCs/>
          <w:color w:val="000000"/>
          <w:spacing w:val="-1"/>
        </w:rPr>
        <w:t>Przygotowanie robót.</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Wykonawca wytycza w terenie lokalizację projektowanych murów metodami geodezyjnymi.</w:t>
      </w:r>
    </w:p>
    <w:p w:rsidR="004F5BEB" w:rsidRPr="00946928" w:rsidRDefault="004F5BEB" w:rsidP="004F5BEB">
      <w:pPr>
        <w:shd w:val="clear" w:color="auto" w:fill="FFFFFF"/>
        <w:tabs>
          <w:tab w:val="left" w:pos="427"/>
        </w:tabs>
        <w:ind w:left="14"/>
        <w:rPr>
          <w:rFonts w:asciiTheme="minorHAnsi" w:hAnsiTheme="minorHAnsi"/>
          <w:b/>
          <w:bCs/>
          <w:color w:val="000000"/>
          <w:spacing w:val="-7"/>
        </w:rPr>
      </w:pPr>
    </w:p>
    <w:p w:rsidR="004F5BEB" w:rsidRPr="00946928" w:rsidRDefault="004F5BEB" w:rsidP="004F5BEB">
      <w:pPr>
        <w:shd w:val="clear" w:color="auto" w:fill="FFFFFF"/>
        <w:tabs>
          <w:tab w:val="left" w:pos="427"/>
        </w:tabs>
        <w:ind w:left="14"/>
        <w:rPr>
          <w:rFonts w:asciiTheme="minorHAnsi" w:hAnsiTheme="minorHAnsi"/>
        </w:rPr>
      </w:pPr>
      <w:r w:rsidRPr="00946928">
        <w:rPr>
          <w:rFonts w:asciiTheme="minorHAnsi" w:hAnsiTheme="minorHAnsi"/>
          <w:b/>
          <w:bCs/>
          <w:color w:val="000000"/>
          <w:spacing w:val="-7"/>
        </w:rPr>
        <w:t>5.5.</w:t>
      </w:r>
      <w:r w:rsidRPr="00946928">
        <w:rPr>
          <w:rFonts w:asciiTheme="minorHAnsi" w:hAnsiTheme="minorHAnsi"/>
          <w:b/>
          <w:bCs/>
          <w:color w:val="000000"/>
        </w:rPr>
        <w:tab/>
      </w:r>
      <w:r w:rsidRPr="00946928">
        <w:rPr>
          <w:rFonts w:asciiTheme="minorHAnsi" w:hAnsiTheme="minorHAnsi"/>
          <w:b/>
          <w:bCs/>
          <w:color w:val="000000"/>
          <w:spacing w:val="-1"/>
        </w:rPr>
        <w:t>Zakres robót</w:t>
      </w:r>
    </w:p>
    <w:p w:rsidR="004F5BEB" w:rsidRPr="00946928" w:rsidRDefault="004F5BEB" w:rsidP="004F5BEB">
      <w:pPr>
        <w:shd w:val="clear" w:color="auto" w:fill="FFFFFF"/>
        <w:ind w:left="14"/>
        <w:rPr>
          <w:rFonts w:asciiTheme="minorHAnsi" w:hAnsiTheme="minorHAnsi"/>
        </w:rPr>
      </w:pPr>
      <w:r w:rsidRPr="00946928">
        <w:rPr>
          <w:rFonts w:asciiTheme="minorHAnsi" w:hAnsiTheme="minorHAnsi"/>
          <w:b/>
          <w:bCs/>
          <w:color w:val="000000"/>
        </w:rPr>
        <w:t>5.5.1. Przygotowanie podłoża</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spacing w:val="-1"/>
        </w:rPr>
        <w:t xml:space="preserve">Po wykonaniu wykopu fundamentowego Kierownik Budowy i Inspektor Nadzoru </w:t>
      </w:r>
      <w:r w:rsidRPr="00946928">
        <w:rPr>
          <w:rFonts w:asciiTheme="minorHAnsi" w:hAnsiTheme="minorHAnsi"/>
          <w:color w:val="000000"/>
        </w:rPr>
        <w:t>winni potwierdzić zgodność rzeczywistych warunków posadowienia z założonymi w Dokumentacji Projektowej. Po odbiorze wykopów fundamentowych podłoże należy wyrównać i zagęścić powierzchniowo.</w:t>
      </w:r>
    </w:p>
    <w:p w:rsidR="004F5BEB" w:rsidRPr="00946928" w:rsidRDefault="004F5BEB" w:rsidP="004F5BEB">
      <w:pPr>
        <w:shd w:val="clear" w:color="auto" w:fill="FFFFFF"/>
        <w:tabs>
          <w:tab w:val="left" w:pos="547"/>
        </w:tabs>
        <w:ind w:left="14"/>
        <w:rPr>
          <w:rFonts w:asciiTheme="minorHAnsi" w:hAnsiTheme="minorHAnsi"/>
        </w:rPr>
      </w:pPr>
      <w:r w:rsidRPr="00946928">
        <w:rPr>
          <w:rFonts w:asciiTheme="minorHAnsi" w:hAnsiTheme="minorHAnsi"/>
          <w:b/>
          <w:bCs/>
          <w:color w:val="000000"/>
          <w:spacing w:val="-6"/>
        </w:rPr>
        <w:t>5.5.2</w:t>
      </w:r>
      <w:r w:rsidRPr="00946928">
        <w:rPr>
          <w:rFonts w:asciiTheme="minorHAnsi" w:hAnsiTheme="minorHAnsi"/>
          <w:b/>
          <w:bCs/>
          <w:color w:val="000000"/>
        </w:rPr>
        <w:tab/>
        <w:t>Wymagania dotyczące zagęszczenia</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t>Grunt pod warstwę betonu C</w:t>
      </w:r>
      <w:r w:rsidR="00464FC9">
        <w:rPr>
          <w:rFonts w:asciiTheme="minorHAnsi" w:hAnsiTheme="minorHAnsi"/>
          <w:color w:val="000000"/>
          <w:spacing w:val="-1"/>
        </w:rPr>
        <w:t>12</w:t>
      </w:r>
      <w:r w:rsidRPr="00946928">
        <w:rPr>
          <w:rFonts w:asciiTheme="minorHAnsi" w:hAnsiTheme="minorHAnsi"/>
          <w:color w:val="000000"/>
          <w:spacing w:val="-1"/>
        </w:rPr>
        <w:t>/1</w:t>
      </w:r>
      <w:r w:rsidR="00464FC9">
        <w:rPr>
          <w:rFonts w:asciiTheme="minorHAnsi" w:hAnsiTheme="minorHAnsi"/>
          <w:color w:val="000000"/>
          <w:spacing w:val="-1"/>
        </w:rPr>
        <w:t>5</w:t>
      </w:r>
      <w:r w:rsidRPr="00946928">
        <w:rPr>
          <w:rFonts w:asciiTheme="minorHAnsi" w:hAnsiTheme="minorHAnsi"/>
          <w:color w:val="000000"/>
          <w:spacing w:val="-1"/>
        </w:rPr>
        <w:t xml:space="preserve"> winien być zagęszczony do I</w:t>
      </w:r>
      <w:r w:rsidRPr="00946928">
        <w:rPr>
          <w:rFonts w:asciiTheme="minorHAnsi" w:hAnsiTheme="minorHAnsi"/>
          <w:color w:val="000000"/>
          <w:spacing w:val="-1"/>
          <w:vertAlign w:val="subscript"/>
        </w:rPr>
        <w:t>s</w:t>
      </w:r>
      <w:r w:rsidRPr="00946928">
        <w:rPr>
          <w:rFonts w:asciiTheme="minorHAnsi" w:hAnsiTheme="minorHAnsi"/>
          <w:color w:val="000000"/>
          <w:spacing w:val="-1"/>
        </w:rPr>
        <w:t>&gt;1,00.</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Jeżeli wartości wskaźnika zagęszczenia nie mogą być osiągnięte przez bezpośrednie zagęszczenie gruntów rodzimych, to należy podjąć środki w celu ulepszenia gruntów, umożliwiającego uzyskanie wymaganych wartości wskaźnika zagęszczenia. Możliwe do zastosowania środki, o ile nie są określone w Specyfikacji, proponuje Wykonawca i przedstawia do akceptacji Inżynierowi.</w:t>
      </w:r>
    </w:p>
    <w:p w:rsidR="004F5BEB" w:rsidRPr="00946928" w:rsidRDefault="004F5BEB" w:rsidP="004F5BEB">
      <w:pPr>
        <w:shd w:val="clear" w:color="auto" w:fill="FFFFFF"/>
        <w:tabs>
          <w:tab w:val="left" w:pos="547"/>
        </w:tabs>
        <w:ind w:left="14"/>
        <w:rPr>
          <w:rFonts w:asciiTheme="minorHAnsi" w:hAnsiTheme="minorHAnsi"/>
          <w:b/>
          <w:bCs/>
          <w:color w:val="000000"/>
          <w:spacing w:val="-6"/>
        </w:rPr>
      </w:pPr>
    </w:p>
    <w:p w:rsidR="004F5BEB" w:rsidRPr="00946928" w:rsidRDefault="004F5BEB" w:rsidP="004F5BEB">
      <w:pPr>
        <w:shd w:val="clear" w:color="auto" w:fill="FFFFFF"/>
        <w:tabs>
          <w:tab w:val="left" w:pos="547"/>
        </w:tabs>
        <w:ind w:left="14"/>
        <w:rPr>
          <w:rFonts w:asciiTheme="minorHAnsi" w:hAnsiTheme="minorHAnsi"/>
        </w:rPr>
      </w:pPr>
      <w:r w:rsidRPr="00946928">
        <w:rPr>
          <w:rFonts w:asciiTheme="minorHAnsi" w:hAnsiTheme="minorHAnsi"/>
          <w:b/>
          <w:bCs/>
          <w:color w:val="000000"/>
          <w:spacing w:val="-6"/>
        </w:rPr>
        <w:t>5.5.3</w:t>
      </w:r>
      <w:r w:rsidRPr="00946928">
        <w:rPr>
          <w:rFonts w:asciiTheme="minorHAnsi" w:hAnsiTheme="minorHAnsi"/>
          <w:b/>
          <w:bCs/>
          <w:color w:val="000000"/>
        </w:rPr>
        <w:tab/>
        <w:t>Wykonanie deskowania</w:t>
      </w:r>
    </w:p>
    <w:p w:rsidR="004F5BEB" w:rsidRPr="00946928" w:rsidRDefault="004F5BEB" w:rsidP="004F5BEB">
      <w:pPr>
        <w:shd w:val="clear" w:color="auto" w:fill="FFFFFF"/>
        <w:ind w:left="5" w:right="5"/>
        <w:rPr>
          <w:rFonts w:asciiTheme="minorHAnsi" w:hAnsiTheme="minorHAnsi"/>
        </w:rPr>
      </w:pPr>
      <w:r w:rsidRPr="00946928">
        <w:rPr>
          <w:rFonts w:asciiTheme="minorHAnsi" w:hAnsiTheme="minorHAnsi"/>
          <w:color w:val="000000"/>
          <w:spacing w:val="-1"/>
        </w:rPr>
        <w:t xml:space="preserve">Deskowanie powinno być wykonane zgodnie z wymaganiami PN-B-06251. </w:t>
      </w:r>
      <w:r w:rsidRPr="00946928">
        <w:rPr>
          <w:rFonts w:asciiTheme="minorHAnsi" w:hAnsiTheme="minorHAnsi"/>
          <w:color w:val="000000"/>
        </w:rPr>
        <w:t xml:space="preserve">Deskowanie powinno zapewnić sztywność i niezmienność układu oraz bezpieczeństwo konstrukcji. Deskowanie powinno być skonstruowane w sposób umożliwiający łatwy jego montaż i demontaż. Przed wypełnieniem masą betonową, deskowanie powinno być sprawdzone, aby wykluczyć wyciek zaprawy i możliwość zniekształceń lub odchyleń </w:t>
      </w:r>
      <w:r w:rsidRPr="00946928">
        <w:rPr>
          <w:rFonts w:asciiTheme="minorHAnsi" w:hAnsiTheme="minorHAnsi"/>
          <w:color w:val="000000"/>
          <w:spacing w:val="-1"/>
        </w:rPr>
        <w:t xml:space="preserve">w wymiarach betonowej konstrukcji. Deskowania nieimpregnowane przed wypełnieniem ich </w:t>
      </w:r>
      <w:r w:rsidRPr="00946928">
        <w:rPr>
          <w:rFonts w:asciiTheme="minorHAnsi" w:hAnsiTheme="minorHAnsi"/>
          <w:color w:val="000000"/>
        </w:rPr>
        <w:t>masą betonową powinny być obficie zlewane wodą.</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b/>
          <w:bCs/>
          <w:color w:val="000000"/>
        </w:rPr>
        <w:t>5.5.4. Wykonanie muru oporowego z prefabrykowanych elementów żelbetowych</w:t>
      </w:r>
    </w:p>
    <w:p w:rsidR="004F5BEB" w:rsidRPr="00946928" w:rsidRDefault="004F5BEB" w:rsidP="004F5BEB">
      <w:pPr>
        <w:shd w:val="clear" w:color="auto" w:fill="FFFFFF"/>
        <w:ind w:left="5" w:right="5"/>
        <w:rPr>
          <w:rFonts w:asciiTheme="minorHAnsi" w:hAnsiTheme="minorHAnsi"/>
        </w:rPr>
      </w:pPr>
      <w:r w:rsidRPr="00946928">
        <w:rPr>
          <w:rFonts w:asciiTheme="minorHAnsi" w:hAnsiTheme="minorHAnsi"/>
          <w:color w:val="000000"/>
          <w:spacing w:val="-1"/>
        </w:rPr>
        <w:t>W deskowaniu należ</w:t>
      </w:r>
      <w:r w:rsidR="00464FC9">
        <w:rPr>
          <w:rFonts w:asciiTheme="minorHAnsi" w:hAnsiTheme="minorHAnsi"/>
          <w:color w:val="000000"/>
          <w:spacing w:val="-1"/>
        </w:rPr>
        <w:t>y ułożyć warstwę betonu klasy C12</w:t>
      </w:r>
      <w:r w:rsidRPr="00946928">
        <w:rPr>
          <w:rFonts w:asciiTheme="minorHAnsi" w:hAnsiTheme="minorHAnsi"/>
          <w:color w:val="000000"/>
          <w:spacing w:val="-1"/>
        </w:rPr>
        <w:t>/1</w:t>
      </w:r>
      <w:r w:rsidR="00464FC9">
        <w:rPr>
          <w:rFonts w:asciiTheme="minorHAnsi" w:hAnsiTheme="minorHAnsi"/>
          <w:color w:val="000000"/>
          <w:spacing w:val="-1"/>
        </w:rPr>
        <w:t>5</w:t>
      </w:r>
      <w:r w:rsidRPr="00946928">
        <w:rPr>
          <w:rFonts w:asciiTheme="minorHAnsi" w:hAnsiTheme="minorHAnsi"/>
          <w:color w:val="000000"/>
          <w:spacing w:val="-1"/>
        </w:rPr>
        <w:t xml:space="preserve"> i zagęścić. Zagęszczenie </w:t>
      </w:r>
      <w:r w:rsidRPr="00946928">
        <w:rPr>
          <w:rFonts w:asciiTheme="minorHAnsi" w:hAnsiTheme="minorHAnsi"/>
          <w:color w:val="000000"/>
        </w:rPr>
        <w:t>należy zakończyć przed początkiem wiązania cementu.</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rPr>
        <w:t>Beton należy utrzymywać w stanie wilgotnym przez 7 dni.</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 xml:space="preserve">Elementy prefabrykowane należy posadowić na podsypce cementowo-piaskowej </w:t>
      </w:r>
      <w:r w:rsidRPr="00946928">
        <w:rPr>
          <w:rFonts w:asciiTheme="minorHAnsi" w:hAnsiTheme="minorHAnsi"/>
          <w:color w:val="000000"/>
          <w:spacing w:val="-2"/>
        </w:rPr>
        <w:t xml:space="preserve">gr. 5 cm oraz warstwie betonu C8/10 gr. 15cm. Prace związane z ,montażem elementów </w:t>
      </w:r>
      <w:r w:rsidRPr="00946928">
        <w:rPr>
          <w:rFonts w:asciiTheme="minorHAnsi" w:hAnsiTheme="minorHAnsi"/>
          <w:color w:val="000000"/>
          <w:spacing w:val="-1"/>
        </w:rPr>
        <w:t xml:space="preserve">prefabrykowanych i wykonaniem muru oporowego należy wykonywać zgodnie z zaleceniami </w:t>
      </w:r>
      <w:r w:rsidRPr="00946928">
        <w:rPr>
          <w:rFonts w:asciiTheme="minorHAnsi" w:hAnsiTheme="minorHAnsi"/>
          <w:color w:val="000000"/>
        </w:rPr>
        <w:t xml:space="preserve">producenta. Przerwy dylatacyjne winny być o szerokości </w:t>
      </w:r>
      <w:r w:rsidRPr="00946928">
        <w:rPr>
          <w:rFonts w:asciiTheme="minorHAnsi" w:hAnsiTheme="minorHAnsi"/>
          <w:b/>
          <w:bCs/>
          <w:color w:val="000000"/>
        </w:rPr>
        <w:t xml:space="preserve">&lt; </w:t>
      </w:r>
      <w:r w:rsidRPr="00946928">
        <w:rPr>
          <w:rFonts w:asciiTheme="minorHAnsi" w:hAnsiTheme="minorHAnsi"/>
          <w:color w:val="000000"/>
        </w:rPr>
        <w:t>10 mm.</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lastRenderedPageBreak/>
        <w:t>Rzędne muru mogą się różnić od projektowanych o ±1 cm.</w:t>
      </w:r>
    </w:p>
    <w:p w:rsidR="004F5BEB" w:rsidRDefault="004F5BEB" w:rsidP="004F5BEB">
      <w:pPr>
        <w:shd w:val="clear" w:color="auto" w:fill="FFFFFF"/>
        <w:rPr>
          <w:rFonts w:asciiTheme="minorHAnsi" w:hAnsiTheme="minorHAnsi"/>
          <w:color w:val="000000"/>
        </w:rPr>
      </w:pPr>
      <w:r w:rsidRPr="00946928">
        <w:rPr>
          <w:rFonts w:asciiTheme="minorHAnsi" w:hAnsiTheme="minorHAnsi"/>
          <w:color w:val="000000"/>
        </w:rPr>
        <w:t>Odchylenie w planie muru może się różnić od projektowanego o ±5 cm.</w:t>
      </w:r>
    </w:p>
    <w:p w:rsidR="00200005" w:rsidRDefault="00200005" w:rsidP="004F5BEB">
      <w:pPr>
        <w:shd w:val="clear" w:color="auto" w:fill="FFFFFF"/>
        <w:rPr>
          <w:rFonts w:asciiTheme="minorHAnsi" w:hAnsiTheme="minorHAnsi"/>
          <w:color w:val="000000"/>
        </w:rPr>
      </w:pPr>
      <w:r>
        <w:rPr>
          <w:rFonts w:asciiTheme="minorHAnsi" w:hAnsiTheme="minorHAnsi"/>
          <w:color w:val="000000"/>
        </w:rPr>
        <w:t>Mury należy wykończyć oczepami wylewanymi na mokro wg dokumentacji projektowej lub prefabrykowanymi .</w:t>
      </w:r>
    </w:p>
    <w:p w:rsidR="00200005" w:rsidRPr="00946928" w:rsidRDefault="00200005" w:rsidP="004F5BEB">
      <w:pPr>
        <w:shd w:val="clear" w:color="auto" w:fill="FFFFFF"/>
        <w:rPr>
          <w:rFonts w:asciiTheme="minorHAnsi" w:hAnsiTheme="minorHAnsi"/>
        </w:rPr>
      </w:pPr>
      <w:r>
        <w:rPr>
          <w:rFonts w:asciiTheme="minorHAnsi" w:hAnsiTheme="minorHAnsi"/>
          <w:color w:val="000000"/>
        </w:rPr>
        <w:t>Za murami należy ułożyc korytka betonowe wg dokumentacji projektowej</w:t>
      </w:r>
    </w:p>
    <w:p w:rsidR="004F5BEB" w:rsidRPr="00946928" w:rsidRDefault="004F5BEB" w:rsidP="004F5BEB">
      <w:pPr>
        <w:shd w:val="clear" w:color="auto" w:fill="FFFFFF"/>
        <w:ind w:left="14"/>
        <w:rPr>
          <w:rFonts w:asciiTheme="minorHAnsi" w:hAnsiTheme="minorHAnsi"/>
        </w:rPr>
      </w:pPr>
      <w:r w:rsidRPr="00946928">
        <w:rPr>
          <w:rFonts w:asciiTheme="minorHAnsi" w:hAnsiTheme="minorHAnsi"/>
          <w:b/>
          <w:bCs/>
          <w:color w:val="000000"/>
          <w:spacing w:val="-1"/>
        </w:rPr>
        <w:t>5.5.5. Izolacje</w:t>
      </w:r>
    </w:p>
    <w:p w:rsidR="004F5BEB" w:rsidRPr="00946928" w:rsidRDefault="004F5BEB" w:rsidP="004F5BEB">
      <w:pPr>
        <w:shd w:val="clear" w:color="auto" w:fill="FFFFFF"/>
        <w:ind w:left="10" w:right="14"/>
        <w:rPr>
          <w:rFonts w:asciiTheme="minorHAnsi" w:hAnsiTheme="minorHAnsi"/>
        </w:rPr>
      </w:pPr>
      <w:r w:rsidRPr="00946928">
        <w:rPr>
          <w:rFonts w:asciiTheme="minorHAnsi" w:hAnsiTheme="minorHAnsi"/>
          <w:color w:val="000000"/>
        </w:rPr>
        <w:t>Izolację należy wykonać zgodnie z dokumentacją projektową. Izolację wykonuje się na powierzchni muru stykającej się z gruntem.</w:t>
      </w:r>
    </w:p>
    <w:p w:rsidR="004F5BEB" w:rsidRPr="00946928" w:rsidRDefault="004F5BEB" w:rsidP="004F5BEB">
      <w:pPr>
        <w:shd w:val="clear" w:color="auto" w:fill="FFFFFF"/>
        <w:ind w:left="5" w:right="10"/>
        <w:rPr>
          <w:rFonts w:asciiTheme="minorHAnsi" w:hAnsiTheme="minorHAnsi"/>
        </w:rPr>
      </w:pPr>
      <w:r w:rsidRPr="00946928">
        <w:rPr>
          <w:rFonts w:asciiTheme="minorHAnsi" w:hAnsiTheme="minorHAnsi"/>
          <w:color w:val="000000"/>
        </w:rPr>
        <w:t xml:space="preserve">Jeśli w dokumentacji projektowej nie określono sposobu wykonania izolacji, to można ją wykonać poprzez nałożenie na powierzchnię ściany roztworem gruntującym i </w:t>
      </w:r>
      <w:r w:rsidRPr="00946928">
        <w:rPr>
          <w:rFonts w:asciiTheme="minorHAnsi" w:hAnsiTheme="minorHAnsi"/>
          <w:color w:val="000000"/>
          <w:spacing w:val="-1"/>
        </w:rPr>
        <w:t xml:space="preserve">dwukrotne smarowanie lepikiem. Grubość izolacji winna być </w:t>
      </w:r>
      <w:r w:rsidRPr="00946928">
        <w:rPr>
          <w:rFonts w:asciiTheme="minorHAnsi" w:hAnsiTheme="minorHAnsi"/>
          <w:b/>
          <w:bCs/>
          <w:color w:val="000000"/>
          <w:spacing w:val="-1"/>
        </w:rPr>
        <w:t>&gt;</w:t>
      </w:r>
      <w:r w:rsidRPr="00946928">
        <w:rPr>
          <w:rFonts w:asciiTheme="minorHAnsi" w:hAnsiTheme="minorHAnsi"/>
          <w:color w:val="000000"/>
          <w:spacing w:val="-1"/>
        </w:rPr>
        <w:t>1 mm.</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spacing w:val="-1"/>
        </w:rPr>
        <w:t xml:space="preserve">Każda warstwa izolacji powinna tworzyć jednolitą, ciągłą powłokę przylegającą do </w:t>
      </w:r>
      <w:r w:rsidRPr="00946928">
        <w:rPr>
          <w:rFonts w:asciiTheme="minorHAnsi" w:hAnsiTheme="minorHAnsi"/>
          <w:color w:val="000000"/>
        </w:rPr>
        <w:t>powierzchni ściany lub do uprzednio ułożonej warstwy izolacji. Występowanie złuszczeń, spękań, pęcherzy itp. wad oraz stosowanie uszkodzonych pap jest niedopuszczalne. Warstwa izolacji powinna być chroniona od uszkodzeń mechanicznych.</w:t>
      </w:r>
    </w:p>
    <w:p w:rsidR="004F5BEB" w:rsidRPr="00946928" w:rsidRDefault="004F5BEB" w:rsidP="004F5BEB">
      <w:pPr>
        <w:shd w:val="clear" w:color="auto" w:fill="FFFFFF"/>
        <w:ind w:left="19" w:right="5"/>
        <w:rPr>
          <w:rFonts w:asciiTheme="minorHAnsi" w:hAnsiTheme="minorHAnsi"/>
        </w:rPr>
      </w:pPr>
      <w:r w:rsidRPr="00946928">
        <w:rPr>
          <w:rFonts w:asciiTheme="minorHAnsi" w:hAnsiTheme="minorHAnsi"/>
          <w:color w:val="000000"/>
        </w:rPr>
        <w:t>Od strony gruntu do izolacji należy przykleić lepikiem pasma papy o grubości min 5 mm i o szerokości 20 cm to jest po 10cm od osi szczelin.</w:t>
      </w:r>
    </w:p>
    <w:p w:rsidR="004F5BEB" w:rsidRPr="00946928" w:rsidRDefault="004F5BEB" w:rsidP="004F5BEB">
      <w:pPr>
        <w:shd w:val="clear" w:color="auto" w:fill="FFFFFF"/>
        <w:ind w:left="14"/>
        <w:rPr>
          <w:rFonts w:asciiTheme="minorHAnsi" w:hAnsiTheme="minorHAnsi"/>
        </w:rPr>
      </w:pPr>
      <w:r w:rsidRPr="00946928">
        <w:rPr>
          <w:rFonts w:asciiTheme="minorHAnsi" w:hAnsiTheme="minorHAnsi"/>
          <w:color w:val="000000"/>
        </w:rPr>
        <w:t>Papę należy zabezpieczyć przed przebiciem pasmem włókniny ochronnej  o minimalnej odporności na przebicie CBR =5,0 kN.</w:t>
      </w:r>
    </w:p>
    <w:p w:rsidR="004F5BEB" w:rsidRPr="00946928" w:rsidRDefault="004F5BEB" w:rsidP="004F5BEB">
      <w:pPr>
        <w:shd w:val="clear" w:color="auto" w:fill="FFFFFF"/>
        <w:tabs>
          <w:tab w:val="left" w:pos="432"/>
        </w:tabs>
        <w:ind w:left="10"/>
        <w:rPr>
          <w:rFonts w:asciiTheme="minorHAnsi" w:hAnsiTheme="minorHAnsi"/>
          <w:b/>
          <w:bCs/>
          <w:color w:val="000000"/>
          <w:spacing w:val="-7"/>
        </w:rPr>
      </w:pPr>
    </w:p>
    <w:p w:rsidR="004F5BEB" w:rsidRPr="00946928" w:rsidRDefault="004F5BEB" w:rsidP="004F5BEB">
      <w:pPr>
        <w:shd w:val="clear" w:color="auto" w:fill="FFFFFF"/>
        <w:tabs>
          <w:tab w:val="left" w:pos="432"/>
        </w:tabs>
        <w:ind w:left="10"/>
        <w:rPr>
          <w:rFonts w:asciiTheme="minorHAnsi" w:hAnsiTheme="minorHAnsi"/>
        </w:rPr>
      </w:pPr>
      <w:r w:rsidRPr="00946928">
        <w:rPr>
          <w:rFonts w:asciiTheme="minorHAnsi" w:hAnsiTheme="minorHAnsi"/>
          <w:b/>
          <w:bCs/>
          <w:color w:val="000000"/>
          <w:spacing w:val="-7"/>
        </w:rPr>
        <w:t>5.6.</w:t>
      </w:r>
      <w:r w:rsidRPr="00946928">
        <w:rPr>
          <w:rFonts w:asciiTheme="minorHAnsi" w:hAnsiTheme="minorHAnsi"/>
          <w:b/>
          <w:bCs/>
          <w:color w:val="000000"/>
        </w:rPr>
        <w:tab/>
      </w:r>
      <w:r w:rsidRPr="00946928">
        <w:rPr>
          <w:rFonts w:asciiTheme="minorHAnsi" w:hAnsiTheme="minorHAnsi"/>
          <w:b/>
          <w:bCs/>
          <w:color w:val="000000"/>
          <w:spacing w:val="-1"/>
        </w:rPr>
        <w:t>Ruch budowlany</w:t>
      </w:r>
    </w:p>
    <w:p w:rsidR="004F5BEB" w:rsidRPr="00946928" w:rsidRDefault="004F5BEB" w:rsidP="004F5BEB">
      <w:pPr>
        <w:shd w:val="clear" w:color="auto" w:fill="FFFFFF"/>
        <w:ind w:right="10"/>
        <w:rPr>
          <w:rFonts w:asciiTheme="minorHAnsi" w:hAnsiTheme="minorHAnsi"/>
        </w:rPr>
      </w:pPr>
      <w:r w:rsidRPr="00946928">
        <w:rPr>
          <w:rFonts w:asciiTheme="minorHAnsi" w:hAnsiTheme="minorHAnsi"/>
          <w:color w:val="000000"/>
        </w:rPr>
        <w:t>Nie należy dopuszczać do ruchu budowlanego po dnie wykopu, o ile grubość warstwy gruntu powyżej rzędnych robót ziemnych jest mniejsza niż 0,3 m.</w:t>
      </w:r>
    </w:p>
    <w:p w:rsidR="004F5BEB" w:rsidRPr="00946928" w:rsidRDefault="004F5BEB" w:rsidP="004F5BEB">
      <w:pPr>
        <w:shd w:val="clear" w:color="auto" w:fill="FFFFFF"/>
        <w:ind w:left="5" w:right="14"/>
        <w:rPr>
          <w:rFonts w:asciiTheme="minorHAnsi" w:hAnsiTheme="minorHAnsi"/>
        </w:rPr>
      </w:pPr>
      <w:r w:rsidRPr="00946928">
        <w:rPr>
          <w:rFonts w:asciiTheme="minorHAnsi" w:hAnsiTheme="minorHAnsi"/>
          <w:color w:val="000000"/>
          <w:spacing w:val="-1"/>
        </w:rPr>
        <w:t xml:space="preserve">Z chwilą przystąpienia do ostatecznego profilowania dna wykopu dopuszcza się po </w:t>
      </w:r>
      <w:r w:rsidRPr="00946928">
        <w:rPr>
          <w:rFonts w:asciiTheme="minorHAnsi" w:hAnsiTheme="minorHAnsi"/>
          <w:color w:val="000000"/>
        </w:rPr>
        <w:t>nim jedynie ruch maszyn wykonujących tę czynność budowlaną. Może odbywać się jedynie sporadyczny ruch pojazdów, które nie spowodują uszkodzeń powierzchni robót ziemnych.</w:t>
      </w:r>
    </w:p>
    <w:p w:rsidR="004F5BEB" w:rsidRPr="00946928" w:rsidRDefault="004F5BEB" w:rsidP="004F5BEB">
      <w:pPr>
        <w:shd w:val="clear" w:color="auto" w:fill="FFFFFF"/>
        <w:ind w:left="10" w:right="5"/>
        <w:rPr>
          <w:rFonts w:asciiTheme="minorHAnsi" w:hAnsiTheme="minorHAnsi"/>
        </w:rPr>
      </w:pPr>
      <w:r w:rsidRPr="00946928">
        <w:rPr>
          <w:rFonts w:asciiTheme="minorHAnsi" w:hAnsiTheme="minorHAnsi"/>
          <w:color w:val="000000"/>
          <w:spacing w:val="-1"/>
        </w:rPr>
        <w:t xml:space="preserve">Naprawa uszkodzeń powierzchni robót ziemnych, wynikających z niedotrzymania </w:t>
      </w:r>
      <w:r w:rsidRPr="00946928">
        <w:rPr>
          <w:rFonts w:asciiTheme="minorHAnsi" w:hAnsiTheme="minorHAnsi"/>
          <w:color w:val="000000"/>
        </w:rPr>
        <w:t>podanych powyżej warunków obciąża Wykonawcę robót ziemnych.</w:t>
      </w:r>
    </w:p>
    <w:p w:rsidR="00200005" w:rsidRDefault="00200005" w:rsidP="004F5BEB">
      <w:pPr>
        <w:shd w:val="clear" w:color="auto" w:fill="FFFFFF"/>
        <w:tabs>
          <w:tab w:val="left" w:pos="432"/>
        </w:tabs>
        <w:ind w:left="10"/>
        <w:rPr>
          <w:rFonts w:asciiTheme="minorHAnsi" w:hAnsiTheme="minorHAnsi"/>
          <w:b/>
          <w:bCs/>
          <w:color w:val="000000"/>
          <w:spacing w:val="-6"/>
        </w:rPr>
      </w:pPr>
    </w:p>
    <w:p w:rsidR="004F5BEB" w:rsidRPr="00946928" w:rsidRDefault="004F5BEB" w:rsidP="004F5BEB">
      <w:pPr>
        <w:shd w:val="clear" w:color="auto" w:fill="FFFFFF"/>
        <w:tabs>
          <w:tab w:val="left" w:pos="432"/>
        </w:tabs>
        <w:ind w:left="10"/>
        <w:rPr>
          <w:rFonts w:asciiTheme="minorHAnsi" w:hAnsiTheme="minorHAnsi"/>
        </w:rPr>
      </w:pPr>
      <w:r w:rsidRPr="00946928">
        <w:rPr>
          <w:rFonts w:asciiTheme="minorHAnsi" w:hAnsiTheme="minorHAnsi"/>
          <w:b/>
          <w:bCs/>
          <w:color w:val="000000"/>
          <w:spacing w:val="-6"/>
        </w:rPr>
        <w:t>5.7.</w:t>
      </w:r>
      <w:r w:rsidRPr="00946928">
        <w:rPr>
          <w:rFonts w:asciiTheme="minorHAnsi" w:hAnsiTheme="minorHAnsi"/>
          <w:b/>
          <w:bCs/>
          <w:color w:val="000000"/>
        </w:rPr>
        <w:tab/>
      </w:r>
      <w:r w:rsidRPr="00946928">
        <w:rPr>
          <w:rFonts w:asciiTheme="minorHAnsi" w:hAnsiTheme="minorHAnsi"/>
          <w:b/>
          <w:bCs/>
          <w:color w:val="000000"/>
          <w:spacing w:val="-1"/>
        </w:rPr>
        <w:t>Dokładność wykonywanych wykopów.</w:t>
      </w:r>
    </w:p>
    <w:p w:rsidR="004F5BEB" w:rsidRPr="00946928" w:rsidRDefault="004F5BEB" w:rsidP="004F5BEB">
      <w:pPr>
        <w:shd w:val="clear" w:color="auto" w:fill="FFFFFF"/>
        <w:ind w:right="10"/>
        <w:rPr>
          <w:rFonts w:asciiTheme="minorHAnsi" w:hAnsiTheme="minorHAnsi"/>
        </w:rPr>
      </w:pPr>
      <w:r w:rsidRPr="00946928">
        <w:rPr>
          <w:rFonts w:asciiTheme="minorHAnsi" w:hAnsiTheme="minorHAnsi"/>
          <w:color w:val="000000"/>
        </w:rPr>
        <w:t>Odchylenie osi koryta ziemnego w wykopie od osi projektowanej nie może być większe niż 10 cm. Różnica w stosunku do projektowanych rzędnych robót ziemnych nie może przekraczać + 1 cm i - 3 cm. Krawędzie dna wykopu nie powinny mieć wyraźnych załamań.</w:t>
      </w:r>
    </w:p>
    <w:p w:rsidR="004F5BEB" w:rsidRPr="00946928" w:rsidRDefault="004F5BEB" w:rsidP="004F5BEB">
      <w:pPr>
        <w:pStyle w:val="Nagwek3"/>
        <w:rPr>
          <w:rFonts w:asciiTheme="minorHAnsi" w:hAnsiTheme="minorHAnsi"/>
        </w:rPr>
      </w:pPr>
      <w:r w:rsidRPr="00946928">
        <w:rPr>
          <w:rFonts w:asciiTheme="minorHAnsi" w:hAnsiTheme="minorHAnsi"/>
        </w:rPr>
        <w:t>6. kontrola jakości robót</w:t>
      </w:r>
    </w:p>
    <w:p w:rsidR="004F5BEB" w:rsidRPr="00946928" w:rsidRDefault="004F5BEB" w:rsidP="004F5BEB">
      <w:pPr>
        <w:rPr>
          <w:rFonts w:asciiTheme="minorHAnsi" w:hAnsiTheme="minorHAnsi"/>
          <w:b/>
          <w:color w:val="000000"/>
        </w:rPr>
      </w:pPr>
    </w:p>
    <w:p w:rsidR="004F5BEB" w:rsidRPr="00946928" w:rsidRDefault="004F5BEB" w:rsidP="004F5BEB">
      <w:pPr>
        <w:rPr>
          <w:rFonts w:asciiTheme="minorHAnsi" w:hAnsiTheme="minorHAnsi"/>
          <w:b/>
          <w:bCs/>
          <w:color w:val="000000"/>
        </w:rPr>
      </w:pPr>
      <w:r w:rsidRPr="00946928">
        <w:rPr>
          <w:rFonts w:asciiTheme="minorHAnsi" w:hAnsiTheme="minorHAnsi"/>
          <w:b/>
          <w:bCs/>
          <w:color w:val="000000"/>
        </w:rPr>
        <w:t>6.1. Ogólne zasady kontroli jakości robót</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zasady kontroli jakości robót podano w STWiORB D-M-00.00.00 „Wymagania ogólne” pkt 6.</w:t>
      </w:r>
    </w:p>
    <w:p w:rsidR="004F5BEB" w:rsidRPr="00946928" w:rsidRDefault="004F5BEB" w:rsidP="004F5BEB">
      <w:pPr>
        <w:rPr>
          <w:rFonts w:asciiTheme="minorHAnsi" w:hAnsiTheme="minorHAnsi"/>
          <w:color w:val="000000"/>
        </w:rPr>
      </w:pPr>
    </w:p>
    <w:p w:rsidR="004F5BEB" w:rsidRPr="00946928" w:rsidRDefault="004F5BEB" w:rsidP="004F5BEB">
      <w:pPr>
        <w:shd w:val="clear" w:color="auto" w:fill="FFFFFF"/>
        <w:tabs>
          <w:tab w:val="left" w:pos="432"/>
        </w:tabs>
        <w:ind w:left="10"/>
        <w:rPr>
          <w:rFonts w:asciiTheme="minorHAnsi" w:hAnsiTheme="minorHAnsi"/>
        </w:rPr>
      </w:pPr>
      <w:r w:rsidRPr="00946928">
        <w:rPr>
          <w:rFonts w:asciiTheme="minorHAnsi" w:hAnsiTheme="minorHAnsi"/>
          <w:b/>
          <w:bCs/>
          <w:color w:val="000000"/>
          <w:spacing w:val="-6"/>
        </w:rPr>
        <w:t>6.2.</w:t>
      </w:r>
      <w:r w:rsidRPr="00946928">
        <w:rPr>
          <w:rFonts w:asciiTheme="minorHAnsi" w:hAnsiTheme="minorHAnsi"/>
          <w:b/>
          <w:bCs/>
          <w:color w:val="000000"/>
        </w:rPr>
        <w:tab/>
      </w:r>
      <w:r w:rsidRPr="00946928">
        <w:rPr>
          <w:rFonts w:asciiTheme="minorHAnsi" w:hAnsiTheme="minorHAnsi"/>
          <w:b/>
          <w:bCs/>
          <w:color w:val="000000"/>
          <w:spacing w:val="-1"/>
        </w:rPr>
        <w:t>Kontrola robót</w:t>
      </w:r>
    </w:p>
    <w:p w:rsidR="004F5BEB" w:rsidRPr="00946928" w:rsidRDefault="004F5BEB" w:rsidP="004F5BEB">
      <w:pPr>
        <w:shd w:val="clear" w:color="auto" w:fill="FFFFFF"/>
        <w:ind w:left="14"/>
        <w:rPr>
          <w:rFonts w:asciiTheme="minorHAnsi" w:hAnsiTheme="minorHAnsi"/>
        </w:rPr>
      </w:pPr>
      <w:r w:rsidRPr="00946928">
        <w:rPr>
          <w:rFonts w:asciiTheme="minorHAnsi" w:hAnsiTheme="minorHAnsi"/>
          <w:color w:val="000000"/>
        </w:rPr>
        <w:t>Kontrola jakości robót winna uwzględniać przeprowadzenie następujących badań:</w:t>
      </w:r>
    </w:p>
    <w:p w:rsidR="004F5BEB" w:rsidRPr="00946928" w:rsidRDefault="004F5BEB" w:rsidP="00790883">
      <w:pPr>
        <w:widowControl w:val="0"/>
        <w:numPr>
          <w:ilvl w:val="0"/>
          <w:numId w:val="53"/>
        </w:numPr>
        <w:shd w:val="clear" w:color="auto" w:fill="FFFFFF"/>
        <w:tabs>
          <w:tab w:val="left" w:pos="1138"/>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sprawdzenie jakości wbudowywanych wyrobów,</w:t>
      </w:r>
    </w:p>
    <w:p w:rsidR="004F5BEB" w:rsidRPr="00946928" w:rsidRDefault="004F5BEB" w:rsidP="00790883">
      <w:pPr>
        <w:widowControl w:val="0"/>
        <w:numPr>
          <w:ilvl w:val="0"/>
          <w:numId w:val="53"/>
        </w:numPr>
        <w:shd w:val="clear" w:color="auto" w:fill="FFFFFF"/>
        <w:tabs>
          <w:tab w:val="left" w:pos="1138"/>
        </w:tabs>
        <w:overflowPunct/>
        <w:ind w:left="720" w:hanging="360"/>
        <w:jc w:val="left"/>
        <w:textAlignment w:val="auto"/>
        <w:rPr>
          <w:rFonts w:asciiTheme="minorHAnsi" w:hAnsiTheme="minorHAnsi"/>
          <w:color w:val="000000"/>
        </w:rPr>
      </w:pPr>
      <w:r w:rsidRPr="00946928">
        <w:rPr>
          <w:rFonts w:asciiTheme="minorHAnsi" w:hAnsiTheme="minorHAnsi"/>
          <w:color w:val="000000"/>
        </w:rPr>
        <w:t>sprawdzenie zgodności wykonania robót z Dokumentacją Projektową.</w:t>
      </w:r>
    </w:p>
    <w:p w:rsidR="004F5BEB" w:rsidRPr="00946928" w:rsidRDefault="004F5BEB" w:rsidP="004F5BEB">
      <w:pPr>
        <w:shd w:val="clear" w:color="auto" w:fill="FFFFFF"/>
        <w:ind w:left="10"/>
        <w:rPr>
          <w:rFonts w:asciiTheme="minorHAnsi" w:hAnsiTheme="minorHAnsi"/>
          <w:color w:val="000000"/>
        </w:rPr>
      </w:pPr>
      <w:r w:rsidRPr="00946928">
        <w:rPr>
          <w:rFonts w:asciiTheme="minorHAnsi" w:hAnsiTheme="minorHAnsi"/>
          <w:color w:val="000000"/>
        </w:rPr>
        <w:t>Badania techniczne należy przeprowadzać w czasie częściowego i końcowego odbioru robót. Wyniki badań należy zapisać do Dziennika Budowy</w:t>
      </w:r>
    </w:p>
    <w:p w:rsidR="004F5BEB" w:rsidRPr="00946928" w:rsidRDefault="004F5BEB" w:rsidP="004F5BEB">
      <w:pPr>
        <w:shd w:val="clear" w:color="auto" w:fill="FFFFFF"/>
        <w:tabs>
          <w:tab w:val="left" w:pos="605"/>
        </w:tabs>
        <w:ind w:left="10"/>
        <w:rPr>
          <w:rFonts w:asciiTheme="minorHAnsi" w:hAnsiTheme="minorHAnsi"/>
        </w:rPr>
      </w:pPr>
      <w:r w:rsidRPr="00946928">
        <w:rPr>
          <w:rFonts w:asciiTheme="minorHAnsi" w:hAnsiTheme="minorHAnsi"/>
          <w:b/>
          <w:bCs/>
          <w:color w:val="000000"/>
          <w:spacing w:val="-5"/>
        </w:rPr>
        <w:t>6.2.1.</w:t>
      </w:r>
      <w:r w:rsidRPr="00946928">
        <w:rPr>
          <w:rFonts w:asciiTheme="minorHAnsi" w:hAnsiTheme="minorHAnsi"/>
          <w:b/>
          <w:bCs/>
          <w:color w:val="000000"/>
        </w:rPr>
        <w:tab/>
      </w:r>
      <w:r w:rsidRPr="00946928">
        <w:rPr>
          <w:rFonts w:asciiTheme="minorHAnsi" w:hAnsiTheme="minorHAnsi"/>
          <w:b/>
          <w:bCs/>
          <w:color w:val="000000"/>
          <w:spacing w:val="-1"/>
        </w:rPr>
        <w:t>Cel i zakres badań</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t>W zakres badań w czasie odbioru wchodzi sprawdzenie:</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usytuowanie muru w przekroju poprzecznym i podłużnym,</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rzędnych gruntu, warstw betonu C12/15 i muru,</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zagęszczenie gruntów pod murem,</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wykonania odwodnienia.</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rPr>
        <w:t>wykonania ochrony przerw dylatacyjnych</w:t>
      </w:r>
    </w:p>
    <w:p w:rsidR="004F5BEB" w:rsidRPr="00946928" w:rsidRDefault="004F5BEB" w:rsidP="004F5BEB">
      <w:pPr>
        <w:shd w:val="clear" w:color="auto" w:fill="FFFFFF"/>
        <w:tabs>
          <w:tab w:val="left" w:pos="605"/>
        </w:tabs>
        <w:ind w:left="10"/>
        <w:rPr>
          <w:rFonts w:asciiTheme="minorHAnsi" w:hAnsiTheme="minorHAnsi"/>
        </w:rPr>
      </w:pPr>
      <w:r w:rsidRPr="00946928">
        <w:rPr>
          <w:rFonts w:asciiTheme="minorHAnsi" w:hAnsiTheme="minorHAnsi"/>
          <w:b/>
          <w:bCs/>
          <w:color w:val="000000"/>
          <w:spacing w:val="-5"/>
        </w:rPr>
        <w:t>6.2.2.</w:t>
      </w:r>
      <w:r w:rsidRPr="00946928">
        <w:rPr>
          <w:rFonts w:asciiTheme="minorHAnsi" w:hAnsiTheme="minorHAnsi"/>
          <w:b/>
          <w:bCs/>
          <w:color w:val="000000"/>
        </w:rPr>
        <w:tab/>
        <w:t>Sprawdzenie dokumentów kontrolnych</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t>Sprawdzenie dokumentów kontrolnych dotyczy:</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oznaczeń laboratoryjnych,</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rPr>
        <w:lastRenderedPageBreak/>
        <w:t>Dziennika Budowy w zakresie zapisów odbiorów robót zanikających i ulegających zakryciu,</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spacing w:val="-1"/>
        </w:rPr>
        <w:t>Dzienników laboratorium Wykonawcy,</w:t>
      </w:r>
    </w:p>
    <w:p w:rsidR="004F5BEB" w:rsidRPr="00946928" w:rsidRDefault="004F5BEB" w:rsidP="00790883">
      <w:pPr>
        <w:widowControl w:val="0"/>
        <w:numPr>
          <w:ilvl w:val="0"/>
          <w:numId w:val="55"/>
        </w:numPr>
        <w:shd w:val="clear" w:color="auto" w:fill="FFFFFF"/>
        <w:tabs>
          <w:tab w:val="left" w:pos="706"/>
        </w:tabs>
        <w:overflowPunct/>
        <w:ind w:left="720" w:hanging="360"/>
        <w:jc w:val="left"/>
        <w:textAlignment w:val="auto"/>
        <w:rPr>
          <w:rFonts w:asciiTheme="minorHAnsi" w:hAnsiTheme="minorHAnsi"/>
          <w:color w:val="000000"/>
        </w:rPr>
      </w:pPr>
      <w:r w:rsidRPr="00946928">
        <w:rPr>
          <w:rFonts w:asciiTheme="minorHAnsi" w:hAnsiTheme="minorHAnsi"/>
          <w:color w:val="000000"/>
        </w:rPr>
        <w:t>znaków CE i budowlanego dołączonych do dokumentów handlowych i opakowań.</w:t>
      </w:r>
    </w:p>
    <w:p w:rsidR="004F5BEB" w:rsidRPr="00946928" w:rsidRDefault="004F5BEB" w:rsidP="004F5BEB">
      <w:pPr>
        <w:shd w:val="clear" w:color="auto" w:fill="FFFFFF"/>
        <w:ind w:right="5"/>
        <w:rPr>
          <w:rFonts w:asciiTheme="minorHAnsi" w:hAnsiTheme="minorHAnsi"/>
        </w:rPr>
      </w:pPr>
      <w:r w:rsidRPr="00946928">
        <w:rPr>
          <w:rFonts w:asciiTheme="minorHAnsi" w:hAnsiTheme="minorHAnsi"/>
          <w:color w:val="000000"/>
        </w:rPr>
        <w:t xml:space="preserve">Do odbioru Wykonawca powinien przedstawić wszystkie dokumenty z bieżącej kontroli jakości robót. Ponadto Wykonawca powinien przygotować i przedstawić tabelaryczne zestawienie wartości wskaźnika zagęszczenia lub pierwotnego i wtórnego </w:t>
      </w:r>
      <w:r w:rsidRPr="00946928">
        <w:rPr>
          <w:rFonts w:asciiTheme="minorHAnsi" w:hAnsiTheme="minorHAnsi"/>
          <w:color w:val="000000"/>
          <w:spacing w:val="-1"/>
        </w:rPr>
        <w:t xml:space="preserve">modułu odkształcenia oraz stosunek wtórnego modułu odkształcenia do pierwotnego modułu odkształcenia, wraz z wartościami średnimi tych cech dla całego odbieranego odcinka. </w:t>
      </w:r>
      <w:r w:rsidRPr="00946928">
        <w:rPr>
          <w:rFonts w:asciiTheme="minorHAnsi" w:hAnsiTheme="minorHAnsi"/>
          <w:color w:val="000000"/>
        </w:rPr>
        <w:t>Zestawienia powinny zawierać daty badań i miejsca pobierania próbek.</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b/>
          <w:bCs/>
          <w:color w:val="000000"/>
        </w:rPr>
        <w:t>6.2.3 Sprawdzenie usytuowania i rzędnych</w:t>
      </w:r>
    </w:p>
    <w:p w:rsidR="004F5BEB" w:rsidRPr="00946928" w:rsidRDefault="004F5BEB" w:rsidP="004F5BEB">
      <w:pPr>
        <w:shd w:val="clear" w:color="auto" w:fill="FFFFFF"/>
        <w:ind w:left="5" w:right="5"/>
        <w:rPr>
          <w:rFonts w:asciiTheme="minorHAnsi" w:hAnsiTheme="minorHAnsi"/>
        </w:rPr>
      </w:pPr>
      <w:r w:rsidRPr="00946928">
        <w:rPr>
          <w:rFonts w:asciiTheme="minorHAnsi" w:hAnsiTheme="minorHAnsi"/>
          <w:color w:val="000000"/>
          <w:spacing w:val="-1"/>
        </w:rPr>
        <w:t xml:space="preserve">Sprawdzenie przeprowadza się z zastosowaniem niwelatora, taśmy, szablonu, łaty o </w:t>
      </w:r>
      <w:r w:rsidRPr="00946928">
        <w:rPr>
          <w:rFonts w:asciiTheme="minorHAnsi" w:hAnsiTheme="minorHAnsi"/>
          <w:color w:val="000000"/>
        </w:rPr>
        <w:t>długości 3 metrów i poziomicy w odstępach co 20 metrów na prostych, co 10 metrów na łukach, a także w miejscach, które budzą wątpliwości.</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rPr>
        <w:t>Nierówności   stwierdzone   w   czasie   kontroli   równości   płaszczyzn   podłoża</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rPr>
        <w:t>gruntowego łatą nie mogą przekraczać podłoża gruntowego.</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b/>
          <w:bCs/>
          <w:color w:val="000000"/>
        </w:rPr>
        <w:t>6.2.4. Sprawdzenie zagęszczenia gruntów</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rPr>
        <w:t>Zagęszczenie gruntu sprawdza się wg wymagań PN-S-02205 raz na każde 20 m muru dla podłoża i dla zasypki.</w:t>
      </w:r>
    </w:p>
    <w:p w:rsidR="004F5BEB" w:rsidRPr="00946928" w:rsidRDefault="004F5BEB" w:rsidP="004F5BEB">
      <w:pPr>
        <w:shd w:val="clear" w:color="auto" w:fill="FFFFFF"/>
        <w:ind w:left="10"/>
        <w:rPr>
          <w:rFonts w:asciiTheme="minorHAnsi" w:hAnsiTheme="minorHAnsi"/>
          <w:b/>
          <w:bCs/>
          <w:color w:val="000000"/>
        </w:rPr>
      </w:pPr>
      <w:r w:rsidRPr="00946928">
        <w:rPr>
          <w:rFonts w:asciiTheme="minorHAnsi" w:hAnsiTheme="minorHAnsi"/>
          <w:b/>
          <w:bCs/>
          <w:color w:val="000000"/>
        </w:rPr>
        <w:t>6.2.5 Wytrzymałość betonu</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Wytrzymałość betonu C12/15 oraz C25/30 sprawdza się raz na każde 20 m muru.</w:t>
      </w:r>
    </w:p>
    <w:p w:rsidR="004F5BEB" w:rsidRPr="00946928" w:rsidRDefault="004F5BEB" w:rsidP="004F5BEB">
      <w:pPr>
        <w:shd w:val="clear" w:color="auto" w:fill="FFFFFF"/>
        <w:ind w:left="10"/>
        <w:rPr>
          <w:rFonts w:asciiTheme="minorHAnsi" w:hAnsiTheme="minorHAnsi"/>
        </w:rPr>
      </w:pPr>
    </w:p>
    <w:p w:rsidR="004F5BEB" w:rsidRPr="00946928" w:rsidRDefault="004F5BEB" w:rsidP="004F5BEB">
      <w:pPr>
        <w:pStyle w:val="Nagwek3"/>
        <w:rPr>
          <w:rFonts w:asciiTheme="minorHAnsi" w:hAnsiTheme="minorHAnsi"/>
        </w:rPr>
      </w:pPr>
      <w:r w:rsidRPr="00946928">
        <w:rPr>
          <w:rFonts w:asciiTheme="minorHAnsi" w:hAnsiTheme="minorHAnsi"/>
        </w:rPr>
        <w:t>7. obmiar robót</w:t>
      </w:r>
    </w:p>
    <w:p w:rsidR="00D109A9" w:rsidRPr="00203191" w:rsidRDefault="004F5BEB" w:rsidP="00D109A9">
      <w:pPr>
        <w:pStyle w:val="Nagwek4"/>
        <w:tabs>
          <w:tab w:val="left" w:pos="9914"/>
        </w:tabs>
        <w:rPr>
          <w:rFonts w:asciiTheme="minorHAnsi" w:hAnsiTheme="minorHAnsi"/>
        </w:rPr>
      </w:pPr>
      <w:r w:rsidRPr="00946928">
        <w:rPr>
          <w:rFonts w:asciiTheme="minorHAnsi" w:hAnsiTheme="minorHAnsi"/>
        </w:rPr>
        <w:t xml:space="preserve"> </w:t>
      </w:r>
      <w:r w:rsidR="00D109A9" w:rsidRPr="00203191">
        <w:rPr>
          <w:rFonts w:asciiTheme="minorHAnsi" w:hAnsiTheme="minorHAnsi"/>
        </w:rPr>
        <w:t>7.1. Ogólne zasady obmiaru robót</w:t>
      </w:r>
    </w:p>
    <w:p w:rsidR="00D109A9" w:rsidRPr="00203191" w:rsidRDefault="00D109A9" w:rsidP="00D109A9">
      <w:pPr>
        <w:rPr>
          <w:rFonts w:asciiTheme="minorHAnsi" w:hAnsiTheme="minorHAnsi"/>
        </w:rPr>
      </w:pPr>
      <w:r w:rsidRPr="00203191">
        <w:rPr>
          <w:rFonts w:asciiTheme="minorHAnsi" w:hAnsiTheme="minorHAnsi"/>
        </w:rPr>
        <w:t>Ogólne zasady obmiaru robót podano w SSTWiORB D-M-00.00.00 „Wymagania ogólne” pkt 7.</w:t>
      </w:r>
    </w:p>
    <w:p w:rsidR="00D109A9" w:rsidRPr="00203191" w:rsidRDefault="00D109A9" w:rsidP="00D109A9">
      <w:pPr>
        <w:pStyle w:val="Nagwek4"/>
        <w:tabs>
          <w:tab w:val="left" w:pos="9914"/>
        </w:tabs>
        <w:rPr>
          <w:rFonts w:asciiTheme="minorHAnsi" w:hAnsiTheme="minorHAnsi"/>
        </w:rPr>
      </w:pPr>
      <w:r w:rsidRPr="00203191">
        <w:rPr>
          <w:rFonts w:asciiTheme="minorHAnsi" w:hAnsiTheme="minorHAnsi"/>
        </w:rPr>
        <w:t>7.2. Jednostka obmiarowa</w:t>
      </w:r>
    </w:p>
    <w:p w:rsidR="00D109A9" w:rsidRPr="00203191" w:rsidRDefault="00D109A9" w:rsidP="00D109A9">
      <w:pPr>
        <w:rPr>
          <w:rFonts w:asciiTheme="minorHAnsi" w:hAnsiTheme="minorHAnsi"/>
        </w:rPr>
      </w:pPr>
      <w:r w:rsidRPr="00203191">
        <w:rPr>
          <w:rFonts w:asciiTheme="minorHAnsi" w:hAnsiTheme="minorHAnsi"/>
        </w:rPr>
        <w:t>Jednostką obmiarową jest:</w:t>
      </w:r>
    </w:p>
    <w:p w:rsidR="00D109A9" w:rsidRPr="00203191" w:rsidRDefault="00D109A9" w:rsidP="00D109A9">
      <w:pPr>
        <w:numPr>
          <w:ilvl w:val="0"/>
          <w:numId w:val="38"/>
        </w:numPr>
        <w:rPr>
          <w:rFonts w:asciiTheme="minorHAnsi" w:hAnsiTheme="minorHAnsi"/>
        </w:rPr>
      </w:pPr>
      <w:r w:rsidRPr="00203191">
        <w:rPr>
          <w:rFonts w:asciiTheme="minorHAnsi" w:hAnsiTheme="minorHAnsi"/>
        </w:rPr>
        <w:t>m (metr) wykonan</w:t>
      </w:r>
      <w:r>
        <w:rPr>
          <w:rFonts w:asciiTheme="minorHAnsi" w:hAnsiTheme="minorHAnsi"/>
        </w:rPr>
        <w:t>ego muru oporowego</w:t>
      </w:r>
      <w:r w:rsidRPr="00203191">
        <w:rPr>
          <w:rFonts w:asciiTheme="minorHAnsi" w:hAnsiTheme="minorHAnsi"/>
        </w:rPr>
        <w:t>,</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color w:val="000000"/>
        </w:rPr>
      </w:pPr>
      <w:r w:rsidRPr="00946928">
        <w:rPr>
          <w:rFonts w:asciiTheme="minorHAnsi" w:hAnsiTheme="minorHAnsi"/>
          <w:b/>
          <w:color w:val="000000"/>
        </w:rPr>
        <w:t>8. ODBIÓR ROBÓT</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color w:val="000000"/>
        </w:rPr>
      </w:pPr>
      <w:r w:rsidRPr="00946928">
        <w:rPr>
          <w:rFonts w:asciiTheme="minorHAnsi" w:hAnsiTheme="minorHAnsi"/>
          <w:color w:val="000000"/>
        </w:rPr>
        <w:t>Ogólne zasady odbioru robót podano w STWiORB D-M-00.00.00 „Wymagania ogólne” pkt 8.</w:t>
      </w:r>
    </w:p>
    <w:p w:rsidR="004F5BEB" w:rsidRPr="00946928" w:rsidRDefault="004F5BEB" w:rsidP="004F5BEB">
      <w:pPr>
        <w:rPr>
          <w:rFonts w:asciiTheme="minorHAnsi" w:hAnsiTheme="minorHAnsi"/>
          <w:color w:val="000000"/>
        </w:rPr>
      </w:pPr>
      <w:r w:rsidRPr="00946928">
        <w:rPr>
          <w:rFonts w:asciiTheme="minorHAnsi" w:hAnsiTheme="minorHAnsi"/>
          <w:color w:val="000000"/>
        </w:rPr>
        <w:t>Roboty uznaje się za wykonane zgodnie z dokumentacją projektową, STWiORB i wymaganiami Inżyniera, jeżeli wszystkie pomiary i badania z zachowaniem tolerancji wg pkt 6 dały wyniki pozytywne.</w:t>
      </w:r>
    </w:p>
    <w:p w:rsidR="004F5BEB" w:rsidRPr="00946928" w:rsidRDefault="004F5BEB" w:rsidP="004F5BEB">
      <w:pPr>
        <w:rPr>
          <w:rFonts w:asciiTheme="minorHAnsi" w:hAnsiTheme="minorHAnsi"/>
          <w:color w:val="000000"/>
        </w:rPr>
      </w:pPr>
    </w:p>
    <w:p w:rsidR="004F5BEB" w:rsidRPr="00946928" w:rsidRDefault="004F5BEB" w:rsidP="004F5BEB">
      <w:pPr>
        <w:rPr>
          <w:rFonts w:asciiTheme="minorHAnsi" w:hAnsiTheme="minorHAnsi"/>
          <w:b/>
          <w:color w:val="000000"/>
        </w:rPr>
      </w:pPr>
      <w:r w:rsidRPr="00946928">
        <w:rPr>
          <w:rFonts w:asciiTheme="minorHAnsi" w:hAnsiTheme="minorHAnsi"/>
          <w:b/>
          <w:color w:val="000000"/>
        </w:rPr>
        <w:t>9. PODSTAWA PŁATNOŚCI</w:t>
      </w:r>
    </w:p>
    <w:p w:rsidR="00D109A9" w:rsidRPr="00203191" w:rsidRDefault="004F5BEB" w:rsidP="00D109A9">
      <w:pPr>
        <w:pStyle w:val="Nagwek4"/>
        <w:tabs>
          <w:tab w:val="left" w:pos="9914"/>
        </w:tabs>
        <w:rPr>
          <w:rFonts w:asciiTheme="minorHAnsi" w:hAnsiTheme="minorHAnsi"/>
        </w:rPr>
      </w:pPr>
      <w:r w:rsidRPr="00946928">
        <w:rPr>
          <w:rFonts w:asciiTheme="minorHAnsi" w:hAnsiTheme="minorHAnsi"/>
        </w:rPr>
        <w:t xml:space="preserve"> </w:t>
      </w:r>
      <w:r w:rsidR="00D109A9" w:rsidRPr="00203191">
        <w:rPr>
          <w:rFonts w:asciiTheme="minorHAnsi" w:hAnsiTheme="minorHAnsi"/>
        </w:rPr>
        <w:t>9.1. Ogólne ustalenia dotyczące podstawy płatności</w:t>
      </w:r>
    </w:p>
    <w:p w:rsidR="00D109A9" w:rsidRPr="00203191" w:rsidRDefault="00D109A9" w:rsidP="00D109A9">
      <w:pPr>
        <w:rPr>
          <w:rFonts w:asciiTheme="minorHAnsi" w:hAnsiTheme="minorHAnsi"/>
        </w:rPr>
      </w:pPr>
      <w:r w:rsidRPr="00203191">
        <w:rPr>
          <w:rFonts w:asciiTheme="minorHAnsi" w:hAnsiTheme="minorHAnsi"/>
        </w:rPr>
        <w:t>Ogólne ustalenia dotyczące podstawy płatności podano w STWiORB D-M-00.00.00 „Wymagania ogólne” pkt 9.</w:t>
      </w:r>
    </w:p>
    <w:p w:rsidR="00D109A9" w:rsidRPr="00203191" w:rsidRDefault="00D109A9" w:rsidP="00D109A9">
      <w:pPr>
        <w:pStyle w:val="Nagwek4"/>
        <w:tabs>
          <w:tab w:val="left" w:pos="9914"/>
        </w:tabs>
        <w:rPr>
          <w:rFonts w:asciiTheme="minorHAnsi" w:hAnsiTheme="minorHAnsi"/>
        </w:rPr>
      </w:pPr>
      <w:r w:rsidRPr="00203191">
        <w:rPr>
          <w:rFonts w:asciiTheme="minorHAnsi" w:hAnsiTheme="minorHAnsi"/>
        </w:rPr>
        <w:t>9.2. Cena jednostki obmiarowej</w:t>
      </w:r>
    </w:p>
    <w:p w:rsidR="00D109A9" w:rsidRPr="00203191" w:rsidRDefault="00D109A9" w:rsidP="00D109A9">
      <w:pPr>
        <w:rPr>
          <w:rFonts w:asciiTheme="minorHAnsi" w:hAnsiTheme="minorHAnsi"/>
        </w:rPr>
      </w:pPr>
      <w:r w:rsidRPr="00203191">
        <w:rPr>
          <w:rFonts w:asciiTheme="minorHAnsi" w:hAnsiTheme="minorHAnsi"/>
        </w:rPr>
        <w:t xml:space="preserve">Cena wykonania 1 m </w:t>
      </w:r>
      <w:r>
        <w:rPr>
          <w:rFonts w:asciiTheme="minorHAnsi" w:hAnsiTheme="minorHAnsi"/>
        </w:rPr>
        <w:t>muru</w:t>
      </w:r>
      <w:r w:rsidRPr="00203191">
        <w:rPr>
          <w:rFonts w:asciiTheme="minorHAnsi" w:hAnsiTheme="minorHAnsi"/>
        </w:rPr>
        <w:t xml:space="preserve"> obejmuje:</w:t>
      </w:r>
    </w:p>
    <w:p w:rsidR="00D109A9" w:rsidRDefault="00D109A9" w:rsidP="00D109A9">
      <w:pPr>
        <w:numPr>
          <w:ilvl w:val="0"/>
          <w:numId w:val="38"/>
        </w:numPr>
        <w:rPr>
          <w:rFonts w:asciiTheme="minorHAnsi" w:hAnsiTheme="minorHAnsi"/>
        </w:rPr>
      </w:pPr>
      <w:r w:rsidRPr="00203191">
        <w:rPr>
          <w:rFonts w:asciiTheme="minorHAnsi" w:hAnsiTheme="minorHAnsi"/>
        </w:rPr>
        <w:t>roboty przygotowawcze,</w:t>
      </w:r>
    </w:p>
    <w:p w:rsidR="00D109A9" w:rsidRDefault="00D109A9" w:rsidP="00D109A9">
      <w:pPr>
        <w:numPr>
          <w:ilvl w:val="0"/>
          <w:numId w:val="38"/>
        </w:numPr>
        <w:rPr>
          <w:rFonts w:asciiTheme="minorHAnsi" w:hAnsiTheme="minorHAnsi"/>
        </w:rPr>
      </w:pPr>
      <w:r>
        <w:rPr>
          <w:rFonts w:asciiTheme="minorHAnsi" w:hAnsiTheme="minorHAnsi"/>
        </w:rPr>
        <w:t>wytyczenie obiektu w terenie</w:t>
      </w:r>
    </w:p>
    <w:p w:rsidR="00D109A9" w:rsidRDefault="00D109A9" w:rsidP="00D109A9">
      <w:pPr>
        <w:numPr>
          <w:ilvl w:val="0"/>
          <w:numId w:val="38"/>
        </w:numPr>
        <w:rPr>
          <w:rFonts w:asciiTheme="minorHAnsi" w:hAnsiTheme="minorHAnsi"/>
        </w:rPr>
      </w:pPr>
      <w:r>
        <w:rPr>
          <w:rFonts w:asciiTheme="minorHAnsi" w:hAnsiTheme="minorHAnsi"/>
        </w:rPr>
        <w:t>roboty ziemne dla posadowienia muru</w:t>
      </w:r>
    </w:p>
    <w:p w:rsidR="00D109A9" w:rsidRDefault="00D109A9" w:rsidP="00D109A9">
      <w:pPr>
        <w:numPr>
          <w:ilvl w:val="0"/>
          <w:numId w:val="38"/>
        </w:numPr>
        <w:rPr>
          <w:rFonts w:asciiTheme="minorHAnsi" w:hAnsiTheme="minorHAnsi"/>
        </w:rPr>
      </w:pPr>
      <w:r>
        <w:rPr>
          <w:rFonts w:asciiTheme="minorHAnsi" w:hAnsiTheme="minorHAnsi"/>
        </w:rPr>
        <w:t>wykonanie podkładu z kruszywa</w:t>
      </w:r>
    </w:p>
    <w:p w:rsidR="00D109A9" w:rsidRDefault="00D109A9" w:rsidP="00D109A9">
      <w:pPr>
        <w:numPr>
          <w:ilvl w:val="0"/>
          <w:numId w:val="38"/>
        </w:numPr>
        <w:rPr>
          <w:rFonts w:asciiTheme="minorHAnsi" w:hAnsiTheme="minorHAnsi"/>
        </w:rPr>
      </w:pPr>
      <w:r>
        <w:rPr>
          <w:rFonts w:asciiTheme="minorHAnsi" w:hAnsiTheme="minorHAnsi"/>
        </w:rPr>
        <w:t>wykonanie ławy betonowej</w:t>
      </w:r>
    </w:p>
    <w:p w:rsidR="00D109A9" w:rsidRDefault="00D109A9" w:rsidP="00D109A9">
      <w:pPr>
        <w:numPr>
          <w:ilvl w:val="0"/>
          <w:numId w:val="38"/>
        </w:numPr>
        <w:rPr>
          <w:rFonts w:asciiTheme="minorHAnsi" w:hAnsiTheme="minorHAnsi"/>
        </w:rPr>
      </w:pPr>
      <w:r>
        <w:rPr>
          <w:rFonts w:asciiTheme="minorHAnsi" w:hAnsiTheme="minorHAnsi"/>
        </w:rPr>
        <w:t>ułożenie elementów prefabrykowanych</w:t>
      </w:r>
    </w:p>
    <w:p w:rsidR="00D109A9" w:rsidRDefault="00D109A9" w:rsidP="00D109A9">
      <w:pPr>
        <w:numPr>
          <w:ilvl w:val="0"/>
          <w:numId w:val="38"/>
        </w:numPr>
        <w:rPr>
          <w:rFonts w:asciiTheme="minorHAnsi" w:hAnsiTheme="minorHAnsi"/>
        </w:rPr>
      </w:pPr>
      <w:r>
        <w:rPr>
          <w:rFonts w:asciiTheme="minorHAnsi" w:hAnsiTheme="minorHAnsi"/>
        </w:rPr>
        <w:t>ułożenie czapki muru</w:t>
      </w:r>
    </w:p>
    <w:p w:rsidR="00D109A9" w:rsidRDefault="00D109A9" w:rsidP="00D109A9">
      <w:pPr>
        <w:numPr>
          <w:ilvl w:val="0"/>
          <w:numId w:val="38"/>
        </w:numPr>
        <w:rPr>
          <w:rFonts w:asciiTheme="minorHAnsi" w:hAnsiTheme="minorHAnsi"/>
        </w:rPr>
      </w:pPr>
      <w:r>
        <w:rPr>
          <w:rFonts w:asciiTheme="minorHAnsi" w:hAnsiTheme="minorHAnsi"/>
        </w:rPr>
        <w:t>wykonanie izolacji muru</w:t>
      </w:r>
    </w:p>
    <w:p w:rsidR="00D109A9" w:rsidRDefault="00D109A9" w:rsidP="00D109A9">
      <w:pPr>
        <w:numPr>
          <w:ilvl w:val="0"/>
          <w:numId w:val="38"/>
        </w:numPr>
        <w:rPr>
          <w:rFonts w:asciiTheme="minorHAnsi" w:hAnsiTheme="minorHAnsi"/>
        </w:rPr>
      </w:pPr>
      <w:r>
        <w:rPr>
          <w:rFonts w:asciiTheme="minorHAnsi" w:hAnsiTheme="minorHAnsi"/>
        </w:rPr>
        <w:t>zasypkę muru i jej zagęszczenie</w:t>
      </w:r>
    </w:p>
    <w:p w:rsidR="00D109A9" w:rsidRPr="00203191" w:rsidRDefault="00D109A9" w:rsidP="00D109A9">
      <w:pPr>
        <w:numPr>
          <w:ilvl w:val="0"/>
          <w:numId w:val="38"/>
        </w:numPr>
        <w:rPr>
          <w:rFonts w:asciiTheme="minorHAnsi" w:hAnsiTheme="minorHAnsi"/>
        </w:rPr>
      </w:pPr>
      <w:r>
        <w:rPr>
          <w:rFonts w:asciiTheme="minorHAnsi" w:hAnsiTheme="minorHAnsi"/>
        </w:rPr>
        <w:t>pomiary i badania wymagane w STWiORB oraz dokumentacji technicznej</w:t>
      </w:r>
    </w:p>
    <w:p w:rsidR="004F5BEB" w:rsidRPr="00946928" w:rsidRDefault="004F5BEB" w:rsidP="004F5BEB">
      <w:pPr>
        <w:pStyle w:val="Nagwek3"/>
        <w:rPr>
          <w:rFonts w:asciiTheme="minorHAnsi" w:hAnsiTheme="minorHAnsi"/>
        </w:rPr>
      </w:pPr>
      <w:r w:rsidRPr="00946928">
        <w:rPr>
          <w:rFonts w:asciiTheme="minorHAnsi" w:hAnsiTheme="minorHAnsi"/>
        </w:rPr>
        <w:lastRenderedPageBreak/>
        <w:t>10. przepisy związane</w:t>
      </w:r>
    </w:p>
    <w:p w:rsidR="004F5BEB" w:rsidRPr="00946928" w:rsidRDefault="004F5BEB" w:rsidP="004F5BEB">
      <w:pPr>
        <w:rPr>
          <w:rFonts w:asciiTheme="minorHAnsi" w:hAnsiTheme="minorHAnsi"/>
          <w:color w:val="000000"/>
        </w:rPr>
      </w:pPr>
    </w:p>
    <w:tbl>
      <w:tblPr>
        <w:tblW w:w="9779" w:type="dxa"/>
        <w:tblLook w:val="04A0"/>
      </w:tblPr>
      <w:tblGrid>
        <w:gridCol w:w="2376"/>
        <w:gridCol w:w="7403"/>
      </w:tblGrid>
      <w:tr w:rsidR="004F5BEB" w:rsidRPr="00946928" w:rsidTr="004F5BEB">
        <w:trPr>
          <w:trHeight w:val="515"/>
        </w:trPr>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5"/>
              </w:rPr>
              <w:t>PN-EN-10002-1;</w:t>
            </w:r>
          </w:p>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rPr>
              <w:t>2002 (U)</w:t>
            </w:r>
          </w:p>
        </w:tc>
        <w:tc>
          <w:tcPr>
            <w:tcW w:w="7403" w:type="dxa"/>
            <w:shd w:val="clear" w:color="auto" w:fill="auto"/>
          </w:tcPr>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Metale  -  Próba rozciągania -  Metoda badania w temperaturze</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spacing w:val="-1"/>
              </w:rPr>
              <w:t>Otoczenia</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4"/>
              </w:rPr>
              <w:t xml:space="preserve">PN-EN-10244-2; </w:t>
            </w:r>
            <w:r w:rsidRPr="00946928">
              <w:rPr>
                <w:rFonts w:asciiTheme="minorHAnsi" w:hAnsiTheme="minorHAnsi"/>
                <w:color w:val="000000"/>
              </w:rPr>
              <w:t>2002 (U)</w:t>
            </w:r>
          </w:p>
        </w:tc>
        <w:tc>
          <w:tcPr>
            <w:tcW w:w="7403" w:type="dxa"/>
            <w:shd w:val="clear" w:color="auto" w:fill="auto"/>
          </w:tcPr>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Drut stalowy i wyroby z drutu - Powłoki z metali nieżelaznych na</w:t>
            </w:r>
          </w:p>
          <w:p w:rsidR="004F5BEB" w:rsidRPr="00946928" w:rsidRDefault="004F5BEB" w:rsidP="004F5BEB">
            <w:pPr>
              <w:rPr>
                <w:rFonts w:asciiTheme="minorHAnsi" w:hAnsiTheme="minorHAnsi"/>
                <w:color w:val="000000"/>
              </w:rPr>
            </w:pPr>
            <w:r w:rsidRPr="00946928">
              <w:rPr>
                <w:rFonts w:asciiTheme="minorHAnsi" w:hAnsiTheme="minorHAnsi"/>
                <w:color w:val="000000"/>
              </w:rPr>
              <w:t>drucie stalowym - Część 2 Powłoki z cynku lub ze stopów cynku</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4"/>
              </w:rPr>
              <w:t>PN-B-06050:99</w:t>
            </w:r>
          </w:p>
        </w:tc>
        <w:tc>
          <w:tcPr>
            <w:tcW w:w="7403" w:type="dxa"/>
            <w:shd w:val="clear" w:color="auto" w:fill="auto"/>
          </w:tcPr>
          <w:p w:rsidR="004F5BEB" w:rsidRPr="00946928" w:rsidRDefault="004F5BEB" w:rsidP="004F5BEB">
            <w:pPr>
              <w:shd w:val="clear" w:color="auto" w:fill="FFFFFF"/>
              <w:ind w:left="14"/>
              <w:rPr>
                <w:rFonts w:asciiTheme="minorHAnsi" w:hAnsiTheme="minorHAnsi"/>
              </w:rPr>
            </w:pPr>
            <w:r w:rsidRPr="00946928">
              <w:rPr>
                <w:rFonts w:asciiTheme="minorHAnsi" w:hAnsiTheme="minorHAnsi"/>
                <w:color w:val="000000"/>
              </w:rPr>
              <w:t>Geotechnika - Roboty ziemne - Wymagania ogólne</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2"/>
              </w:rPr>
              <w:t>PN-EN 13242</w:t>
            </w:r>
          </w:p>
        </w:tc>
        <w:tc>
          <w:tcPr>
            <w:tcW w:w="7403" w:type="dxa"/>
            <w:shd w:val="clear" w:color="auto" w:fill="auto"/>
          </w:tcPr>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Kruszywa do niezwiązanych i związanych hydraulicznie materiałów</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stosowanych w obiektach budowlanych i budownictwie drogowym</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2"/>
              </w:rPr>
              <w:t>PN-EN 13369</w:t>
            </w:r>
          </w:p>
        </w:tc>
        <w:tc>
          <w:tcPr>
            <w:tcW w:w="7403" w:type="dxa"/>
            <w:shd w:val="clear" w:color="auto" w:fill="auto"/>
          </w:tcPr>
          <w:p w:rsidR="004F5BEB" w:rsidRPr="00946928" w:rsidRDefault="004F5BEB" w:rsidP="004F5BEB">
            <w:pPr>
              <w:rPr>
                <w:rFonts w:asciiTheme="minorHAnsi" w:hAnsiTheme="minorHAnsi"/>
                <w:color w:val="000000"/>
              </w:rPr>
            </w:pPr>
            <w:r w:rsidRPr="00946928">
              <w:rPr>
                <w:rFonts w:asciiTheme="minorHAnsi" w:hAnsiTheme="minorHAnsi"/>
                <w:color w:val="000000"/>
              </w:rPr>
              <w:t>Wspólne wymagania dla prefabrykatów z betonu.</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rPr>
              <w:t>PN-EN-03010:1983</w:t>
            </w:r>
          </w:p>
        </w:tc>
        <w:tc>
          <w:tcPr>
            <w:tcW w:w="7403" w:type="dxa"/>
            <w:shd w:val="clear" w:color="auto" w:fill="auto"/>
          </w:tcPr>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Statystyczna kontrola jakości. Losowy wybór jednostek produktu do</w:t>
            </w:r>
          </w:p>
          <w:p w:rsidR="004F5BEB" w:rsidRPr="00946928" w:rsidRDefault="004F5BEB" w:rsidP="004F5BEB">
            <w:pPr>
              <w:shd w:val="clear" w:color="auto" w:fill="FFFFFF"/>
              <w:rPr>
                <w:rFonts w:asciiTheme="minorHAnsi" w:hAnsiTheme="minorHAnsi"/>
              </w:rPr>
            </w:pPr>
            <w:r w:rsidRPr="00946928">
              <w:rPr>
                <w:rFonts w:asciiTheme="minorHAnsi" w:hAnsiTheme="minorHAnsi"/>
                <w:color w:val="000000"/>
                <w:spacing w:val="-1"/>
              </w:rPr>
              <w:t>Próbek</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rPr>
              <w:t>PN-ISO 9862:1994</w:t>
            </w:r>
          </w:p>
        </w:tc>
        <w:tc>
          <w:tcPr>
            <w:tcW w:w="7403" w:type="dxa"/>
            <w:shd w:val="clear" w:color="auto" w:fill="auto"/>
          </w:tcPr>
          <w:p w:rsidR="004F5BEB" w:rsidRPr="00946928" w:rsidRDefault="004F5BEB" w:rsidP="004F5BEB">
            <w:pPr>
              <w:shd w:val="clear" w:color="auto" w:fill="FFFFFF"/>
              <w:ind w:left="14"/>
              <w:rPr>
                <w:rFonts w:asciiTheme="minorHAnsi" w:hAnsiTheme="minorHAnsi"/>
              </w:rPr>
            </w:pPr>
            <w:r w:rsidRPr="00946928">
              <w:rPr>
                <w:rFonts w:asciiTheme="minorHAnsi" w:hAnsiTheme="minorHAnsi"/>
                <w:color w:val="000000"/>
              </w:rPr>
              <w:t>Geotekstylia.  Pobieranie próbek laboratoryjnych i przygotowanie</w:t>
            </w:r>
          </w:p>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spacing w:val="-1"/>
              </w:rPr>
              <w:t>próbek do badań.</w:t>
            </w:r>
          </w:p>
        </w:tc>
      </w:tr>
      <w:tr w:rsidR="004F5BEB" w:rsidRPr="00946928" w:rsidTr="004F5BEB">
        <w:tc>
          <w:tcPr>
            <w:tcW w:w="2376" w:type="dxa"/>
            <w:shd w:val="clear" w:color="auto" w:fill="auto"/>
          </w:tcPr>
          <w:p w:rsidR="004F5BEB" w:rsidRPr="00946928" w:rsidRDefault="004F5BEB" w:rsidP="004F5BEB">
            <w:pPr>
              <w:shd w:val="clear" w:color="auto" w:fill="FFFFFF"/>
              <w:ind w:left="5"/>
              <w:jc w:val="left"/>
              <w:rPr>
                <w:rFonts w:asciiTheme="minorHAnsi" w:hAnsiTheme="minorHAnsi"/>
              </w:rPr>
            </w:pPr>
            <w:r w:rsidRPr="00946928">
              <w:rPr>
                <w:rFonts w:asciiTheme="minorHAnsi" w:hAnsiTheme="minorHAnsi"/>
                <w:color w:val="000000"/>
              </w:rPr>
              <w:t>PN-S-02205</w:t>
            </w:r>
          </w:p>
        </w:tc>
        <w:tc>
          <w:tcPr>
            <w:tcW w:w="7403" w:type="dxa"/>
            <w:shd w:val="clear" w:color="auto" w:fill="auto"/>
          </w:tcPr>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rPr>
              <w:t>Drogi samochodowe. Roboty ziemne. Wymagania i badania</w:t>
            </w:r>
          </w:p>
        </w:tc>
      </w:tr>
      <w:tr w:rsidR="004F5BEB" w:rsidRPr="00946928" w:rsidTr="004F5BEB">
        <w:tc>
          <w:tcPr>
            <w:tcW w:w="2376" w:type="dxa"/>
            <w:shd w:val="clear" w:color="auto" w:fill="auto"/>
          </w:tcPr>
          <w:p w:rsidR="004F5BEB" w:rsidRPr="00946928" w:rsidRDefault="004F5BEB" w:rsidP="004F5BEB">
            <w:pPr>
              <w:shd w:val="clear" w:color="auto" w:fill="FFFFFF"/>
              <w:ind w:left="5"/>
              <w:jc w:val="left"/>
              <w:rPr>
                <w:rFonts w:asciiTheme="minorHAnsi" w:hAnsiTheme="minorHAnsi"/>
              </w:rPr>
            </w:pPr>
            <w:r w:rsidRPr="00946928">
              <w:rPr>
                <w:rFonts w:asciiTheme="minorHAnsi" w:hAnsiTheme="minorHAnsi"/>
                <w:color w:val="000000"/>
              </w:rPr>
              <w:t>PN-B-06050</w:t>
            </w:r>
          </w:p>
        </w:tc>
        <w:tc>
          <w:tcPr>
            <w:tcW w:w="7403" w:type="dxa"/>
            <w:shd w:val="clear" w:color="auto" w:fill="auto"/>
          </w:tcPr>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rPr>
              <w:t>Roboty ziemne budowlane. Wymagania w zakresie wykonywania i</w:t>
            </w:r>
          </w:p>
          <w:p w:rsidR="004F5BEB" w:rsidRPr="00946928" w:rsidRDefault="004F5BEB" w:rsidP="004F5BEB">
            <w:pPr>
              <w:rPr>
                <w:rFonts w:asciiTheme="minorHAnsi" w:hAnsiTheme="minorHAnsi"/>
                <w:color w:val="000000"/>
              </w:rPr>
            </w:pPr>
            <w:r w:rsidRPr="00946928">
              <w:rPr>
                <w:rFonts w:asciiTheme="minorHAnsi" w:hAnsiTheme="minorHAnsi"/>
                <w:color w:val="000000"/>
                <w:spacing w:val="-1"/>
              </w:rPr>
              <w:t>badania przy odbiorze</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3"/>
              </w:rPr>
              <w:t>PN-EN 206-1</w:t>
            </w:r>
          </w:p>
        </w:tc>
        <w:tc>
          <w:tcPr>
            <w:tcW w:w="7403" w:type="dxa"/>
            <w:shd w:val="clear" w:color="auto" w:fill="auto"/>
          </w:tcPr>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spacing w:val="-3"/>
              </w:rPr>
              <w:t>Beton</w:t>
            </w:r>
          </w:p>
        </w:tc>
      </w:tr>
      <w:tr w:rsidR="004F5BEB" w:rsidRPr="00946928" w:rsidTr="004F5BEB">
        <w:tc>
          <w:tcPr>
            <w:tcW w:w="2376" w:type="dxa"/>
            <w:shd w:val="clear" w:color="auto" w:fill="auto"/>
          </w:tcPr>
          <w:p w:rsidR="004F5BEB" w:rsidRPr="00946928" w:rsidRDefault="004F5BEB" w:rsidP="004F5BEB">
            <w:pPr>
              <w:shd w:val="clear" w:color="auto" w:fill="FFFFFF"/>
              <w:ind w:left="5"/>
              <w:jc w:val="left"/>
              <w:rPr>
                <w:rFonts w:asciiTheme="minorHAnsi" w:hAnsiTheme="minorHAnsi"/>
              </w:rPr>
            </w:pPr>
            <w:r w:rsidRPr="00946928">
              <w:rPr>
                <w:rFonts w:asciiTheme="minorHAnsi" w:hAnsiTheme="minorHAnsi"/>
                <w:color w:val="000000"/>
              </w:rPr>
              <w:t>PN-B-06251</w:t>
            </w:r>
          </w:p>
        </w:tc>
        <w:tc>
          <w:tcPr>
            <w:tcW w:w="7403" w:type="dxa"/>
            <w:shd w:val="clear" w:color="auto" w:fill="auto"/>
          </w:tcPr>
          <w:p w:rsidR="004F5BEB" w:rsidRPr="00946928" w:rsidRDefault="004F5BEB" w:rsidP="004F5BEB">
            <w:pPr>
              <w:rPr>
                <w:rFonts w:asciiTheme="minorHAnsi" w:hAnsiTheme="minorHAnsi"/>
                <w:color w:val="000000"/>
              </w:rPr>
            </w:pPr>
            <w:r w:rsidRPr="00946928">
              <w:rPr>
                <w:rFonts w:asciiTheme="minorHAnsi" w:hAnsiTheme="minorHAnsi"/>
                <w:color w:val="000000"/>
              </w:rPr>
              <w:t>Roboty betonowe i żelbetowe. Wymagania techniczne</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2"/>
              </w:rPr>
              <w:t>PN-EN 12620</w:t>
            </w:r>
          </w:p>
        </w:tc>
        <w:tc>
          <w:tcPr>
            <w:tcW w:w="7403" w:type="dxa"/>
            <w:shd w:val="clear" w:color="auto" w:fill="auto"/>
          </w:tcPr>
          <w:p w:rsidR="004F5BEB" w:rsidRPr="00946928" w:rsidRDefault="004F5BEB" w:rsidP="004F5BEB">
            <w:pPr>
              <w:rPr>
                <w:rFonts w:asciiTheme="minorHAnsi" w:hAnsiTheme="minorHAnsi"/>
                <w:color w:val="000000"/>
              </w:rPr>
            </w:pPr>
            <w:r w:rsidRPr="00946928">
              <w:rPr>
                <w:rFonts w:asciiTheme="minorHAnsi" w:hAnsiTheme="minorHAnsi"/>
                <w:color w:val="000000"/>
                <w:spacing w:val="-1"/>
              </w:rPr>
              <w:t>Kruszywa do betonu</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spacing w:val="-3"/>
              </w:rPr>
              <w:t>PN-EN 197-1</w:t>
            </w:r>
          </w:p>
        </w:tc>
        <w:tc>
          <w:tcPr>
            <w:tcW w:w="7403" w:type="dxa"/>
            <w:shd w:val="clear" w:color="auto" w:fill="auto"/>
          </w:tcPr>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spacing w:val="-2"/>
              </w:rPr>
              <w:t>Cement.    Skład,    wymagania    i    kryteria    zgodności    dotyczące</w:t>
            </w:r>
          </w:p>
          <w:p w:rsidR="004F5BEB" w:rsidRPr="00946928" w:rsidRDefault="004F5BEB" w:rsidP="004F5BEB">
            <w:pPr>
              <w:shd w:val="clear" w:color="auto" w:fill="FFFFFF"/>
              <w:ind w:left="10"/>
              <w:rPr>
                <w:rFonts w:asciiTheme="minorHAnsi" w:hAnsiTheme="minorHAnsi"/>
              </w:rPr>
            </w:pPr>
            <w:r w:rsidRPr="00946928">
              <w:rPr>
                <w:rFonts w:asciiTheme="minorHAnsi" w:hAnsiTheme="minorHAnsi"/>
                <w:color w:val="000000"/>
                <w:spacing w:val="-1"/>
              </w:rPr>
              <w:t>cementów powszechnego użytku.</w:t>
            </w:r>
          </w:p>
        </w:tc>
      </w:tr>
      <w:tr w:rsidR="004F5BEB" w:rsidRPr="00946928" w:rsidTr="004F5BEB">
        <w:tc>
          <w:tcPr>
            <w:tcW w:w="2376" w:type="dxa"/>
            <w:shd w:val="clear" w:color="auto" w:fill="auto"/>
          </w:tcPr>
          <w:p w:rsidR="004F5BEB" w:rsidRPr="00946928" w:rsidRDefault="004F5BEB" w:rsidP="004F5BEB">
            <w:pPr>
              <w:shd w:val="clear" w:color="auto" w:fill="FFFFFF"/>
              <w:jc w:val="left"/>
              <w:rPr>
                <w:rFonts w:asciiTheme="minorHAnsi" w:hAnsiTheme="minorHAnsi"/>
              </w:rPr>
            </w:pPr>
            <w:r w:rsidRPr="00946928">
              <w:rPr>
                <w:rFonts w:asciiTheme="minorHAnsi" w:hAnsiTheme="minorHAnsi"/>
                <w:color w:val="000000"/>
              </w:rPr>
              <w:t>PN-EN 1008</w:t>
            </w:r>
          </w:p>
        </w:tc>
        <w:tc>
          <w:tcPr>
            <w:tcW w:w="7403" w:type="dxa"/>
            <w:shd w:val="clear" w:color="auto" w:fill="auto"/>
          </w:tcPr>
          <w:p w:rsidR="004F5BEB" w:rsidRPr="00946928" w:rsidRDefault="004F5BEB" w:rsidP="004F5BEB">
            <w:pPr>
              <w:rPr>
                <w:rFonts w:asciiTheme="minorHAnsi" w:hAnsiTheme="minorHAnsi"/>
                <w:color w:val="000000"/>
              </w:rPr>
            </w:pPr>
            <w:r w:rsidRPr="00946928">
              <w:rPr>
                <w:rFonts w:asciiTheme="minorHAnsi" w:hAnsiTheme="minorHAnsi"/>
                <w:color w:val="000000"/>
                <w:spacing w:val="-1"/>
              </w:rPr>
              <w:t>Woda zarobowa do betonu</w:t>
            </w:r>
          </w:p>
        </w:tc>
      </w:tr>
      <w:tr w:rsidR="004F5BEB" w:rsidRPr="00946928" w:rsidTr="004F5BEB">
        <w:tc>
          <w:tcPr>
            <w:tcW w:w="2376" w:type="dxa"/>
            <w:shd w:val="clear" w:color="auto" w:fill="auto"/>
          </w:tcPr>
          <w:p w:rsidR="004F5BEB" w:rsidRPr="00946928" w:rsidRDefault="004F5BEB" w:rsidP="004F5BEB">
            <w:pPr>
              <w:shd w:val="clear" w:color="auto" w:fill="FFFFFF"/>
              <w:ind w:left="5"/>
              <w:jc w:val="left"/>
              <w:rPr>
                <w:rFonts w:asciiTheme="minorHAnsi" w:hAnsiTheme="minorHAnsi"/>
              </w:rPr>
            </w:pPr>
            <w:r w:rsidRPr="00946928">
              <w:rPr>
                <w:rFonts w:asciiTheme="minorHAnsi" w:hAnsiTheme="minorHAnsi"/>
                <w:color w:val="000000"/>
              </w:rPr>
              <w:t>PN-B-24620</w:t>
            </w:r>
          </w:p>
        </w:tc>
        <w:tc>
          <w:tcPr>
            <w:tcW w:w="7403" w:type="dxa"/>
            <w:shd w:val="clear" w:color="auto" w:fill="auto"/>
          </w:tcPr>
          <w:p w:rsidR="004F5BEB" w:rsidRPr="00946928" w:rsidRDefault="004F5BEB" w:rsidP="004F5BEB">
            <w:pPr>
              <w:shd w:val="clear" w:color="auto" w:fill="FFFFFF"/>
              <w:ind w:left="5"/>
              <w:rPr>
                <w:rFonts w:asciiTheme="minorHAnsi" w:hAnsiTheme="minorHAnsi"/>
              </w:rPr>
            </w:pPr>
            <w:r w:rsidRPr="00946928">
              <w:rPr>
                <w:rFonts w:asciiTheme="minorHAnsi" w:hAnsiTheme="minorHAnsi"/>
                <w:color w:val="000000"/>
                <w:spacing w:val="-1"/>
              </w:rPr>
              <w:t>Lepik asfaltowy stosowany na zimno</w:t>
            </w:r>
          </w:p>
        </w:tc>
      </w:tr>
    </w:tbl>
    <w:p w:rsidR="00FB6574" w:rsidRDefault="00FB6574" w:rsidP="00256565">
      <w:pPr>
        <w:pStyle w:val="Tekstpodstawowy"/>
        <w:spacing w:line="240" w:lineRule="auto"/>
        <w:jc w:val="center"/>
        <w:rPr>
          <w:rFonts w:asciiTheme="minorHAnsi" w:hAnsiTheme="minorHAnsi"/>
          <w:b/>
          <w:sz w:val="20"/>
          <w:szCs w:val="20"/>
        </w:rPr>
      </w:pPr>
    </w:p>
    <w:p w:rsidR="002412CC" w:rsidRDefault="002412CC" w:rsidP="00256565">
      <w:pPr>
        <w:pStyle w:val="Tekstpodstawowy"/>
        <w:spacing w:line="240" w:lineRule="auto"/>
        <w:jc w:val="center"/>
        <w:rPr>
          <w:rFonts w:asciiTheme="minorHAnsi" w:hAnsiTheme="minorHAnsi"/>
          <w:b/>
          <w:sz w:val="20"/>
          <w:szCs w:val="20"/>
        </w:rPr>
      </w:pPr>
    </w:p>
    <w:p w:rsidR="002412CC" w:rsidRDefault="002412CC" w:rsidP="00256565">
      <w:pPr>
        <w:pStyle w:val="Tekstpodstawowy"/>
        <w:spacing w:line="240" w:lineRule="auto"/>
        <w:jc w:val="center"/>
        <w:rPr>
          <w:rFonts w:asciiTheme="minorHAnsi" w:hAnsiTheme="minorHAnsi"/>
          <w:b/>
          <w:sz w:val="20"/>
          <w:szCs w:val="20"/>
        </w:rPr>
      </w:pPr>
    </w:p>
    <w:p w:rsidR="002412CC" w:rsidRDefault="002412CC" w:rsidP="00256565">
      <w:pPr>
        <w:pStyle w:val="Tekstpodstawowy"/>
        <w:spacing w:line="240" w:lineRule="auto"/>
        <w:jc w:val="center"/>
        <w:rPr>
          <w:rFonts w:asciiTheme="minorHAnsi" w:hAnsiTheme="minorHAnsi"/>
          <w:b/>
          <w:sz w:val="20"/>
          <w:szCs w:val="20"/>
        </w:rPr>
      </w:pPr>
    </w:p>
    <w:p w:rsidR="002412CC" w:rsidRDefault="002412CC" w:rsidP="00256565">
      <w:pPr>
        <w:pStyle w:val="Tekstpodstawowy"/>
        <w:spacing w:line="240" w:lineRule="auto"/>
        <w:jc w:val="center"/>
        <w:rPr>
          <w:rFonts w:asciiTheme="minorHAnsi" w:hAnsiTheme="minorHAnsi"/>
          <w:b/>
          <w:sz w:val="20"/>
          <w:szCs w:val="20"/>
        </w:rPr>
      </w:pPr>
    </w:p>
    <w:p w:rsidR="002412CC" w:rsidRDefault="002412CC" w:rsidP="00256565">
      <w:pPr>
        <w:pStyle w:val="Tekstpodstawowy"/>
        <w:spacing w:line="240" w:lineRule="auto"/>
        <w:jc w:val="center"/>
        <w:rPr>
          <w:rFonts w:asciiTheme="minorHAnsi" w:hAnsiTheme="minorHAnsi"/>
          <w:b/>
          <w:sz w:val="20"/>
          <w:szCs w:val="20"/>
        </w:rPr>
      </w:pPr>
    </w:p>
    <w:p w:rsidR="002412CC" w:rsidRDefault="002412CC" w:rsidP="00256565">
      <w:pPr>
        <w:pStyle w:val="Tekstpodstawowy"/>
        <w:spacing w:line="240" w:lineRule="auto"/>
        <w:jc w:val="center"/>
        <w:rPr>
          <w:rFonts w:asciiTheme="minorHAnsi" w:hAnsiTheme="minorHAnsi"/>
          <w:b/>
          <w:sz w:val="20"/>
          <w:szCs w:val="20"/>
        </w:rPr>
      </w:pPr>
    </w:p>
    <w:p w:rsidR="002412CC" w:rsidRDefault="002412CC">
      <w:pPr>
        <w:overflowPunct/>
        <w:autoSpaceDE/>
        <w:autoSpaceDN/>
        <w:adjustRightInd/>
        <w:jc w:val="left"/>
        <w:textAlignment w:val="auto"/>
        <w:rPr>
          <w:rFonts w:asciiTheme="minorHAnsi" w:hAnsiTheme="minorHAnsi"/>
          <w:b/>
        </w:rPr>
      </w:pPr>
      <w:r>
        <w:rPr>
          <w:rFonts w:asciiTheme="minorHAnsi" w:hAnsiTheme="minorHAnsi"/>
          <w:b/>
        </w:rPr>
        <w:br w:type="page"/>
      </w:r>
    </w:p>
    <w:p w:rsidR="002412CC" w:rsidRDefault="002412CC" w:rsidP="00200005">
      <w:pPr>
        <w:pStyle w:val="Nagwek2"/>
      </w:pPr>
      <w:r>
        <w:lastRenderedPageBreak/>
        <w:t xml:space="preserve">SZCZEGÓŁOWA SPECYFIKACJA TECHNICZNA WYKONANIA I </w:t>
      </w:r>
      <w:r w:rsidRPr="00200005">
        <w:t>ODBIORU ROBÓT BUDOWLANYCH</w:t>
      </w:r>
    </w:p>
    <w:p w:rsidR="002412CC" w:rsidRPr="00200005" w:rsidRDefault="002412CC" w:rsidP="00200005">
      <w:pPr>
        <w:pStyle w:val="Nagwek1"/>
      </w:pPr>
      <w:bookmarkStart w:id="1353" w:name="_Toc406569808"/>
      <w:bookmarkStart w:id="1354" w:name="_Toc406562998"/>
      <w:bookmarkStart w:id="1355" w:name="_Toc334095478"/>
      <w:bookmarkStart w:id="1356" w:name="_Toc333657292"/>
      <w:bookmarkStart w:id="1357" w:name="_Toc288993921"/>
      <w:bookmarkStart w:id="1358" w:name="_Toc425766144"/>
      <w:bookmarkStart w:id="1359" w:name="_Toc427178301"/>
      <w:bookmarkStart w:id="1360" w:name="_Toc459929686"/>
      <w:r w:rsidRPr="00200005">
        <w:t>ST.01.  POWIERZCHNIOWE ZABEZPIECZENIE BETONU</w:t>
      </w:r>
      <w:bookmarkEnd w:id="1353"/>
      <w:bookmarkEnd w:id="1354"/>
      <w:bookmarkEnd w:id="1355"/>
      <w:bookmarkEnd w:id="1356"/>
      <w:bookmarkEnd w:id="1357"/>
      <w:r w:rsidRPr="00200005">
        <w:t xml:space="preserve"> Z POWŁOKĄ ANTYGRAFFITI</w:t>
      </w:r>
      <w:bookmarkEnd w:id="1358"/>
      <w:bookmarkEnd w:id="1359"/>
      <w:bookmarkEnd w:id="1360"/>
      <w:r w:rsidRPr="00200005">
        <w:t xml:space="preserve"> </w:t>
      </w:r>
    </w:p>
    <w:p w:rsidR="002412CC" w:rsidRPr="00E5206A" w:rsidRDefault="002412CC" w:rsidP="00E5206A">
      <w:pPr>
        <w:pStyle w:val="Nagwek3"/>
      </w:pPr>
      <w:r w:rsidRPr="00E5206A">
        <w:t>1. Wstęp</w:t>
      </w:r>
    </w:p>
    <w:p w:rsidR="002412CC" w:rsidRDefault="002412CC" w:rsidP="002412CC">
      <w:pPr>
        <w:pStyle w:val="Nagwek4"/>
        <w:tabs>
          <w:tab w:val="left" w:pos="9914"/>
        </w:tabs>
        <w:rPr>
          <w:rFonts w:asciiTheme="minorHAnsi" w:hAnsiTheme="minorHAnsi"/>
        </w:rPr>
      </w:pPr>
      <w:r>
        <w:t>1.1. Przedmiot STWiORB</w:t>
      </w:r>
    </w:p>
    <w:p w:rsidR="002412CC" w:rsidRDefault="002412CC" w:rsidP="002412CC">
      <w:pPr>
        <w:tabs>
          <w:tab w:val="left" w:pos="9914"/>
        </w:tabs>
        <w:rPr>
          <w:rFonts w:asciiTheme="minorHAnsi" w:hAnsiTheme="minorHAnsi"/>
        </w:rPr>
      </w:pPr>
      <w:r>
        <w:rPr>
          <w:rFonts w:asciiTheme="minorHAnsi" w:hAnsiTheme="minorHAnsi"/>
        </w:rPr>
        <w:t xml:space="preserve">Przedmiotem niniejszej Specyfikacji Technicznej Wykonania i Odbioru Robót Budowlanych (SSTWiORB) są wymagania dotyczące wykonania i odbioru powierzchniowych zabezpieczeń antykorozyjnych elementów betonowych dla obiektów inżynierskich . </w:t>
      </w:r>
    </w:p>
    <w:p w:rsidR="002412CC" w:rsidRDefault="002412CC" w:rsidP="002412CC">
      <w:pPr>
        <w:pStyle w:val="Nagwek4"/>
        <w:tabs>
          <w:tab w:val="left" w:pos="9914"/>
        </w:tabs>
        <w:rPr>
          <w:rFonts w:asciiTheme="minorHAnsi" w:hAnsiTheme="minorHAnsi"/>
        </w:rPr>
      </w:pPr>
      <w:r>
        <w:t xml:space="preserve">1.2. Zakres stosowania STWiORB </w:t>
      </w:r>
    </w:p>
    <w:p w:rsidR="002412CC" w:rsidRDefault="002412CC" w:rsidP="002412CC">
      <w:pPr>
        <w:pStyle w:val="Nagwek7"/>
        <w:tabs>
          <w:tab w:val="left" w:pos="9914"/>
        </w:tabs>
        <w:rPr>
          <w:rFonts w:asciiTheme="minorHAnsi" w:hAnsiTheme="minorHAnsi"/>
          <w:sz w:val="22"/>
          <w:szCs w:val="22"/>
        </w:rPr>
      </w:pPr>
      <w:r>
        <w:rPr>
          <w:rFonts w:asciiTheme="minorHAnsi" w:hAnsiTheme="minorHAnsi"/>
        </w:rPr>
        <w:t>Specyfikacja techniczna stanowi dokument przetargowy i kontraktowy przy realizacji  zadania  pn</w:t>
      </w:r>
      <w:r w:rsidR="0030095A">
        <w:rPr>
          <w:rFonts w:asciiTheme="minorHAnsi" w:hAnsiTheme="minorHAnsi"/>
        </w:rPr>
        <w:t xml:space="preserve">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r>
        <w:rPr>
          <w:rFonts w:ascii="Calibri" w:hAnsi="Calibri" w:cs="Calibri"/>
          <w:b/>
          <w:bCs/>
          <w:color w:val="000000"/>
          <w:sz w:val="22"/>
          <w:szCs w:val="22"/>
        </w:rPr>
        <w:t xml:space="preserve">  </w:t>
      </w:r>
      <w:r>
        <w:rPr>
          <w:rFonts w:asciiTheme="minorHAnsi" w:hAnsiTheme="minorHAnsi"/>
          <w:color w:val="000000"/>
          <w:spacing w:val="-1"/>
          <w:sz w:val="22"/>
          <w:szCs w:val="22"/>
        </w:rPr>
        <w:t xml:space="preserve"> </w:t>
      </w:r>
      <w:r>
        <w:rPr>
          <w:rFonts w:asciiTheme="minorHAnsi" w:hAnsiTheme="minorHAnsi" w:cs="Arial"/>
          <w:b/>
          <w:bCs/>
          <w:sz w:val="22"/>
          <w:szCs w:val="22"/>
        </w:rPr>
        <w:t xml:space="preserve"> </w:t>
      </w:r>
      <w:r>
        <w:rPr>
          <w:rFonts w:asciiTheme="minorHAnsi" w:hAnsiTheme="minorHAnsi"/>
          <w:color w:val="000000"/>
          <w:spacing w:val="-1"/>
          <w:sz w:val="22"/>
          <w:szCs w:val="22"/>
        </w:rPr>
        <w:t xml:space="preserve"> </w:t>
      </w:r>
      <w:r>
        <w:rPr>
          <w:rFonts w:asciiTheme="minorHAnsi" w:hAnsiTheme="minorHAnsi" w:cs="Arial"/>
          <w:b/>
          <w:bCs/>
          <w:sz w:val="22"/>
          <w:szCs w:val="22"/>
        </w:rPr>
        <w:t xml:space="preserve"> </w:t>
      </w:r>
      <w:r>
        <w:rPr>
          <w:rFonts w:asciiTheme="minorHAnsi" w:hAnsiTheme="minorHAnsi"/>
          <w:color w:val="000000"/>
          <w:spacing w:val="-1"/>
          <w:sz w:val="22"/>
          <w:szCs w:val="22"/>
        </w:rPr>
        <w:t xml:space="preserve"> </w:t>
      </w:r>
      <w:r>
        <w:rPr>
          <w:rFonts w:asciiTheme="minorHAnsi" w:hAnsiTheme="minorHAnsi" w:cs="Arial"/>
          <w:b/>
          <w:bCs/>
          <w:sz w:val="22"/>
          <w:szCs w:val="22"/>
        </w:rPr>
        <w:t xml:space="preserve"> </w:t>
      </w:r>
      <w:r>
        <w:rPr>
          <w:rFonts w:asciiTheme="minorHAnsi" w:hAnsiTheme="minorHAnsi"/>
          <w:color w:val="000000"/>
          <w:spacing w:val="-1"/>
          <w:sz w:val="22"/>
          <w:szCs w:val="22"/>
        </w:rPr>
        <w:t xml:space="preserve">   </w:t>
      </w:r>
      <w:r>
        <w:rPr>
          <w:rFonts w:asciiTheme="minorHAnsi" w:hAnsiTheme="minorHAnsi" w:cs="Arial"/>
          <w:b/>
          <w:bCs/>
          <w:sz w:val="22"/>
          <w:szCs w:val="22"/>
        </w:rPr>
        <w:t xml:space="preserve"> </w:t>
      </w:r>
    </w:p>
    <w:p w:rsidR="002412CC" w:rsidRDefault="002412CC" w:rsidP="002412CC">
      <w:pPr>
        <w:pStyle w:val="Nagwek4"/>
        <w:tabs>
          <w:tab w:val="left" w:pos="9914"/>
        </w:tabs>
        <w:rPr>
          <w:rFonts w:asciiTheme="minorHAnsi" w:hAnsiTheme="minorHAnsi"/>
        </w:rPr>
      </w:pPr>
      <w:r>
        <w:t xml:space="preserve">1.3. Zakres robót objętych STWiORB </w:t>
      </w:r>
    </w:p>
    <w:p w:rsidR="002412CC" w:rsidRDefault="002412CC" w:rsidP="002412CC">
      <w:pPr>
        <w:tabs>
          <w:tab w:val="left" w:pos="9914"/>
        </w:tabs>
        <w:rPr>
          <w:rFonts w:asciiTheme="minorHAnsi" w:hAnsiTheme="minorHAnsi"/>
        </w:rPr>
      </w:pPr>
      <w:r>
        <w:rPr>
          <w:rFonts w:asciiTheme="minorHAnsi" w:hAnsiTheme="minorHAnsi"/>
        </w:rPr>
        <w:t>Ustalenia zawarte w niniejszej specyfikacji dotyczą prowadzenia robót związanych z zabezpieczeniem antykorozyjnym betonu elementów budowanych  i obejmują:</w:t>
      </w:r>
    </w:p>
    <w:p w:rsidR="002412CC" w:rsidRDefault="002412CC" w:rsidP="002412CC">
      <w:pPr>
        <w:tabs>
          <w:tab w:val="left" w:pos="9914"/>
        </w:tabs>
        <w:rPr>
          <w:rFonts w:asciiTheme="minorHAnsi" w:hAnsiTheme="minorHAnsi"/>
        </w:rPr>
      </w:pPr>
      <w:r>
        <w:rPr>
          <w:rFonts w:asciiTheme="minorHAnsi" w:hAnsiTheme="minorHAnsi"/>
        </w:rPr>
        <w:t>- powierzchniowe zabezpieczenie antykorozyjne materiałem powłokowym cienkowarstwowym  powierzchni,    - gruntowanie oraz dwukrotne pokrycie dotyczące remontowanego muru M2 .</w:t>
      </w:r>
    </w:p>
    <w:p w:rsidR="002412CC" w:rsidRDefault="002412CC" w:rsidP="002412CC">
      <w:pPr>
        <w:tabs>
          <w:tab w:val="left" w:pos="9914"/>
        </w:tabs>
        <w:rPr>
          <w:rFonts w:asciiTheme="minorHAnsi" w:hAnsiTheme="minorHAnsi"/>
        </w:rPr>
      </w:pPr>
      <w:r>
        <w:rPr>
          <w:rFonts w:asciiTheme="minorHAnsi" w:hAnsiTheme="minorHAnsi"/>
        </w:rPr>
        <w:t xml:space="preserve">- Gruntowanie istniejącej konstrukcji murowej ściany po usunięciu luźnych elementów i oczyszczeniu powierzchni, </w:t>
      </w:r>
    </w:p>
    <w:p w:rsidR="002412CC" w:rsidRDefault="002412CC" w:rsidP="002412CC">
      <w:pPr>
        <w:pStyle w:val="Nagwek4"/>
        <w:tabs>
          <w:tab w:val="left" w:pos="9914"/>
        </w:tabs>
        <w:rPr>
          <w:rFonts w:asciiTheme="minorHAnsi" w:hAnsiTheme="minorHAnsi"/>
        </w:rPr>
      </w:pPr>
      <w:r>
        <w:t xml:space="preserve">1.4. Określenia podstawowe </w:t>
      </w:r>
    </w:p>
    <w:p w:rsidR="002412CC" w:rsidRDefault="002412CC" w:rsidP="002412CC">
      <w:pPr>
        <w:tabs>
          <w:tab w:val="left" w:pos="425"/>
          <w:tab w:val="left" w:pos="851"/>
          <w:tab w:val="left" w:pos="1276"/>
          <w:tab w:val="left" w:pos="1701"/>
          <w:tab w:val="left" w:pos="2126"/>
          <w:tab w:val="left" w:pos="2552"/>
          <w:tab w:val="left" w:pos="3402"/>
          <w:tab w:val="left" w:pos="6804"/>
          <w:tab w:val="left" w:pos="7655"/>
          <w:tab w:val="left" w:pos="8505"/>
          <w:tab w:val="left" w:pos="9914"/>
        </w:tabs>
        <w:rPr>
          <w:rFonts w:asciiTheme="minorHAnsi" w:hAnsiTheme="minorHAnsi"/>
        </w:rPr>
      </w:pPr>
      <w:r>
        <w:rPr>
          <w:rFonts w:asciiTheme="minorHAnsi" w:hAnsiTheme="minorHAnsi"/>
        </w:rPr>
        <w:t>Określenia podane w niniejszej STWiORB są zgodne z obowiązującymi odpowiednimi normami i STWiORB D-M.00.00.00 "Wymagania ogólne".</w:t>
      </w:r>
    </w:p>
    <w:p w:rsidR="002412CC" w:rsidRDefault="002412CC" w:rsidP="002412CC">
      <w:pPr>
        <w:pStyle w:val="Nagwek4"/>
        <w:tabs>
          <w:tab w:val="left" w:pos="9914"/>
        </w:tabs>
        <w:rPr>
          <w:rFonts w:asciiTheme="minorHAnsi" w:hAnsiTheme="minorHAnsi"/>
        </w:rPr>
      </w:pPr>
      <w:r>
        <w:t xml:space="preserve">1.5. Ogólne wymagania dotyczące robót </w:t>
      </w:r>
    </w:p>
    <w:p w:rsidR="002412CC" w:rsidRDefault="002412CC" w:rsidP="002412CC">
      <w:pPr>
        <w:tabs>
          <w:tab w:val="left" w:pos="9914"/>
        </w:tabs>
        <w:rPr>
          <w:rFonts w:asciiTheme="minorHAnsi" w:hAnsiTheme="minorHAnsi"/>
        </w:rPr>
      </w:pPr>
      <w:r>
        <w:rPr>
          <w:rFonts w:asciiTheme="minorHAnsi" w:hAnsiTheme="minorHAnsi"/>
        </w:rPr>
        <w:t>Wykonawca robót jest odpowiedzialny za jakość ich wykonania oraz za zgodność z opracowaną przez siebie i zatwierdzoną przez Zamawiającego i Inżyniera Dokumentacją Projektową, STWiORB.</w:t>
      </w:r>
    </w:p>
    <w:p w:rsidR="002412CC" w:rsidRDefault="002412CC" w:rsidP="002412CC">
      <w:pPr>
        <w:tabs>
          <w:tab w:val="left" w:pos="9914"/>
        </w:tabs>
        <w:rPr>
          <w:rFonts w:asciiTheme="minorHAnsi" w:hAnsiTheme="minorHAnsi"/>
        </w:rPr>
      </w:pPr>
      <w:r>
        <w:rPr>
          <w:rFonts w:asciiTheme="minorHAnsi" w:hAnsiTheme="minorHAnsi"/>
        </w:rPr>
        <w:t xml:space="preserve">Ogólne wymagania dotyczące robót podano w STWiORB D-M.00.00.00 "Wymagania ogólne". </w:t>
      </w:r>
    </w:p>
    <w:p w:rsidR="002412CC" w:rsidRPr="00E5206A" w:rsidRDefault="002412CC" w:rsidP="00E5206A">
      <w:pPr>
        <w:pStyle w:val="Nagwek3"/>
      </w:pPr>
      <w:r w:rsidRPr="00E5206A">
        <w:t>2. Materiały</w:t>
      </w:r>
    </w:p>
    <w:p w:rsidR="002412CC" w:rsidRDefault="002412CC" w:rsidP="002412CC">
      <w:pPr>
        <w:tabs>
          <w:tab w:val="left" w:pos="9914"/>
        </w:tabs>
        <w:rPr>
          <w:rFonts w:asciiTheme="minorHAnsi" w:hAnsiTheme="minorHAnsi"/>
        </w:rPr>
      </w:pPr>
      <w:r>
        <w:rPr>
          <w:rFonts w:asciiTheme="minorHAnsi" w:hAnsiTheme="minorHAnsi"/>
        </w:rPr>
        <w:t xml:space="preserve">Ogólne wymagania dotyczące materiałów podano w STWiORB D-M.00.00.00 "Wymagania ogólne" pkt 2. </w:t>
      </w:r>
    </w:p>
    <w:p w:rsidR="00E5206A" w:rsidRDefault="00E5206A" w:rsidP="002412CC">
      <w:pPr>
        <w:tabs>
          <w:tab w:val="left" w:pos="9914"/>
        </w:tabs>
        <w:rPr>
          <w:rStyle w:val="Nagwek5Znak"/>
          <w:rFonts w:asciiTheme="minorHAnsi" w:hAnsiTheme="minorHAnsi"/>
          <w:sz w:val="18"/>
          <w:szCs w:val="18"/>
        </w:rPr>
      </w:pPr>
    </w:p>
    <w:p w:rsidR="002412CC" w:rsidRPr="00E5206A" w:rsidRDefault="002412CC" w:rsidP="002412CC">
      <w:pPr>
        <w:tabs>
          <w:tab w:val="left" w:pos="9914"/>
        </w:tabs>
        <w:rPr>
          <w:rFonts w:asciiTheme="minorHAnsi" w:hAnsiTheme="minorHAnsi"/>
          <w:sz w:val="18"/>
          <w:szCs w:val="18"/>
        </w:rPr>
      </w:pPr>
      <w:r w:rsidRPr="00E5206A">
        <w:rPr>
          <w:rStyle w:val="Nagwek5Znak"/>
          <w:rFonts w:asciiTheme="minorHAnsi" w:hAnsiTheme="minorHAnsi"/>
          <w:sz w:val="18"/>
          <w:szCs w:val="18"/>
        </w:rPr>
        <w:t>2.1. Materiały powłokowe - ochronne</w:t>
      </w:r>
      <w:r w:rsidRPr="00E5206A">
        <w:rPr>
          <w:rFonts w:asciiTheme="minorHAnsi" w:hAnsiTheme="minorHAnsi"/>
          <w:sz w:val="18"/>
          <w:szCs w:val="18"/>
        </w:rPr>
        <w:t>.</w:t>
      </w:r>
    </w:p>
    <w:p w:rsidR="002412CC" w:rsidRDefault="002412CC" w:rsidP="002412CC">
      <w:pPr>
        <w:tabs>
          <w:tab w:val="left" w:pos="9914"/>
        </w:tabs>
        <w:rPr>
          <w:rFonts w:asciiTheme="minorHAnsi" w:hAnsiTheme="minorHAnsi"/>
        </w:rPr>
      </w:pPr>
      <w:r>
        <w:rPr>
          <w:rFonts w:asciiTheme="minorHAnsi" w:hAnsiTheme="minorHAnsi"/>
        </w:rPr>
        <w:t>Materiałem stosowanym przy wykonywaniu powierzchniowego zabezpieczenia antykorozyjnego betonu będzie preparat (materiał powłokowy ochronny) spełniający wymagania podane w Dokumentacji Projektowej.</w:t>
      </w:r>
    </w:p>
    <w:p w:rsidR="002412CC" w:rsidRDefault="002412CC" w:rsidP="002412CC">
      <w:pPr>
        <w:tabs>
          <w:tab w:val="left" w:pos="9914"/>
        </w:tabs>
        <w:rPr>
          <w:rFonts w:asciiTheme="minorHAnsi" w:hAnsiTheme="minorHAnsi"/>
        </w:rPr>
      </w:pPr>
      <w:r>
        <w:rPr>
          <w:rFonts w:asciiTheme="minorHAnsi" w:hAnsiTheme="minorHAnsi"/>
        </w:rPr>
        <w:t>Na powierzchniach konstrukcyjnych, rozciąganych zastosować powłokę sztywną, która nie przenosi rys.</w:t>
      </w:r>
    </w:p>
    <w:p w:rsidR="002412CC" w:rsidRDefault="002412CC" w:rsidP="002412CC">
      <w:pPr>
        <w:tabs>
          <w:tab w:val="left" w:pos="9914"/>
        </w:tabs>
        <w:rPr>
          <w:rFonts w:asciiTheme="minorHAnsi" w:hAnsiTheme="minorHAnsi"/>
        </w:rPr>
      </w:pPr>
      <w:r>
        <w:rPr>
          <w:rFonts w:asciiTheme="minorHAnsi" w:hAnsiTheme="minorHAnsi"/>
        </w:rPr>
        <w:t>Na pozostałych powierzchniach zastosować system elastyczny przenoszący bez uszkodzenia pęknięcia o rozwartości do 0,30 mm.</w:t>
      </w:r>
    </w:p>
    <w:p w:rsidR="002412CC" w:rsidRDefault="002412CC" w:rsidP="002412CC">
      <w:pPr>
        <w:tabs>
          <w:tab w:val="left" w:pos="9914"/>
        </w:tabs>
        <w:rPr>
          <w:rFonts w:asciiTheme="minorHAnsi" w:hAnsiTheme="minorHAnsi"/>
        </w:rPr>
      </w:pPr>
      <w:r>
        <w:rPr>
          <w:rFonts w:asciiTheme="minorHAnsi" w:hAnsiTheme="minorHAnsi"/>
        </w:rPr>
        <w:t>Użyte materiały muszą posiadać Aprobatę Techniczną.</w:t>
      </w:r>
    </w:p>
    <w:p w:rsidR="002412CC" w:rsidRDefault="002412CC" w:rsidP="002412CC">
      <w:pPr>
        <w:tabs>
          <w:tab w:val="left" w:pos="9914"/>
        </w:tabs>
        <w:rPr>
          <w:rFonts w:asciiTheme="minorHAnsi" w:hAnsiTheme="minorHAnsi"/>
        </w:rPr>
      </w:pPr>
      <w:r>
        <w:rPr>
          <w:rFonts w:asciiTheme="minorHAnsi" w:hAnsiTheme="minorHAnsi"/>
        </w:rPr>
        <w:t>Dostarczone materiały muszą być zaopatrzone przez Producenta w deklarację zgodności (atest) potwierdzające cechy materiałów.</w:t>
      </w:r>
    </w:p>
    <w:p w:rsidR="002412CC" w:rsidRDefault="002412CC" w:rsidP="002412CC">
      <w:pPr>
        <w:tabs>
          <w:tab w:val="left" w:pos="9914"/>
        </w:tabs>
        <w:rPr>
          <w:rFonts w:asciiTheme="minorHAnsi" w:hAnsiTheme="minorHAnsi"/>
        </w:rPr>
      </w:pPr>
      <w:r>
        <w:rPr>
          <w:rFonts w:asciiTheme="minorHAnsi" w:hAnsiTheme="minorHAnsi"/>
        </w:rPr>
        <w:t>Podstawowe wymagania dla powłoki malarskiej</w:t>
      </w:r>
    </w:p>
    <w:p w:rsidR="002412CC" w:rsidRDefault="002412CC" w:rsidP="002412CC">
      <w:pPr>
        <w:tabs>
          <w:tab w:val="left" w:pos="9914"/>
        </w:tabs>
        <w:rPr>
          <w:rFonts w:asciiTheme="minorHAnsi" w:hAnsiTheme="minorHAnsi"/>
        </w:rPr>
      </w:pPr>
      <w:r>
        <w:rPr>
          <w:rFonts w:asciiTheme="minorHAnsi" w:hAnsiTheme="minorHAnsi"/>
        </w:rPr>
        <w:t xml:space="preserve">redukcja nasiąkliwości powierzchniowej betonu (nasiąkliwość </w:t>
      </w:r>
      <w:r>
        <w:rPr>
          <w:rFonts w:asciiTheme="minorHAnsi" w:hAnsiTheme="minorHAnsi"/>
        </w:rPr>
        <w:sym w:font="Symbol" w:char="F0A3"/>
      </w:r>
      <w:r>
        <w:rPr>
          <w:rFonts w:asciiTheme="minorHAnsi" w:hAnsiTheme="minorHAnsi"/>
        </w:rPr>
        <w:t xml:space="preserve"> 2%)</w:t>
      </w:r>
    </w:p>
    <w:p w:rsidR="002412CC" w:rsidRDefault="002412CC" w:rsidP="002412CC">
      <w:pPr>
        <w:tabs>
          <w:tab w:val="left" w:pos="9914"/>
        </w:tabs>
        <w:rPr>
          <w:rFonts w:asciiTheme="minorHAnsi" w:hAnsiTheme="minorHAnsi"/>
        </w:rPr>
      </w:pPr>
      <w:r>
        <w:rPr>
          <w:rFonts w:asciiTheme="minorHAnsi" w:hAnsiTheme="minorHAnsi"/>
        </w:rPr>
        <w:t>przepuszczalność na zewnątrz dla pary wodnej – nie hamuje dyfuzji pary wodnej,</w:t>
      </w:r>
    </w:p>
    <w:p w:rsidR="002412CC" w:rsidRDefault="002412CC" w:rsidP="002412CC">
      <w:pPr>
        <w:tabs>
          <w:tab w:val="left" w:pos="9914"/>
        </w:tabs>
        <w:rPr>
          <w:rFonts w:asciiTheme="minorHAnsi" w:hAnsiTheme="minorHAnsi"/>
        </w:rPr>
      </w:pPr>
      <w:r>
        <w:rPr>
          <w:rFonts w:asciiTheme="minorHAnsi" w:hAnsiTheme="minorHAnsi"/>
        </w:rPr>
        <w:t>zabezpiecza przed wnikaniem (dyfuzją) dwutlenku węgla w głąb betonu (opór dyfuzji dla CO</w:t>
      </w:r>
      <w:r>
        <w:rPr>
          <w:rFonts w:asciiTheme="minorHAnsi" w:hAnsiTheme="minorHAnsi"/>
          <w:vertAlign w:val="subscript"/>
        </w:rPr>
        <w:t>2</w:t>
      </w:r>
      <w:r>
        <w:rPr>
          <w:rFonts w:asciiTheme="minorHAnsi" w:hAnsiTheme="minorHAnsi"/>
        </w:rPr>
        <w:sym w:font="Symbol" w:char="F0B3"/>
      </w:r>
      <w:r>
        <w:rPr>
          <w:rFonts w:asciiTheme="minorHAnsi" w:hAnsiTheme="minorHAnsi"/>
        </w:rPr>
        <w:t>50 m równoważnej warstwy powietrza),</w:t>
      </w:r>
    </w:p>
    <w:p w:rsidR="002412CC" w:rsidRDefault="002412CC" w:rsidP="002412CC">
      <w:pPr>
        <w:tabs>
          <w:tab w:val="left" w:pos="9914"/>
        </w:tabs>
        <w:rPr>
          <w:rFonts w:asciiTheme="minorHAnsi" w:hAnsiTheme="minorHAnsi"/>
        </w:rPr>
      </w:pPr>
      <w:r>
        <w:rPr>
          <w:rFonts w:asciiTheme="minorHAnsi" w:hAnsiTheme="minorHAnsi"/>
        </w:rPr>
        <w:lastRenderedPageBreak/>
        <w:t>zwiększa odporność na działanie soli i mrozu,</w:t>
      </w:r>
    </w:p>
    <w:p w:rsidR="002412CC" w:rsidRDefault="002412CC" w:rsidP="002412CC">
      <w:pPr>
        <w:tabs>
          <w:tab w:val="left" w:pos="9914"/>
        </w:tabs>
        <w:rPr>
          <w:rFonts w:asciiTheme="minorHAnsi" w:hAnsiTheme="minorHAnsi"/>
        </w:rPr>
      </w:pPr>
      <w:r>
        <w:rPr>
          <w:rFonts w:asciiTheme="minorHAnsi" w:hAnsiTheme="minorHAnsi"/>
        </w:rPr>
        <w:t>nietoksyczność i nieszkodliwość dla środowiska naturalnego,</w:t>
      </w:r>
    </w:p>
    <w:p w:rsidR="002412CC" w:rsidRDefault="002412CC" w:rsidP="002412CC">
      <w:pPr>
        <w:tabs>
          <w:tab w:val="left" w:pos="9914"/>
        </w:tabs>
        <w:rPr>
          <w:rFonts w:asciiTheme="minorHAnsi" w:hAnsiTheme="minorHAnsi"/>
        </w:rPr>
      </w:pPr>
      <w:r>
        <w:rPr>
          <w:rFonts w:asciiTheme="minorHAnsi" w:hAnsiTheme="minorHAnsi"/>
          <w:b/>
        </w:rPr>
        <w:t>2.1.1</w:t>
      </w:r>
      <w:r>
        <w:rPr>
          <w:rFonts w:asciiTheme="minorHAnsi" w:hAnsiTheme="minorHAnsi"/>
        </w:rPr>
        <w:t>. Materiały typu malarskiego – sztywne nie przenoszące zarysowań</w:t>
      </w:r>
    </w:p>
    <w:p w:rsidR="002412CC" w:rsidRDefault="002412CC" w:rsidP="002412CC">
      <w:pPr>
        <w:tabs>
          <w:tab w:val="left" w:pos="9914"/>
        </w:tabs>
        <w:rPr>
          <w:rFonts w:asciiTheme="minorHAnsi" w:hAnsiTheme="minorHAnsi"/>
        </w:rPr>
      </w:pPr>
      <w:r>
        <w:rPr>
          <w:rFonts w:asciiTheme="minorHAnsi" w:hAnsiTheme="minorHAnsi"/>
        </w:rPr>
        <w:t>Należy zastosować powłokę malarską (np. epoksydową), jedno lub wielowarstwową. Dla powłok wielowarstwowych pierwsza warstwa pełni rolę warstwy gruntującej:</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Wymagania dla powłoki malarskiej nie przenoszącej zarysowań:</w:t>
      </w:r>
    </w:p>
    <w:p w:rsidR="002412CC" w:rsidRDefault="002412CC" w:rsidP="002412CC">
      <w:pPr>
        <w:tabs>
          <w:tab w:val="left" w:pos="9914"/>
        </w:tabs>
        <w:rPr>
          <w:rFonts w:asciiTheme="minorHAnsi" w:hAnsi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637"/>
        <w:gridCol w:w="3402"/>
        <w:gridCol w:w="1485"/>
        <w:gridCol w:w="1842"/>
        <w:gridCol w:w="1842"/>
      </w:tblGrid>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L.p.</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Właściwości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Jednostka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Wymagania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Badania wg</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1</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Wytrzymałość na odrywanie (przyczepność powłoki do podłoża)</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MPa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śr</w:t>
            </w:r>
            <w:r>
              <w:rPr>
                <w:rFonts w:asciiTheme="minorHAnsi" w:hAnsiTheme="minorHAnsi"/>
              </w:rPr>
              <w:t xml:space="preserve"> = 0,8</w:t>
            </w:r>
          </w:p>
          <w:p w:rsidR="002412CC" w:rsidRDefault="002412CC">
            <w:pPr>
              <w:widowControl w:val="0"/>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min</w:t>
            </w:r>
            <w:r>
              <w:rPr>
                <w:rFonts w:asciiTheme="minorHAnsi" w:hAnsiTheme="minorHAnsi"/>
              </w:rPr>
              <w:t xml:space="preserve"> = 0,5</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PN-B-01814:1992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2</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Nasiąkliwość</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A3"/>
            </w:r>
            <w:r>
              <w:rPr>
                <w:rFonts w:asciiTheme="minorHAnsi" w:hAnsiTheme="minorHAnsi"/>
              </w:rPr>
              <w:t xml:space="preserve"> 2%</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IBDiM</w:t>
            </w:r>
          </w:p>
          <w:p w:rsidR="002412CC" w:rsidRDefault="002412CC">
            <w:pPr>
              <w:widowControl w:val="0"/>
              <w:tabs>
                <w:tab w:val="left" w:pos="9914"/>
              </w:tabs>
              <w:spacing w:line="276" w:lineRule="auto"/>
              <w:rPr>
                <w:rFonts w:asciiTheme="minorHAnsi" w:hAnsiTheme="minorHAnsi"/>
              </w:rPr>
            </w:pPr>
            <w:r>
              <w:rPr>
                <w:rFonts w:asciiTheme="minorHAnsi" w:hAnsiTheme="minorHAnsi"/>
              </w:rPr>
              <w:t>PO-4</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3</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Grubość warstwy powietrza, której opór dyfuzyjny jest równoważny oporowi dyfuzyjnemu powłoki dla pary wodnej</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w:t>
            </w:r>
            <w:r>
              <w:rPr>
                <w:rFonts w:asciiTheme="minorHAnsi" w:hAnsiTheme="minorHAnsi"/>
                <w:vertAlign w:val="subscript"/>
              </w:rPr>
              <w:t>DH2O</w:t>
            </w:r>
            <w:r>
              <w:rPr>
                <w:rFonts w:asciiTheme="minorHAnsi" w:hAnsiTheme="minorHAnsi"/>
              </w:rPr>
              <w:sym w:font="Symbol" w:char="F0A3"/>
            </w:r>
            <w:r>
              <w:rPr>
                <w:rFonts w:asciiTheme="minorHAnsi" w:hAnsiTheme="minorHAnsi"/>
              </w:rPr>
              <w:t xml:space="preserve"> 4</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ITB</w:t>
            </w:r>
          </w:p>
          <w:p w:rsidR="002412CC" w:rsidRDefault="002412CC">
            <w:pPr>
              <w:widowControl w:val="0"/>
              <w:tabs>
                <w:tab w:val="left" w:pos="9914"/>
              </w:tabs>
              <w:spacing w:line="276" w:lineRule="auto"/>
              <w:rPr>
                <w:rFonts w:asciiTheme="minorHAnsi" w:hAnsiTheme="minorHAnsi"/>
              </w:rPr>
            </w:pPr>
            <w:r>
              <w:rPr>
                <w:rFonts w:asciiTheme="minorHAnsi" w:hAnsiTheme="minorHAnsi"/>
              </w:rPr>
              <w:t>LO-2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4</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Grubość warstwy powietrza, której opór dyfuzyjny jest równoważny oporowi dyfuzyjnemu powłoki dla dwutlenku węgla</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w:t>
            </w:r>
            <w:r>
              <w:rPr>
                <w:rFonts w:asciiTheme="minorHAnsi" w:hAnsiTheme="minorHAnsi"/>
                <w:vertAlign w:val="subscript"/>
              </w:rPr>
              <w:t>DCO2</w:t>
            </w:r>
            <w:r>
              <w:rPr>
                <w:rFonts w:asciiTheme="minorHAnsi" w:hAnsiTheme="minorHAnsi"/>
              </w:rPr>
              <w:sym w:font="Symbol" w:char="F0B3"/>
            </w:r>
            <w:r>
              <w:rPr>
                <w:rFonts w:asciiTheme="minorHAnsi" w:hAnsiTheme="minorHAnsi"/>
              </w:rPr>
              <w:t xml:space="preserve"> 50</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ITB</w:t>
            </w:r>
          </w:p>
          <w:p w:rsidR="002412CC" w:rsidRDefault="002412CC">
            <w:pPr>
              <w:widowControl w:val="0"/>
              <w:tabs>
                <w:tab w:val="left" w:pos="9914"/>
              </w:tabs>
              <w:spacing w:line="276" w:lineRule="auto"/>
              <w:rPr>
                <w:rFonts w:asciiTheme="minorHAnsi" w:hAnsiTheme="minorHAnsi"/>
              </w:rPr>
            </w:pPr>
            <w:r>
              <w:rPr>
                <w:rFonts w:asciiTheme="minorHAnsi" w:hAnsiTheme="minorHAnsi"/>
              </w:rPr>
              <w:t>LO-6</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5</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Stan powłoki po 150 cyklach zamarzania i odmrażania w wodzie i soli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powłoka bez zmian</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IBDiM</w:t>
            </w:r>
          </w:p>
          <w:p w:rsidR="002412CC" w:rsidRDefault="002412CC">
            <w:pPr>
              <w:widowControl w:val="0"/>
              <w:tabs>
                <w:tab w:val="left" w:pos="9914"/>
              </w:tabs>
              <w:spacing w:line="276" w:lineRule="auto"/>
              <w:rPr>
                <w:rFonts w:asciiTheme="minorHAnsi" w:hAnsiTheme="minorHAnsi"/>
              </w:rPr>
            </w:pPr>
            <w:r>
              <w:rPr>
                <w:rFonts w:asciiTheme="minorHAnsi" w:hAnsiTheme="minorHAnsi"/>
              </w:rPr>
              <w:t>PO-2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6</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Wytrzymałość na odrywanie po badaniu mrozoodporności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MPa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śr</w:t>
            </w:r>
            <w:r>
              <w:rPr>
                <w:rFonts w:asciiTheme="minorHAnsi" w:hAnsiTheme="minorHAnsi"/>
              </w:rPr>
              <w:t xml:space="preserve"> = 0,6</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PN-B-01814:1992</w:t>
            </w:r>
          </w:p>
        </w:tc>
      </w:tr>
    </w:tbl>
    <w:p w:rsidR="002412CC" w:rsidRDefault="002412CC" w:rsidP="002412CC">
      <w:pPr>
        <w:tabs>
          <w:tab w:val="left" w:pos="9914"/>
        </w:tabs>
        <w:rPr>
          <w:rFonts w:asciiTheme="minorHAnsi" w:hAnsiTheme="minorHAnsi"/>
          <w:b/>
          <w:i/>
          <w:iCs/>
          <w:u w:val="single"/>
        </w:rPr>
      </w:pPr>
    </w:p>
    <w:p w:rsidR="002412CC" w:rsidRDefault="002412CC" w:rsidP="002412CC">
      <w:pPr>
        <w:tabs>
          <w:tab w:val="left" w:pos="9914"/>
        </w:tabs>
        <w:rPr>
          <w:rFonts w:asciiTheme="minorHAnsi" w:hAnsiTheme="minorHAnsi"/>
        </w:rPr>
      </w:pPr>
      <w:r>
        <w:rPr>
          <w:rFonts w:asciiTheme="minorHAnsi" w:hAnsiTheme="minorHAnsi"/>
          <w:b/>
        </w:rPr>
        <w:t>2.1.2</w:t>
      </w:r>
      <w:r>
        <w:rPr>
          <w:rFonts w:asciiTheme="minorHAnsi" w:hAnsiTheme="minorHAnsi"/>
        </w:rPr>
        <w:t>. Materiały typu malarskiego – elastyczne przenoszące zarysowania do 0,3 mm</w:t>
      </w:r>
    </w:p>
    <w:p w:rsidR="002412CC" w:rsidRDefault="002412CC" w:rsidP="002412CC">
      <w:pPr>
        <w:tabs>
          <w:tab w:val="left" w:pos="9914"/>
        </w:tabs>
        <w:rPr>
          <w:rFonts w:asciiTheme="minorHAnsi" w:hAnsiTheme="minorHAnsi"/>
        </w:rPr>
      </w:pPr>
      <w:r>
        <w:rPr>
          <w:rFonts w:asciiTheme="minorHAnsi" w:hAnsiTheme="minorHAnsi"/>
        </w:rPr>
        <w:t>Należy zastosować powłokę malarską (np. akrylową), jedno lub wielowarstwową. Dla powłok wielowarstwowych pierwsza warstwa pełni rolę warstwy gruntującej:</w:t>
      </w:r>
    </w:p>
    <w:p w:rsidR="002412CC" w:rsidRDefault="002412CC" w:rsidP="002412CC">
      <w:pPr>
        <w:tabs>
          <w:tab w:val="left" w:pos="9914"/>
        </w:tabs>
        <w:rPr>
          <w:rFonts w:asciiTheme="minorHAnsi" w:hAnsiTheme="minorHAnsi"/>
        </w:rPr>
      </w:pPr>
      <w:r>
        <w:rPr>
          <w:rFonts w:asciiTheme="minorHAnsi" w:hAnsiTheme="minorHAnsi"/>
        </w:rPr>
        <w:t>Wymagania dla elastycznej powłoki malarskiej przenoszącej zarysowania: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637"/>
        <w:gridCol w:w="3402"/>
        <w:gridCol w:w="1485"/>
        <w:gridCol w:w="1842"/>
        <w:gridCol w:w="1842"/>
      </w:tblGrid>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L.p.</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Właściwości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Jednostka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Wymagania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Badania wg</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1</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Wytrzymałość na odrywanie (przyczepność powłoki do podłoża)</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MPa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śr</w:t>
            </w:r>
            <w:r>
              <w:rPr>
                <w:rFonts w:asciiTheme="minorHAnsi" w:hAnsiTheme="minorHAnsi"/>
              </w:rPr>
              <w:t xml:space="preserve"> = 1,0</w:t>
            </w:r>
          </w:p>
          <w:p w:rsidR="002412CC" w:rsidRDefault="002412CC">
            <w:pPr>
              <w:widowControl w:val="0"/>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min</w:t>
            </w:r>
            <w:r>
              <w:rPr>
                <w:rFonts w:asciiTheme="minorHAnsi" w:hAnsiTheme="minorHAnsi"/>
              </w:rPr>
              <w:t xml:space="preserve"> = 0,6</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PN-B-01814:1992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2</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Nasiąkliwość</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A3"/>
            </w:r>
            <w:r>
              <w:rPr>
                <w:rFonts w:asciiTheme="minorHAnsi" w:hAnsiTheme="minorHAnsi"/>
              </w:rPr>
              <w:t xml:space="preserve"> 2%</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IBDiM</w:t>
            </w:r>
          </w:p>
          <w:p w:rsidR="002412CC" w:rsidRDefault="002412CC">
            <w:pPr>
              <w:widowControl w:val="0"/>
              <w:tabs>
                <w:tab w:val="left" w:pos="9914"/>
              </w:tabs>
              <w:spacing w:line="276" w:lineRule="auto"/>
              <w:rPr>
                <w:rFonts w:asciiTheme="minorHAnsi" w:hAnsiTheme="minorHAnsi"/>
              </w:rPr>
            </w:pPr>
            <w:r>
              <w:rPr>
                <w:rFonts w:asciiTheme="minorHAnsi" w:hAnsiTheme="minorHAnsi"/>
              </w:rPr>
              <w:t>PO-4</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3</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Grubość warstwy powietrza, której opór dyfuzyjny jest równoważny oporowi dyfuzyjnemu powłoki dla pary wodnej</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w:t>
            </w:r>
            <w:r>
              <w:rPr>
                <w:rFonts w:asciiTheme="minorHAnsi" w:hAnsiTheme="minorHAnsi"/>
                <w:vertAlign w:val="subscript"/>
              </w:rPr>
              <w:t>DH2O</w:t>
            </w:r>
            <w:r>
              <w:rPr>
                <w:rFonts w:asciiTheme="minorHAnsi" w:hAnsiTheme="minorHAnsi"/>
              </w:rPr>
              <w:sym w:font="Symbol" w:char="F0A3"/>
            </w:r>
            <w:r>
              <w:rPr>
                <w:rFonts w:asciiTheme="minorHAnsi" w:hAnsiTheme="minorHAnsi"/>
              </w:rPr>
              <w:t xml:space="preserve"> 4</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ITB</w:t>
            </w:r>
          </w:p>
          <w:p w:rsidR="002412CC" w:rsidRDefault="002412CC">
            <w:pPr>
              <w:widowControl w:val="0"/>
              <w:tabs>
                <w:tab w:val="left" w:pos="9914"/>
              </w:tabs>
              <w:spacing w:line="276" w:lineRule="auto"/>
              <w:rPr>
                <w:rFonts w:asciiTheme="minorHAnsi" w:hAnsiTheme="minorHAnsi"/>
              </w:rPr>
            </w:pPr>
            <w:r>
              <w:rPr>
                <w:rFonts w:asciiTheme="minorHAnsi" w:hAnsiTheme="minorHAnsi"/>
              </w:rPr>
              <w:t>LO-2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4</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Grubość warstwy powietrza, której opór dyfuzyjny jest równoważny oporowi dyfuzyjnemu powłoki dla dwutlenku węgla</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w:t>
            </w:r>
            <w:r>
              <w:rPr>
                <w:rFonts w:asciiTheme="minorHAnsi" w:hAnsiTheme="minorHAnsi"/>
                <w:vertAlign w:val="subscript"/>
              </w:rPr>
              <w:t>DCO2</w:t>
            </w:r>
            <w:r>
              <w:rPr>
                <w:rFonts w:asciiTheme="minorHAnsi" w:hAnsiTheme="minorHAnsi"/>
              </w:rPr>
              <w:sym w:font="Symbol" w:char="F0B3"/>
            </w:r>
            <w:r>
              <w:rPr>
                <w:rFonts w:asciiTheme="minorHAnsi" w:hAnsiTheme="minorHAnsi"/>
              </w:rPr>
              <w:t xml:space="preserve"> 50</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ITB</w:t>
            </w:r>
          </w:p>
          <w:p w:rsidR="002412CC" w:rsidRDefault="002412CC">
            <w:pPr>
              <w:widowControl w:val="0"/>
              <w:tabs>
                <w:tab w:val="left" w:pos="9914"/>
              </w:tabs>
              <w:spacing w:line="276" w:lineRule="auto"/>
              <w:rPr>
                <w:rFonts w:asciiTheme="minorHAnsi" w:hAnsiTheme="minorHAnsi"/>
              </w:rPr>
            </w:pPr>
            <w:r>
              <w:rPr>
                <w:rFonts w:asciiTheme="minorHAnsi" w:hAnsiTheme="minorHAnsi"/>
              </w:rPr>
              <w:t>LO-6</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5</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Stan powłoki po 150 cyklach zamarzania i odmrażania w wodzie i soli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powłoka bez zmian</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tabs>
                <w:tab w:val="left" w:pos="9914"/>
              </w:tabs>
              <w:spacing w:line="276" w:lineRule="auto"/>
              <w:rPr>
                <w:rFonts w:asciiTheme="minorHAnsi" w:hAnsiTheme="minorHAnsi"/>
              </w:rPr>
            </w:pPr>
            <w:r>
              <w:rPr>
                <w:rFonts w:asciiTheme="minorHAnsi" w:hAnsiTheme="minorHAnsi"/>
              </w:rPr>
              <w:t>Procedura IBDiM</w:t>
            </w:r>
          </w:p>
          <w:p w:rsidR="002412CC" w:rsidRDefault="002412CC">
            <w:pPr>
              <w:widowControl w:val="0"/>
              <w:tabs>
                <w:tab w:val="left" w:pos="9914"/>
              </w:tabs>
              <w:spacing w:line="276" w:lineRule="auto"/>
              <w:rPr>
                <w:rFonts w:asciiTheme="minorHAnsi" w:hAnsiTheme="minorHAnsi"/>
              </w:rPr>
            </w:pPr>
            <w:r>
              <w:rPr>
                <w:rFonts w:asciiTheme="minorHAnsi" w:hAnsiTheme="minorHAnsi"/>
              </w:rPr>
              <w:t>PO-2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6</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Wytrzymałość na odrywanie po badaniu mrozoodporności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MPa</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śr</w:t>
            </w:r>
            <w:r>
              <w:rPr>
                <w:rFonts w:asciiTheme="minorHAnsi" w:hAnsiTheme="minorHAnsi"/>
              </w:rPr>
              <w:t xml:space="preserve"> = 0,8</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PN-B-01814:1992</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7</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Wodoprzepuszczalność</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W8</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PN-B-06250:1988</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lastRenderedPageBreak/>
              <w:t>8</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Odporność na powstawanie rys</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odporność na wystąpienie rys podłoża do 0,3 mm</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Procedura ITB nr 211</w:t>
            </w:r>
          </w:p>
        </w:tc>
      </w:tr>
      <w:tr w:rsidR="002412CC" w:rsidTr="002412CC">
        <w:tc>
          <w:tcPr>
            <w:tcW w:w="637"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9</w:t>
            </w:r>
          </w:p>
        </w:tc>
        <w:tc>
          <w:tcPr>
            <w:tcW w:w="340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Odporność na chlorki</w:t>
            </w:r>
          </w:p>
        </w:tc>
        <w:tc>
          <w:tcPr>
            <w:tcW w:w="1485"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A3"/>
            </w:r>
            <w:r>
              <w:rPr>
                <w:rFonts w:asciiTheme="minorHAnsi" w:hAnsiTheme="minorHAnsi"/>
              </w:rPr>
              <w:t xml:space="preserve"> 0,1</w:t>
            </w:r>
          </w:p>
        </w:tc>
        <w:tc>
          <w:tcPr>
            <w:tcW w:w="1842" w:type="dxa"/>
            <w:tcBorders>
              <w:top w:val="single" w:sz="4" w:space="0" w:color="auto"/>
              <w:left w:val="single" w:sz="4" w:space="0" w:color="auto"/>
              <w:bottom w:val="single" w:sz="4" w:space="0" w:color="auto"/>
              <w:right w:val="single" w:sz="4" w:space="0" w:color="auto"/>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Procedura IBDiM</w:t>
            </w:r>
          </w:p>
        </w:tc>
      </w:tr>
    </w:tbl>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Przed wbudowaniem materiałów Wykonawca musi przedstawić Inżyniera numer partii towaru oraz aktualne wyniki badań w ramach nadzoru wewnętrznego producenta materiału.</w:t>
      </w:r>
    </w:p>
    <w:p w:rsidR="002412CC" w:rsidRDefault="002412CC" w:rsidP="002412CC">
      <w:pPr>
        <w:tabs>
          <w:tab w:val="left" w:pos="9914"/>
        </w:tabs>
        <w:rPr>
          <w:rFonts w:asciiTheme="minorHAnsi" w:hAnsiTheme="minorHAnsi"/>
        </w:rPr>
      </w:pPr>
    </w:p>
    <w:p w:rsidR="002412CC" w:rsidRDefault="002412CC" w:rsidP="002412CC">
      <w:pPr>
        <w:rPr>
          <w:rFonts w:asciiTheme="minorHAnsi" w:eastAsia="TimesNewRoman" w:hAnsiTheme="minorHAnsi" w:cs="TimesNewRoman"/>
        </w:rPr>
      </w:pPr>
      <w:r>
        <w:rPr>
          <w:rFonts w:asciiTheme="minorHAnsi" w:eastAsia="TimesNewRoman" w:hAnsiTheme="minorHAnsi" w:cs="TimesNewRoman"/>
        </w:rPr>
        <w:t>2.1.3. Preparat gruntuj</w:t>
      </w:r>
      <w:r>
        <w:rPr>
          <w:rFonts w:asciiTheme="minorHAnsi" w:eastAsia="TimesNewRoman" w:hAnsiTheme="minorHAnsi" w:cs="+TimesNewRoman"/>
        </w:rPr>
        <w:t>ą</w:t>
      </w:r>
      <w:r>
        <w:rPr>
          <w:rFonts w:asciiTheme="minorHAnsi" w:eastAsia="TimesNewRoman" w:hAnsiTheme="minorHAnsi" w:cs="TimesNewRoman"/>
        </w:rPr>
        <w:t>cy dla traconych i trwa</w:t>
      </w:r>
      <w:r>
        <w:rPr>
          <w:rFonts w:asciiTheme="minorHAnsi" w:eastAsia="TimesNewRoman" w:hAnsiTheme="minorHAnsi" w:cs="+TimesNewRoman"/>
        </w:rPr>
        <w:t>ł</w:t>
      </w:r>
      <w:r>
        <w:rPr>
          <w:rFonts w:asciiTheme="minorHAnsi" w:eastAsia="TimesNewRoman" w:hAnsiTheme="minorHAnsi" w:cs="TimesNewRoman"/>
        </w:rPr>
        <w:t>ych systemów antygraffiti</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Bezrozpuszczalnikowa emulsja wodna czystego akrylatu do gruntowania wszelkich pod</w:t>
      </w:r>
      <w:r>
        <w:rPr>
          <w:rFonts w:asciiTheme="minorHAnsi" w:eastAsia="TimesNewRoman" w:hAnsiTheme="minorHAnsi" w:cs="+TimesNewRoman"/>
        </w:rPr>
        <w:t xml:space="preserve">łoży </w:t>
      </w:r>
      <w:r>
        <w:rPr>
          <w:rFonts w:asciiTheme="minorHAnsi" w:eastAsia="TimesNewRoman" w:hAnsiTheme="minorHAnsi" w:cs="TimesNewRoman"/>
        </w:rPr>
        <w:t xml:space="preserve"> chłonnych. Jest to emulsja koloru mlecznobia</w:t>
      </w:r>
      <w:r>
        <w:rPr>
          <w:rFonts w:asciiTheme="minorHAnsi" w:eastAsia="TimesNewRoman" w:hAnsiTheme="minorHAnsi" w:cs="+TimesNewRoman"/>
        </w:rPr>
        <w:t>ł</w:t>
      </w:r>
      <w:r>
        <w:rPr>
          <w:rFonts w:asciiTheme="minorHAnsi" w:eastAsia="TimesNewRoman" w:hAnsiTheme="minorHAnsi" w:cs="TimesNewRoman"/>
        </w:rPr>
        <w:t>ego o dobrej odporno</w:t>
      </w:r>
      <w:r>
        <w:rPr>
          <w:rFonts w:asciiTheme="minorHAnsi" w:eastAsia="TimesNewRoman" w:hAnsiTheme="minorHAnsi" w:cs="+TimesNewRoman"/>
        </w:rPr>
        <w:t>ś</w:t>
      </w:r>
      <w:r>
        <w:rPr>
          <w:rFonts w:asciiTheme="minorHAnsi" w:eastAsia="TimesNewRoman" w:hAnsiTheme="minorHAnsi" w:cs="TimesNewRoman"/>
        </w:rPr>
        <w:t>ci na promieniowanie UV, posiadaj</w:t>
      </w:r>
      <w:r>
        <w:rPr>
          <w:rFonts w:asciiTheme="minorHAnsi" w:eastAsia="TimesNewRoman" w:hAnsiTheme="minorHAnsi" w:cs="+TimesNewRoman"/>
        </w:rPr>
        <w:t>ą</w:t>
      </w:r>
      <w:r>
        <w:rPr>
          <w:rFonts w:asciiTheme="minorHAnsi" w:eastAsia="TimesNewRoman" w:hAnsiTheme="minorHAnsi" w:cs="TimesNewRoman"/>
        </w:rPr>
        <w:t>ca odczyn pH 14 i g</w:t>
      </w:r>
      <w:r>
        <w:rPr>
          <w:rFonts w:asciiTheme="minorHAnsi" w:eastAsia="TimesNewRoman" w:hAnsiTheme="minorHAnsi" w:cs="+TimesNewRoman"/>
        </w:rPr>
        <w:t>ę</w:t>
      </w:r>
      <w:r>
        <w:rPr>
          <w:rFonts w:asciiTheme="minorHAnsi" w:eastAsia="TimesNewRoman" w:hAnsiTheme="minorHAnsi" w:cs="TimesNewRoman"/>
        </w:rPr>
        <w:t>sto</w:t>
      </w:r>
      <w:r>
        <w:rPr>
          <w:rFonts w:asciiTheme="minorHAnsi" w:eastAsia="TimesNewRoman" w:hAnsiTheme="minorHAnsi" w:cs="+TimesNewRoman"/>
        </w:rPr>
        <w:t xml:space="preserve">ść  </w:t>
      </w:r>
      <w:r>
        <w:rPr>
          <w:rFonts w:asciiTheme="minorHAnsi" w:eastAsia="TimesNewRoman" w:hAnsiTheme="minorHAnsi" w:cs="TimesNewRoman"/>
        </w:rPr>
        <w:t>oko</w:t>
      </w:r>
      <w:r>
        <w:rPr>
          <w:rFonts w:asciiTheme="minorHAnsi" w:eastAsia="TimesNewRoman" w:hAnsiTheme="minorHAnsi" w:cs="+TimesNewRoman"/>
        </w:rPr>
        <w:t>ł</w:t>
      </w:r>
      <w:r>
        <w:rPr>
          <w:rFonts w:asciiTheme="minorHAnsi" w:eastAsia="TimesNewRoman" w:hAnsiTheme="minorHAnsi" w:cs="TimesNewRoman"/>
        </w:rPr>
        <w:t>o 1000 g/l.</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2.1.4. Antyprzyczepna, 2-komponentowa poliuretanowa pow</w:t>
      </w:r>
      <w:r>
        <w:rPr>
          <w:rFonts w:asciiTheme="minorHAnsi" w:eastAsia="TimesNewRoman" w:hAnsiTheme="minorHAnsi" w:cs="+TimesNewRoman"/>
        </w:rPr>
        <w:t>ł</w:t>
      </w:r>
      <w:r>
        <w:rPr>
          <w:rFonts w:asciiTheme="minorHAnsi" w:eastAsia="TimesNewRoman" w:hAnsiTheme="minorHAnsi" w:cs="TimesNewRoman"/>
        </w:rPr>
        <w:t>oka antygraffiti w formie emulsji wodnej</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Dwu komponentowa poliuretanowa twarda pow</w:t>
      </w:r>
      <w:r>
        <w:rPr>
          <w:rFonts w:asciiTheme="minorHAnsi" w:eastAsia="TimesNewRoman" w:hAnsiTheme="minorHAnsi" w:cs="+TimesNewRoman"/>
        </w:rPr>
        <w:t>ł</w:t>
      </w:r>
      <w:r>
        <w:rPr>
          <w:rFonts w:asciiTheme="minorHAnsi" w:eastAsia="TimesNewRoman" w:hAnsiTheme="minorHAnsi" w:cs="TimesNewRoman"/>
        </w:rPr>
        <w:t xml:space="preserve">oka poliuretanowa, bezbarwna, odporna na </w:t>
      </w:r>
      <w:r>
        <w:rPr>
          <w:rFonts w:asciiTheme="minorHAnsi" w:eastAsia="TimesNewRoman" w:hAnsiTheme="minorHAnsi" w:cs="+TimesNewRoman"/>
        </w:rPr>
        <w:t>ś</w:t>
      </w:r>
      <w:r>
        <w:rPr>
          <w:rFonts w:asciiTheme="minorHAnsi" w:eastAsia="TimesNewRoman" w:hAnsiTheme="minorHAnsi" w:cs="TimesNewRoman"/>
        </w:rPr>
        <w:t>cieranie i zadrapania. Dzi</w:t>
      </w:r>
      <w:r>
        <w:rPr>
          <w:rFonts w:asciiTheme="minorHAnsi" w:eastAsia="TimesNewRoman" w:hAnsiTheme="minorHAnsi" w:cs="+TimesNewRoman"/>
        </w:rPr>
        <w:t>ę</w:t>
      </w:r>
      <w:r>
        <w:rPr>
          <w:rFonts w:asciiTheme="minorHAnsi" w:eastAsia="TimesNewRoman" w:hAnsiTheme="minorHAnsi" w:cs="TimesNewRoman"/>
        </w:rPr>
        <w:t>ki wysokiej odporno</w:t>
      </w:r>
      <w:r>
        <w:rPr>
          <w:rFonts w:asciiTheme="minorHAnsi" w:eastAsia="TimesNewRoman" w:hAnsiTheme="minorHAnsi" w:cs="+TimesNewRoman"/>
        </w:rPr>
        <w:t>ś</w:t>
      </w:r>
      <w:r>
        <w:rPr>
          <w:rFonts w:asciiTheme="minorHAnsi" w:eastAsia="TimesNewRoman" w:hAnsiTheme="minorHAnsi" w:cs="TimesNewRoman"/>
        </w:rPr>
        <w:t>ci chemicznej chroni d</w:t>
      </w:r>
      <w:r>
        <w:rPr>
          <w:rFonts w:asciiTheme="minorHAnsi" w:eastAsia="TimesNewRoman" w:hAnsiTheme="minorHAnsi" w:cs="+TimesNewRoman"/>
        </w:rPr>
        <w:t>ł</w:t>
      </w:r>
      <w:r>
        <w:rPr>
          <w:rFonts w:asciiTheme="minorHAnsi" w:eastAsia="TimesNewRoman" w:hAnsiTheme="minorHAnsi" w:cs="TimesNewRoman"/>
        </w:rPr>
        <w:t>ugo zabezpieczone elementy przed graffiti i brudem atmosferycznym, ponadto uniemo</w:t>
      </w:r>
      <w:r>
        <w:rPr>
          <w:rFonts w:asciiTheme="minorHAnsi" w:eastAsia="TimesNewRoman" w:hAnsiTheme="minorHAnsi" w:cs="+TimesNewRoman"/>
        </w:rPr>
        <w:t>ż</w:t>
      </w:r>
      <w:r>
        <w:rPr>
          <w:rFonts w:asciiTheme="minorHAnsi" w:eastAsia="TimesNewRoman" w:hAnsiTheme="minorHAnsi" w:cs="TimesNewRoman"/>
        </w:rPr>
        <w:t>liwia przyczepność</w:t>
      </w:r>
      <w:r>
        <w:rPr>
          <w:rFonts w:asciiTheme="minorHAnsi" w:eastAsia="TimesNewRoman" w:hAnsiTheme="minorHAnsi" w:cs="+TimesNewRoman"/>
        </w:rPr>
        <w:t xml:space="preserve"> </w:t>
      </w:r>
      <w:r>
        <w:rPr>
          <w:rFonts w:asciiTheme="minorHAnsi" w:eastAsia="TimesNewRoman" w:hAnsiTheme="minorHAnsi" w:cs="TimesNewRoman"/>
        </w:rPr>
        <w:t>nalepek i plakatów. Nadaje si</w:t>
      </w:r>
      <w:r>
        <w:rPr>
          <w:rFonts w:asciiTheme="minorHAnsi" w:eastAsia="TimesNewRoman" w:hAnsiTheme="minorHAnsi" w:cs="+TimesNewRoman"/>
        </w:rPr>
        <w:t xml:space="preserve">ę  </w:t>
      </w:r>
      <w:r>
        <w:rPr>
          <w:rFonts w:asciiTheme="minorHAnsi" w:eastAsia="TimesNewRoman" w:hAnsiTheme="minorHAnsi" w:cs="TimesNewRoman"/>
        </w:rPr>
        <w:t>do stosowania na wszystkich pod</w:t>
      </w:r>
      <w:r>
        <w:rPr>
          <w:rFonts w:asciiTheme="minorHAnsi" w:eastAsia="TimesNewRoman" w:hAnsiTheme="minorHAnsi" w:cs="+TimesNewRoman"/>
        </w:rPr>
        <w:t>ł</w:t>
      </w:r>
      <w:r>
        <w:rPr>
          <w:rFonts w:asciiTheme="minorHAnsi" w:eastAsia="TimesNewRoman" w:hAnsiTheme="minorHAnsi" w:cs="TimesNewRoman"/>
        </w:rPr>
        <w:t>o</w:t>
      </w:r>
      <w:r>
        <w:rPr>
          <w:rFonts w:asciiTheme="minorHAnsi" w:eastAsia="TimesNewRoman" w:hAnsiTheme="minorHAnsi" w:cs="+TimesNewRoman"/>
        </w:rPr>
        <w:t>ż</w:t>
      </w:r>
      <w:r>
        <w:rPr>
          <w:rFonts w:asciiTheme="minorHAnsi" w:eastAsia="TimesNewRoman" w:hAnsiTheme="minorHAnsi" w:cs="TimesNewRoman"/>
        </w:rPr>
        <w:t>ach zarówno ch</w:t>
      </w:r>
      <w:r>
        <w:rPr>
          <w:rFonts w:asciiTheme="minorHAnsi" w:eastAsia="TimesNewRoman" w:hAnsiTheme="minorHAnsi" w:cs="+TimesNewRoman"/>
        </w:rPr>
        <w:t>ł</w:t>
      </w:r>
      <w:r>
        <w:rPr>
          <w:rFonts w:asciiTheme="minorHAnsi" w:eastAsia="TimesNewRoman" w:hAnsiTheme="minorHAnsi" w:cs="TimesNewRoman"/>
        </w:rPr>
        <w:t>onnych jak i nie ch</w:t>
      </w:r>
      <w:r>
        <w:rPr>
          <w:rFonts w:asciiTheme="minorHAnsi" w:eastAsia="TimesNewRoman" w:hAnsiTheme="minorHAnsi" w:cs="+TimesNewRoman"/>
        </w:rPr>
        <w:t>ł</w:t>
      </w:r>
      <w:r>
        <w:rPr>
          <w:rFonts w:asciiTheme="minorHAnsi" w:eastAsia="TimesNewRoman" w:hAnsiTheme="minorHAnsi" w:cs="TimesNewRoman"/>
        </w:rPr>
        <w:t>onnych, na betonie, pow</w:t>
      </w:r>
      <w:r>
        <w:rPr>
          <w:rFonts w:asciiTheme="minorHAnsi" w:eastAsia="TimesNewRoman" w:hAnsiTheme="minorHAnsi" w:cs="+TimesNewRoman"/>
        </w:rPr>
        <w:t>ł</w:t>
      </w:r>
      <w:r>
        <w:rPr>
          <w:rFonts w:asciiTheme="minorHAnsi" w:eastAsia="TimesNewRoman" w:hAnsiTheme="minorHAnsi" w:cs="TimesNewRoman"/>
        </w:rPr>
        <w:t>okach malarskich i metalu. W sk</w:t>
      </w:r>
      <w:r>
        <w:rPr>
          <w:rFonts w:asciiTheme="minorHAnsi" w:eastAsia="TimesNewRoman" w:hAnsiTheme="minorHAnsi" w:cs="+TimesNewRoman"/>
        </w:rPr>
        <w:t>ł</w:t>
      </w:r>
      <w:r>
        <w:rPr>
          <w:rFonts w:asciiTheme="minorHAnsi" w:eastAsia="TimesNewRoman" w:hAnsiTheme="minorHAnsi" w:cs="TimesNewRoman"/>
        </w:rPr>
        <w:t xml:space="preserve">ad preparatu wchodzi komponent A – jest to emulsja wodna </w:t>
      </w:r>
      <w:r>
        <w:rPr>
          <w:rFonts w:asciiTheme="minorHAnsi" w:eastAsia="TimesNewRoman" w:hAnsiTheme="minorHAnsi" w:cs="+TimesNewRoman"/>
        </w:rPr>
        <w:t>ż</w:t>
      </w:r>
      <w:r>
        <w:rPr>
          <w:rFonts w:asciiTheme="minorHAnsi" w:eastAsia="TimesNewRoman" w:hAnsiTheme="minorHAnsi" w:cs="TimesNewRoman"/>
        </w:rPr>
        <w:t>ywicy oraz, komponent B – izolacyjny. Mieszanina komponentów posiada g</w:t>
      </w:r>
      <w:r>
        <w:rPr>
          <w:rFonts w:asciiTheme="minorHAnsi" w:eastAsia="TimesNewRoman" w:hAnsiTheme="minorHAnsi" w:cs="+TimesNewRoman"/>
        </w:rPr>
        <w:t>ę</w:t>
      </w:r>
      <w:r>
        <w:rPr>
          <w:rFonts w:asciiTheme="minorHAnsi" w:eastAsia="TimesNewRoman" w:hAnsiTheme="minorHAnsi" w:cs="TimesNewRoman"/>
        </w:rPr>
        <w:t>sto</w:t>
      </w:r>
      <w:r>
        <w:rPr>
          <w:rFonts w:asciiTheme="minorHAnsi" w:eastAsia="TimesNewRoman" w:hAnsiTheme="minorHAnsi" w:cs="+TimesNewRoman"/>
        </w:rPr>
        <w:t xml:space="preserve">ść  </w:t>
      </w:r>
      <w:r>
        <w:rPr>
          <w:rFonts w:asciiTheme="minorHAnsi" w:eastAsia="TimesNewRoman" w:hAnsiTheme="minorHAnsi" w:cs="TimesNewRoman"/>
        </w:rPr>
        <w:t>1060 g/l i zawarte jest w niej oko</w:t>
      </w:r>
      <w:r>
        <w:rPr>
          <w:rFonts w:asciiTheme="minorHAnsi" w:eastAsia="TimesNewRoman" w:hAnsiTheme="minorHAnsi" w:cs="+TimesNewRoman"/>
        </w:rPr>
        <w:t>ł</w:t>
      </w:r>
      <w:r>
        <w:rPr>
          <w:rFonts w:asciiTheme="minorHAnsi" w:eastAsia="TimesNewRoman" w:hAnsiTheme="minorHAnsi" w:cs="TimesNewRoman"/>
        </w:rPr>
        <w:t>o 38% substancji czynnych.</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2.1.5. Preparat do usuwania graffiti z pod</w:t>
      </w:r>
      <w:r>
        <w:rPr>
          <w:rFonts w:asciiTheme="minorHAnsi" w:eastAsia="TimesNewRoman" w:hAnsiTheme="minorHAnsi" w:cs="+TimesNewRoman"/>
        </w:rPr>
        <w:t>ł</w:t>
      </w:r>
      <w:r>
        <w:rPr>
          <w:rFonts w:asciiTheme="minorHAnsi" w:eastAsia="TimesNewRoman" w:hAnsiTheme="minorHAnsi" w:cs="TimesNewRoman"/>
        </w:rPr>
        <w:t>o</w:t>
      </w:r>
      <w:r>
        <w:rPr>
          <w:rFonts w:asciiTheme="minorHAnsi" w:eastAsia="TimesNewRoman" w:hAnsiTheme="minorHAnsi" w:cs="+TimesNewRoman"/>
        </w:rPr>
        <w:t>ż</w:t>
      </w:r>
      <w:r>
        <w:rPr>
          <w:rFonts w:asciiTheme="minorHAnsi" w:eastAsia="TimesNewRoman" w:hAnsiTheme="minorHAnsi" w:cs="TimesNewRoman"/>
        </w:rPr>
        <w:t>y zabezpieczonych 2-komponentow</w:t>
      </w:r>
      <w:r>
        <w:rPr>
          <w:rFonts w:asciiTheme="minorHAnsi" w:eastAsia="TimesNewRoman" w:hAnsiTheme="minorHAnsi" w:cs="+TimesNewRoman"/>
        </w:rPr>
        <w:t xml:space="preserve">ą </w:t>
      </w:r>
      <w:r>
        <w:rPr>
          <w:rFonts w:asciiTheme="minorHAnsi" w:eastAsia="TimesNewRoman" w:hAnsiTheme="minorHAnsi" w:cs="TimesNewRoman"/>
        </w:rPr>
        <w:t>poliuretanową pow</w:t>
      </w:r>
      <w:r>
        <w:rPr>
          <w:rFonts w:asciiTheme="minorHAnsi" w:eastAsia="TimesNewRoman" w:hAnsiTheme="minorHAnsi" w:cs="+TimesNewRoman"/>
        </w:rPr>
        <w:t>ł</w:t>
      </w:r>
      <w:r>
        <w:rPr>
          <w:rFonts w:asciiTheme="minorHAnsi" w:eastAsia="TimesNewRoman" w:hAnsiTheme="minorHAnsi" w:cs="TimesNewRoman"/>
        </w:rPr>
        <w:t>ok</w:t>
      </w:r>
      <w:r>
        <w:rPr>
          <w:rFonts w:asciiTheme="minorHAnsi" w:eastAsia="TimesNewRoman" w:hAnsiTheme="minorHAnsi" w:cs="+TimesNewRoman"/>
        </w:rPr>
        <w:t xml:space="preserve">ą </w:t>
      </w:r>
      <w:r>
        <w:rPr>
          <w:rFonts w:asciiTheme="minorHAnsi" w:eastAsia="TimesNewRoman" w:hAnsiTheme="minorHAnsi" w:cs="TimesNewRoman"/>
        </w:rPr>
        <w:t xml:space="preserve">antygraffiti. </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 xml:space="preserve">Jest to </w:t>
      </w:r>
      <w:r>
        <w:rPr>
          <w:rFonts w:asciiTheme="minorHAnsi" w:eastAsia="TimesNewRoman" w:hAnsiTheme="minorHAnsi" w:cs="+TimesNewRoman"/>
        </w:rPr>
        <w:t>ś</w:t>
      </w:r>
      <w:r>
        <w:rPr>
          <w:rFonts w:asciiTheme="minorHAnsi" w:eastAsia="TimesNewRoman" w:hAnsiTheme="minorHAnsi" w:cs="TimesNewRoman"/>
        </w:rPr>
        <w:t>rodek b</w:t>
      </w:r>
      <w:r>
        <w:rPr>
          <w:rFonts w:asciiTheme="minorHAnsi" w:eastAsia="TimesNewRoman" w:hAnsiTheme="minorHAnsi" w:cs="+TimesNewRoman"/>
        </w:rPr>
        <w:t>ł</w:t>
      </w:r>
      <w:r>
        <w:rPr>
          <w:rFonts w:asciiTheme="minorHAnsi" w:eastAsia="TimesNewRoman" w:hAnsiTheme="minorHAnsi" w:cs="TimesNewRoman"/>
        </w:rPr>
        <w:t>onotwórczy na bazie akrylowej modyfikacji naturalnego kauczuku. Pozwala na usuni</w:t>
      </w:r>
      <w:r>
        <w:rPr>
          <w:rFonts w:asciiTheme="minorHAnsi" w:eastAsia="TimesNewRoman" w:hAnsiTheme="minorHAnsi" w:cs="+TimesNewRoman"/>
        </w:rPr>
        <w:t>ę</w:t>
      </w:r>
      <w:r>
        <w:rPr>
          <w:rFonts w:asciiTheme="minorHAnsi" w:eastAsia="TimesNewRoman" w:hAnsiTheme="minorHAnsi" w:cs="TimesNewRoman"/>
        </w:rPr>
        <w:t>cie graffiti bez stosowania rozpuszczalników. Usuwa farby w aerozolach, farby bitumiczne i gruntuj</w:t>
      </w:r>
      <w:r>
        <w:rPr>
          <w:rFonts w:asciiTheme="minorHAnsi" w:eastAsia="TimesNewRoman" w:hAnsiTheme="minorHAnsi" w:cs="+TimesNewRoman"/>
        </w:rPr>
        <w:t>ą</w:t>
      </w:r>
      <w:r>
        <w:rPr>
          <w:rFonts w:asciiTheme="minorHAnsi" w:eastAsia="TimesNewRoman" w:hAnsiTheme="minorHAnsi" w:cs="TimesNewRoman"/>
        </w:rPr>
        <w:t>ce. W sk</w:t>
      </w:r>
      <w:r>
        <w:rPr>
          <w:rFonts w:asciiTheme="minorHAnsi" w:eastAsia="TimesNewRoman" w:hAnsiTheme="minorHAnsi" w:cs="+TimesNewRoman"/>
        </w:rPr>
        <w:t>ł</w:t>
      </w:r>
      <w:r>
        <w:rPr>
          <w:rFonts w:asciiTheme="minorHAnsi" w:eastAsia="TimesNewRoman" w:hAnsiTheme="minorHAnsi" w:cs="TimesNewRoman"/>
        </w:rPr>
        <w:t>ad preparatu wchodz</w:t>
      </w:r>
      <w:r>
        <w:rPr>
          <w:rFonts w:asciiTheme="minorHAnsi" w:eastAsia="TimesNewRoman" w:hAnsiTheme="minorHAnsi" w:cs="+TimesNewRoman"/>
        </w:rPr>
        <w:t>ą</w:t>
      </w:r>
      <w:r>
        <w:rPr>
          <w:rFonts w:asciiTheme="minorHAnsi" w:eastAsia="TimesNewRoman" w:hAnsiTheme="minorHAnsi" w:cs="TimesNewRoman"/>
        </w:rPr>
        <w:t>:</w:t>
      </w:r>
    </w:p>
    <w:p w:rsidR="002412CC" w:rsidRDefault="002412CC" w:rsidP="002412CC">
      <w:pPr>
        <w:tabs>
          <w:tab w:val="left" w:pos="9914"/>
        </w:tabs>
        <w:rPr>
          <w:rFonts w:asciiTheme="minorHAnsi" w:eastAsiaTheme="minorEastAsia" w:hAnsiTheme="minorHAnsi"/>
        </w:rPr>
      </w:pPr>
      <w:r>
        <w:rPr>
          <w:rFonts w:asciiTheme="minorHAnsi" w:eastAsia="TimesNewRoman" w:hAnsiTheme="minorHAnsi" w:cs="TimesNewRoman"/>
        </w:rPr>
        <w:t>lateks naturalny, stabilizatory i polimery akrylowe. Charakteryzuje si</w:t>
      </w:r>
      <w:r>
        <w:rPr>
          <w:rFonts w:asciiTheme="minorHAnsi" w:eastAsia="TimesNewRoman" w:hAnsiTheme="minorHAnsi" w:cs="+TimesNewRoman"/>
        </w:rPr>
        <w:t xml:space="preserve">ę  </w:t>
      </w:r>
      <w:r>
        <w:rPr>
          <w:rFonts w:asciiTheme="minorHAnsi" w:eastAsia="TimesNewRoman" w:hAnsiTheme="minorHAnsi" w:cs="TimesNewRoman"/>
        </w:rPr>
        <w:t>g</w:t>
      </w:r>
      <w:r>
        <w:rPr>
          <w:rFonts w:asciiTheme="minorHAnsi" w:eastAsia="TimesNewRoman" w:hAnsiTheme="minorHAnsi" w:cs="+TimesNewRoman"/>
        </w:rPr>
        <w:t xml:space="preserve">ęstością  </w:t>
      </w:r>
      <w:r>
        <w:rPr>
          <w:rFonts w:asciiTheme="minorHAnsi" w:eastAsia="TimesNewRoman" w:hAnsiTheme="minorHAnsi" w:cs="TimesNewRoman"/>
        </w:rPr>
        <w:t>ca 950 g/l.</w:t>
      </w:r>
    </w:p>
    <w:p w:rsidR="002412CC" w:rsidRPr="00E5206A" w:rsidRDefault="002412CC" w:rsidP="00E5206A">
      <w:pPr>
        <w:pStyle w:val="Nagwek3"/>
      </w:pPr>
      <w:r w:rsidRPr="00E5206A">
        <w:t>3. Sprzęt</w:t>
      </w:r>
    </w:p>
    <w:p w:rsidR="002412CC" w:rsidRDefault="002412CC" w:rsidP="002412CC">
      <w:pPr>
        <w:tabs>
          <w:tab w:val="left" w:pos="9914"/>
        </w:tabs>
        <w:rPr>
          <w:rFonts w:asciiTheme="minorHAnsi" w:hAnsiTheme="minorHAnsi"/>
        </w:rPr>
      </w:pPr>
      <w:r>
        <w:rPr>
          <w:rFonts w:asciiTheme="minorHAnsi" w:hAnsiTheme="minorHAnsi"/>
        </w:rPr>
        <w:t xml:space="preserve">Ogólne wymagania dotyczące sprzętu podano w STWiORB D-M.00.00.00 "Wymagania ogólne" pkt 3. </w:t>
      </w:r>
    </w:p>
    <w:p w:rsidR="002412CC" w:rsidRDefault="002412CC" w:rsidP="002412CC">
      <w:pPr>
        <w:tabs>
          <w:tab w:val="left" w:pos="9914"/>
        </w:tabs>
        <w:rPr>
          <w:rFonts w:asciiTheme="minorHAnsi" w:hAnsiTheme="minorHAnsi"/>
        </w:rPr>
      </w:pPr>
      <w:r>
        <w:rPr>
          <w:rFonts w:asciiTheme="minorHAnsi" w:hAnsiTheme="minorHAnsi"/>
        </w:rPr>
        <w:t>Wykonawca przystępujący do wykonania powierzchniowego zabezpieczenia betonu  powinien mieć do dyspozycji następujący sprzęt:</w:t>
      </w:r>
    </w:p>
    <w:p w:rsidR="002412CC" w:rsidRDefault="002412CC" w:rsidP="002412CC">
      <w:pPr>
        <w:tabs>
          <w:tab w:val="left" w:pos="9914"/>
        </w:tabs>
        <w:rPr>
          <w:rFonts w:asciiTheme="minorHAnsi" w:hAnsiTheme="minorHAnsi"/>
        </w:rPr>
      </w:pPr>
      <w:r>
        <w:rPr>
          <w:rFonts w:asciiTheme="minorHAnsi" w:hAnsiTheme="minorHAnsi"/>
        </w:rPr>
        <w:t xml:space="preserve">sprzęt do strumieniowo-ściernego oczyszczenia (np. piaskowania) powierzchni betonu ze sprężarkami </w:t>
      </w:r>
    </w:p>
    <w:p w:rsidR="002412CC" w:rsidRDefault="002412CC" w:rsidP="002412CC">
      <w:pPr>
        <w:tabs>
          <w:tab w:val="left" w:pos="9914"/>
        </w:tabs>
        <w:rPr>
          <w:rFonts w:asciiTheme="minorHAnsi" w:hAnsiTheme="minorHAnsi"/>
        </w:rPr>
      </w:pPr>
      <w:r>
        <w:rPr>
          <w:rFonts w:asciiTheme="minorHAnsi" w:hAnsiTheme="minorHAnsi"/>
        </w:rPr>
        <w:t>sprzęt do oczyszczenia powierzchni betonu za pomocą strumienia wody pod wysokim ciśnieniem (60÷100 MPa)</w:t>
      </w:r>
    </w:p>
    <w:p w:rsidR="002412CC" w:rsidRDefault="002412CC" w:rsidP="002412CC">
      <w:pPr>
        <w:tabs>
          <w:tab w:val="left" w:pos="9914"/>
        </w:tabs>
        <w:rPr>
          <w:rFonts w:asciiTheme="minorHAnsi" w:hAnsiTheme="minorHAnsi"/>
        </w:rPr>
      </w:pPr>
      <w:r>
        <w:rPr>
          <w:rFonts w:asciiTheme="minorHAnsi" w:hAnsiTheme="minorHAnsi"/>
        </w:rPr>
        <w:t>sprzęt ręczny - pędzle wałki malarskie</w:t>
      </w:r>
    </w:p>
    <w:p w:rsidR="002412CC" w:rsidRDefault="002412CC" w:rsidP="002412CC">
      <w:pPr>
        <w:tabs>
          <w:tab w:val="left" w:pos="9914"/>
        </w:tabs>
        <w:rPr>
          <w:rFonts w:asciiTheme="minorHAnsi" w:hAnsiTheme="minorHAnsi"/>
        </w:rPr>
      </w:pPr>
      <w:r>
        <w:rPr>
          <w:rFonts w:asciiTheme="minorHAnsi" w:hAnsiTheme="minorHAnsi"/>
        </w:rPr>
        <w:t xml:space="preserve">pistolety natryskowe ze sprężarkami </w:t>
      </w:r>
    </w:p>
    <w:p w:rsidR="002412CC" w:rsidRDefault="002412CC" w:rsidP="002412CC">
      <w:pPr>
        <w:tabs>
          <w:tab w:val="left" w:pos="9914"/>
        </w:tabs>
        <w:rPr>
          <w:rFonts w:asciiTheme="minorHAnsi" w:hAnsiTheme="minorHAnsi"/>
        </w:rPr>
      </w:pPr>
      <w:r>
        <w:rPr>
          <w:rFonts w:asciiTheme="minorHAnsi" w:hAnsiTheme="minorHAnsi"/>
        </w:rPr>
        <w:t>Sprzęt do oczyszczenia powierzchni betonu oraz do układania powłok ochronnych winien byś zgodny z technologią nanoszenia określoną przez Wytwórcę materiału oraz zaakceptowany przez Inżyniera.</w:t>
      </w:r>
    </w:p>
    <w:p w:rsidR="002412CC" w:rsidRPr="00E5206A" w:rsidRDefault="002412CC" w:rsidP="00E5206A">
      <w:pPr>
        <w:pStyle w:val="Nagwek3"/>
      </w:pPr>
      <w:r w:rsidRPr="00E5206A">
        <w:t>4. Transport</w:t>
      </w:r>
    </w:p>
    <w:p w:rsidR="002412CC" w:rsidRDefault="002412CC" w:rsidP="002412CC">
      <w:pPr>
        <w:tabs>
          <w:tab w:val="left" w:pos="9914"/>
        </w:tabs>
        <w:rPr>
          <w:rFonts w:asciiTheme="minorHAnsi" w:hAnsiTheme="minorHAnsi"/>
        </w:rPr>
      </w:pPr>
      <w:r>
        <w:rPr>
          <w:rFonts w:asciiTheme="minorHAnsi" w:hAnsiTheme="minorHAnsi"/>
        </w:rPr>
        <w:t xml:space="preserve">Ogólne wymagania dotyczące transportu podano w STWiORB D-M.00.00.00 "Wymagania ogólne" pkt 4. </w:t>
      </w:r>
    </w:p>
    <w:p w:rsidR="002412CC" w:rsidRDefault="002412CC" w:rsidP="002412CC">
      <w:pPr>
        <w:tabs>
          <w:tab w:val="left" w:pos="9914"/>
        </w:tabs>
        <w:rPr>
          <w:rFonts w:asciiTheme="minorHAnsi" w:hAnsiTheme="minorHAnsi"/>
        </w:rPr>
      </w:pPr>
      <w:r>
        <w:rPr>
          <w:rFonts w:asciiTheme="minorHAnsi" w:hAnsiTheme="minorHAnsi"/>
        </w:rPr>
        <w:t>Materiały mogą być przewożone dowolnymi środkami transportu w pojemnikach zabezpieczonych przed uszkodzeniem i wylaniem zgodnie z wymaganiami Producenta. Transport i przechowywanie materiałów muszą zapewniać zachowanie przez preparat wymaganych właściwości.</w:t>
      </w:r>
    </w:p>
    <w:p w:rsidR="002412CC" w:rsidRPr="00E5206A" w:rsidRDefault="002412CC" w:rsidP="00E5206A">
      <w:pPr>
        <w:pStyle w:val="Nagwek3"/>
      </w:pPr>
      <w:r w:rsidRPr="00E5206A">
        <w:t>5. Wykonanie robót</w:t>
      </w:r>
    </w:p>
    <w:p w:rsidR="002412CC" w:rsidRDefault="002412CC" w:rsidP="002412CC">
      <w:pPr>
        <w:pStyle w:val="Nagwek4"/>
        <w:tabs>
          <w:tab w:val="left" w:pos="9914"/>
        </w:tabs>
        <w:rPr>
          <w:rFonts w:asciiTheme="minorHAnsi" w:hAnsiTheme="minorHAnsi"/>
        </w:rPr>
      </w:pPr>
      <w:r>
        <w:t>5.1. Ogólne warunki wykonania robot</w:t>
      </w:r>
    </w:p>
    <w:p w:rsidR="002412CC" w:rsidRDefault="002412CC" w:rsidP="002412CC">
      <w:pPr>
        <w:tabs>
          <w:tab w:val="left" w:pos="9914"/>
        </w:tabs>
        <w:rPr>
          <w:rFonts w:asciiTheme="minorHAnsi" w:hAnsiTheme="minorHAnsi"/>
        </w:rPr>
      </w:pPr>
      <w:r>
        <w:rPr>
          <w:rFonts w:asciiTheme="minorHAnsi" w:hAnsiTheme="minorHAnsi"/>
        </w:rPr>
        <w:t>Ogólne warunki wykonania robót podano w STWiORB D-M.00.00.00 "Wymagania ogólne" pkt 5.</w:t>
      </w:r>
    </w:p>
    <w:p w:rsidR="002412CC" w:rsidRDefault="002412CC" w:rsidP="002412CC">
      <w:pPr>
        <w:tabs>
          <w:tab w:val="left" w:pos="9914"/>
        </w:tabs>
        <w:rPr>
          <w:rFonts w:asciiTheme="minorHAnsi" w:hAnsiTheme="minorHAnsi"/>
        </w:rPr>
      </w:pPr>
      <w:r>
        <w:rPr>
          <w:rFonts w:asciiTheme="minorHAnsi" w:hAnsiTheme="minorHAnsi"/>
        </w:rPr>
        <w:t>Zabezpieczenie antykorozyjne preparatem do powierzchniowego zabezpieczenia betonu wykonywane być może tylko przez Wykonawcą zaopatrzonego w odpowiednie wyposażenie i pod kierownictwem personelu przeszkolonego w zakresie wykonywania powłok ochronnych betonu w konstrukcjach inżynierskich określonymi materiałami, co potwierdzone winno być odpowiednim świadectwem.</w:t>
      </w:r>
    </w:p>
    <w:p w:rsidR="002412CC" w:rsidRDefault="002412CC" w:rsidP="002412CC">
      <w:pPr>
        <w:pStyle w:val="Nagwek4"/>
        <w:tabs>
          <w:tab w:val="left" w:pos="9914"/>
        </w:tabs>
        <w:rPr>
          <w:rFonts w:asciiTheme="minorHAnsi" w:hAnsiTheme="minorHAnsi"/>
        </w:rPr>
      </w:pPr>
      <w:r>
        <w:lastRenderedPageBreak/>
        <w:t>5.2. Zakres wykonywanych robót</w:t>
      </w:r>
    </w:p>
    <w:p w:rsidR="002412CC" w:rsidRDefault="002412CC" w:rsidP="002412CC">
      <w:pPr>
        <w:tabs>
          <w:tab w:val="left" w:pos="9914"/>
        </w:tabs>
        <w:rPr>
          <w:rFonts w:asciiTheme="minorHAnsi" w:hAnsiTheme="minorHAnsi"/>
        </w:rPr>
      </w:pPr>
      <w:r>
        <w:rPr>
          <w:rFonts w:asciiTheme="minorHAnsi" w:hAnsiTheme="minorHAnsi"/>
        </w:rPr>
        <w:t>Zakres robót obejmuje:</w:t>
      </w:r>
    </w:p>
    <w:p w:rsidR="002412CC" w:rsidRDefault="002412CC" w:rsidP="002412CC">
      <w:pPr>
        <w:tabs>
          <w:tab w:val="left" w:pos="9914"/>
        </w:tabs>
        <w:rPr>
          <w:rFonts w:asciiTheme="minorHAnsi" w:hAnsiTheme="minorHAnsi"/>
        </w:rPr>
      </w:pPr>
      <w:r>
        <w:rPr>
          <w:rFonts w:asciiTheme="minorHAnsi" w:hAnsiTheme="minorHAnsi"/>
        </w:rPr>
        <w:t>oczyszczenie podłoża betonowego np. poprzez przepiaskowanie.</w:t>
      </w:r>
    </w:p>
    <w:p w:rsidR="002412CC" w:rsidRDefault="002412CC" w:rsidP="002412CC">
      <w:pPr>
        <w:tabs>
          <w:tab w:val="left" w:pos="9914"/>
        </w:tabs>
        <w:rPr>
          <w:rFonts w:asciiTheme="minorHAnsi" w:hAnsiTheme="minorHAnsi"/>
        </w:rPr>
      </w:pPr>
      <w:r>
        <w:rPr>
          <w:rFonts w:asciiTheme="minorHAnsi" w:hAnsiTheme="minorHAnsi"/>
        </w:rPr>
        <w:t>oczyszczenie ochranianej powierzchni poprzez przedmuchanie sprężonym  powietrzem,</w:t>
      </w:r>
    </w:p>
    <w:p w:rsidR="002412CC" w:rsidRDefault="002412CC" w:rsidP="002412CC">
      <w:pPr>
        <w:tabs>
          <w:tab w:val="left" w:pos="9914"/>
        </w:tabs>
        <w:rPr>
          <w:rFonts w:asciiTheme="minorHAnsi" w:hAnsiTheme="minorHAnsi"/>
        </w:rPr>
      </w:pPr>
      <w:r>
        <w:rPr>
          <w:rFonts w:asciiTheme="minorHAnsi" w:hAnsiTheme="minorHAnsi"/>
        </w:rPr>
        <w:t>wypełnienie większych ubytków poprzez szpachlowanie i wyrównanie powierzchni.</w:t>
      </w:r>
    </w:p>
    <w:p w:rsidR="002412CC" w:rsidRDefault="002412CC" w:rsidP="002412CC">
      <w:pPr>
        <w:tabs>
          <w:tab w:val="left" w:pos="9914"/>
        </w:tabs>
        <w:rPr>
          <w:rFonts w:asciiTheme="minorHAnsi" w:hAnsiTheme="minorHAnsi"/>
        </w:rPr>
      </w:pPr>
      <w:r>
        <w:rPr>
          <w:rFonts w:asciiTheme="minorHAnsi" w:hAnsiTheme="minorHAnsi"/>
        </w:rPr>
        <w:t>nanoszenie poszczególnych warstw preparatu zabezpieczającego,</w:t>
      </w:r>
    </w:p>
    <w:p w:rsidR="002412CC" w:rsidRDefault="002412CC" w:rsidP="002412CC">
      <w:pPr>
        <w:tabs>
          <w:tab w:val="left" w:pos="9914"/>
        </w:tabs>
        <w:rPr>
          <w:rFonts w:asciiTheme="minorHAnsi" w:hAnsiTheme="minorHAnsi"/>
        </w:rPr>
      </w:pPr>
      <w:r>
        <w:rPr>
          <w:rFonts w:asciiTheme="minorHAnsi" w:hAnsiTheme="minorHAnsi"/>
        </w:rPr>
        <w:t>Uwaga: Zakres robót związanych z powierzchniowym zabezpieczeniem betonu jest szczegółowo określony przez Projektanta w Dokumentacji Projektowej.</w:t>
      </w:r>
    </w:p>
    <w:p w:rsidR="002412CC" w:rsidRDefault="002412CC" w:rsidP="002412CC">
      <w:pPr>
        <w:pStyle w:val="Nagwek4"/>
        <w:tabs>
          <w:tab w:val="left" w:pos="9914"/>
        </w:tabs>
        <w:rPr>
          <w:rFonts w:asciiTheme="minorHAnsi" w:hAnsiTheme="minorHAnsi"/>
        </w:rPr>
      </w:pPr>
      <w:r>
        <w:t>5.3. Przygotowanie podłoża.</w:t>
      </w:r>
    </w:p>
    <w:p w:rsidR="002412CC" w:rsidRDefault="002412CC" w:rsidP="002412CC">
      <w:pPr>
        <w:tabs>
          <w:tab w:val="left" w:pos="9914"/>
        </w:tabs>
        <w:rPr>
          <w:rFonts w:asciiTheme="minorHAnsi" w:hAnsiTheme="minorHAnsi"/>
        </w:rPr>
      </w:pPr>
      <w:r>
        <w:rPr>
          <w:rFonts w:asciiTheme="minorHAnsi" w:hAnsiTheme="minorHAnsi"/>
        </w:rPr>
        <w:t>Podłoże musi być trwałe i wolne od wszelkiego rodzaju zabrudzenia olejami i tłuszczami. Stary beton należy oczyścić metodą strumieniowo-ścierną (piaskowanie) lub inną zaakceptowaną przez Kierownika Projektu. Zagłębienia i małe uszkodzenia należy zaszpachlować, a większe ubytki o głębokości powyżej 10 mm powinny zostać zreperowane przy użyciu zapraw epoksydowych niskokurczliwych, Wilgotność podłoża powinna być zgodna z wymaganiami Producenta.</w:t>
      </w:r>
    </w:p>
    <w:p w:rsidR="002412CC" w:rsidRDefault="002412CC" w:rsidP="002412CC">
      <w:pPr>
        <w:pStyle w:val="Nagwek4"/>
        <w:tabs>
          <w:tab w:val="left" w:pos="9914"/>
        </w:tabs>
        <w:rPr>
          <w:rFonts w:asciiTheme="minorHAnsi" w:hAnsiTheme="minorHAnsi"/>
        </w:rPr>
      </w:pPr>
      <w:r>
        <w:t>5.4. Przygotowanie materiału</w:t>
      </w:r>
    </w:p>
    <w:p w:rsidR="002412CC" w:rsidRDefault="002412CC" w:rsidP="002412CC">
      <w:pPr>
        <w:tabs>
          <w:tab w:val="left" w:pos="9914"/>
        </w:tabs>
        <w:rPr>
          <w:rFonts w:asciiTheme="minorHAnsi" w:hAnsiTheme="minorHAnsi"/>
        </w:rPr>
      </w:pPr>
      <w:r>
        <w:rPr>
          <w:rFonts w:asciiTheme="minorHAnsi" w:hAnsiTheme="minorHAnsi"/>
        </w:rPr>
        <w:t xml:space="preserve">Materiał dostarczany jest w postaci gotowej do stosowania. Przed użyciem należy dokładnie wymieszać. W przypadku, gdy nanoszenie odbywać się będzie pędzlem lub wałkiem można dodać rozpuszczalnik określony przez Producenta materiału. Żadne inne środki nie są dozwolone. </w:t>
      </w:r>
    </w:p>
    <w:p w:rsidR="002412CC" w:rsidRDefault="002412CC" w:rsidP="002412CC">
      <w:pPr>
        <w:tabs>
          <w:tab w:val="left" w:pos="9914"/>
        </w:tabs>
        <w:rPr>
          <w:rFonts w:asciiTheme="minorHAnsi" w:hAnsiTheme="minorHAnsi"/>
        </w:rPr>
      </w:pPr>
      <w:r>
        <w:rPr>
          <w:rFonts w:asciiTheme="minorHAnsi" w:hAnsiTheme="minorHAnsi"/>
        </w:rPr>
        <w:t>Przy przygotowaniu materiału należy przestrzegać Instrukcji Producenta.</w:t>
      </w:r>
    </w:p>
    <w:p w:rsidR="002412CC" w:rsidRDefault="002412CC" w:rsidP="002412CC">
      <w:pPr>
        <w:tabs>
          <w:tab w:val="left" w:pos="9914"/>
        </w:tabs>
        <w:rPr>
          <w:rFonts w:asciiTheme="minorHAnsi" w:hAnsiTheme="minorHAnsi"/>
        </w:rPr>
      </w:pPr>
      <w:r>
        <w:rPr>
          <w:rFonts w:asciiTheme="minorHAnsi" w:hAnsiTheme="minorHAnsi"/>
        </w:rPr>
        <w:t>Przygotowanie preparatu (mieszanie) wykonać bezpośrednio przed jego nanoszeniem. Należy zwrócić uwagę czy okresy gwarancji nie zostały przekroczone i czy preparat posiada odpowiednie atesty.</w:t>
      </w:r>
    </w:p>
    <w:p w:rsidR="002412CC" w:rsidRDefault="002412CC" w:rsidP="002412CC">
      <w:pPr>
        <w:pStyle w:val="Nagwek4"/>
        <w:tabs>
          <w:tab w:val="left" w:pos="9914"/>
        </w:tabs>
        <w:rPr>
          <w:rFonts w:asciiTheme="minorHAnsi" w:hAnsiTheme="minorHAnsi"/>
        </w:rPr>
      </w:pPr>
      <w:r>
        <w:t>5.5. Metody nanoszenia</w:t>
      </w:r>
    </w:p>
    <w:p w:rsidR="002412CC" w:rsidRDefault="002412CC" w:rsidP="002412CC">
      <w:pPr>
        <w:tabs>
          <w:tab w:val="left" w:pos="9914"/>
        </w:tabs>
        <w:rPr>
          <w:rFonts w:asciiTheme="minorHAnsi" w:hAnsiTheme="minorHAnsi"/>
        </w:rPr>
      </w:pPr>
      <w:r>
        <w:rPr>
          <w:rFonts w:asciiTheme="minorHAnsi" w:hAnsiTheme="minorHAnsi"/>
        </w:rPr>
        <w:t>malowanie pędzlem,</w:t>
      </w:r>
    </w:p>
    <w:p w:rsidR="002412CC" w:rsidRDefault="002412CC" w:rsidP="002412CC">
      <w:pPr>
        <w:tabs>
          <w:tab w:val="left" w:pos="9914"/>
        </w:tabs>
        <w:rPr>
          <w:rFonts w:asciiTheme="minorHAnsi" w:hAnsiTheme="minorHAnsi"/>
        </w:rPr>
      </w:pPr>
      <w:r>
        <w:rPr>
          <w:rFonts w:asciiTheme="minorHAnsi" w:hAnsiTheme="minorHAnsi"/>
        </w:rPr>
        <w:t>nanoszenie wałkiem,</w:t>
      </w:r>
    </w:p>
    <w:p w:rsidR="002412CC" w:rsidRDefault="002412CC" w:rsidP="002412CC">
      <w:pPr>
        <w:tabs>
          <w:tab w:val="left" w:pos="9914"/>
        </w:tabs>
        <w:rPr>
          <w:rFonts w:asciiTheme="minorHAnsi" w:hAnsiTheme="minorHAnsi"/>
        </w:rPr>
      </w:pPr>
      <w:r>
        <w:rPr>
          <w:rFonts w:asciiTheme="minorHAnsi" w:hAnsiTheme="minorHAnsi"/>
        </w:rPr>
        <w:t>natryskiwanie Airless.</w:t>
      </w:r>
    </w:p>
    <w:p w:rsidR="002412CC" w:rsidRDefault="002412CC" w:rsidP="002412CC">
      <w:pPr>
        <w:tabs>
          <w:tab w:val="left" w:pos="9914"/>
        </w:tabs>
        <w:rPr>
          <w:rFonts w:asciiTheme="minorHAnsi" w:hAnsiTheme="minorHAnsi"/>
        </w:rPr>
      </w:pPr>
      <w:r>
        <w:rPr>
          <w:rFonts w:asciiTheme="minorHAnsi" w:hAnsiTheme="minorHAnsi"/>
        </w:rPr>
        <w:t>nanoszenie szpachlą.</w:t>
      </w:r>
    </w:p>
    <w:p w:rsidR="002412CC" w:rsidRDefault="002412CC" w:rsidP="002412CC">
      <w:pPr>
        <w:tabs>
          <w:tab w:val="left" w:pos="9914"/>
        </w:tabs>
        <w:rPr>
          <w:rFonts w:asciiTheme="minorHAnsi" w:hAnsiTheme="minorHAnsi"/>
        </w:rPr>
      </w:pPr>
      <w:r>
        <w:rPr>
          <w:rFonts w:asciiTheme="minorHAnsi" w:hAnsiTheme="minorHAnsi"/>
        </w:rPr>
        <w:t xml:space="preserve">Sposób nanoszenia należy dostosować do zastosowanego materiału. Wszystkie czynności związane z nanoszeniem materiału do powierzchniowego zabezpieczenia wykonać zgodnie z Instrukcją Producenta. Ilość warstw powinna zapewnić grubość wymaganą w Dokumentacji Projektowej. Przy nakładaniu poszczególnych warstw należy przestrzegać zalecanych przez Producenta zakresów temperatur otoczenia i podłoża oraz wilgotności powietrza, a także wymaganych przerw pomiędzy nanoszeniem poszczególnych warstw. Nie wolno prowadzić prac w czasie deszczu. Podłoże oraz każda nanoszona warstwa winny być odebrane przez Kierownika Projektu. </w:t>
      </w:r>
    </w:p>
    <w:p w:rsidR="002412CC" w:rsidRDefault="002412CC" w:rsidP="002412CC">
      <w:pPr>
        <w:tabs>
          <w:tab w:val="left" w:pos="9914"/>
        </w:tabs>
        <w:rPr>
          <w:rFonts w:asciiTheme="minorHAnsi" w:hAnsiTheme="minorHAnsi"/>
        </w:rPr>
      </w:pPr>
    </w:p>
    <w:p w:rsidR="002412CC" w:rsidRDefault="002412CC" w:rsidP="002412CC">
      <w:pPr>
        <w:rPr>
          <w:rFonts w:asciiTheme="minorHAnsi" w:eastAsia="TimesNewRoman,Bold" w:hAnsiTheme="minorHAnsi" w:cs="TimesNewRoman,Bold"/>
          <w:b/>
          <w:bCs/>
        </w:rPr>
      </w:pPr>
      <w:r>
        <w:rPr>
          <w:rFonts w:asciiTheme="minorHAnsi" w:eastAsia="TimesNewRoman,Bold" w:hAnsiTheme="minorHAnsi" w:cs="TimesNewRoman,Bold"/>
          <w:b/>
          <w:bCs/>
        </w:rPr>
        <w:t>5.6. Zabezpieczenie powierzchni systemem antygraffiti</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5.6.1. Wykonanie podk</w:t>
      </w:r>
      <w:r>
        <w:rPr>
          <w:rFonts w:asciiTheme="minorHAnsi" w:eastAsia="TimesNewRoman,Bold" w:hAnsiTheme="minorHAnsi" w:cs="+TimesNewRoman"/>
        </w:rPr>
        <w:t>ł</w:t>
      </w:r>
      <w:r>
        <w:rPr>
          <w:rFonts w:asciiTheme="minorHAnsi" w:eastAsia="TimesNewRoman" w:hAnsiTheme="minorHAnsi" w:cs="TimesNewRoman"/>
        </w:rPr>
        <w:t>adu gruntuj</w:t>
      </w:r>
      <w:r>
        <w:rPr>
          <w:rFonts w:asciiTheme="minorHAnsi" w:eastAsia="TimesNewRoman,Bold" w:hAnsiTheme="minorHAnsi" w:cs="+TimesNewRoman"/>
        </w:rPr>
        <w:t>ą</w:t>
      </w:r>
      <w:r>
        <w:rPr>
          <w:rFonts w:asciiTheme="minorHAnsi" w:eastAsia="TimesNewRoman" w:hAnsiTheme="minorHAnsi" w:cs="TimesNewRoman"/>
        </w:rPr>
        <w:t>cego do systemów antygraffiti</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Podk</w:t>
      </w:r>
      <w:r>
        <w:rPr>
          <w:rFonts w:asciiTheme="minorHAnsi" w:eastAsia="TimesNewRoman,Bold" w:hAnsiTheme="minorHAnsi" w:cs="+TimesNewRoman"/>
        </w:rPr>
        <w:t>ł</w:t>
      </w:r>
      <w:r>
        <w:rPr>
          <w:rFonts w:asciiTheme="minorHAnsi" w:eastAsia="TimesNewRoman" w:hAnsiTheme="minorHAnsi" w:cs="TimesNewRoman"/>
        </w:rPr>
        <w:t>ad gruntuj</w:t>
      </w:r>
      <w:r>
        <w:rPr>
          <w:rFonts w:asciiTheme="minorHAnsi" w:eastAsia="TimesNewRoman,Bold" w:hAnsiTheme="minorHAnsi" w:cs="+TimesNewRoman"/>
        </w:rPr>
        <w:t>ą</w:t>
      </w:r>
      <w:r>
        <w:rPr>
          <w:rFonts w:asciiTheme="minorHAnsi" w:eastAsia="TimesNewRoman" w:hAnsiTheme="minorHAnsi" w:cs="TimesNewRoman"/>
        </w:rPr>
        <w:t>cy nale</w:t>
      </w:r>
      <w:r>
        <w:rPr>
          <w:rFonts w:asciiTheme="minorHAnsi" w:eastAsia="TimesNewRoman,Bold" w:hAnsiTheme="minorHAnsi" w:cs="+TimesNewRoman"/>
        </w:rPr>
        <w:t>ż</w:t>
      </w:r>
      <w:r>
        <w:rPr>
          <w:rFonts w:asciiTheme="minorHAnsi" w:eastAsia="TimesNewRoman" w:hAnsiTheme="minorHAnsi" w:cs="TimesNewRoman"/>
        </w:rPr>
        <w:t>y wykona</w:t>
      </w:r>
      <w:r>
        <w:rPr>
          <w:rFonts w:asciiTheme="minorHAnsi" w:eastAsia="TimesNewRoman,Bold" w:hAnsiTheme="minorHAnsi" w:cs="+TimesNewRoman"/>
        </w:rPr>
        <w:t xml:space="preserve">ć  </w:t>
      </w:r>
      <w:r>
        <w:rPr>
          <w:rFonts w:asciiTheme="minorHAnsi" w:eastAsia="TimesNewRoman" w:hAnsiTheme="minorHAnsi" w:cs="TimesNewRoman"/>
        </w:rPr>
        <w:t>na elementach ch</w:t>
      </w:r>
      <w:r>
        <w:rPr>
          <w:rFonts w:asciiTheme="minorHAnsi" w:eastAsia="TimesNewRoman,Bold" w:hAnsiTheme="minorHAnsi" w:cs="+TimesNewRoman"/>
        </w:rPr>
        <w:t>ł</w:t>
      </w:r>
      <w:r>
        <w:rPr>
          <w:rFonts w:asciiTheme="minorHAnsi" w:eastAsia="TimesNewRoman" w:hAnsiTheme="minorHAnsi" w:cs="TimesNewRoman"/>
        </w:rPr>
        <w:t xml:space="preserve">onnych, np: na </w:t>
      </w:r>
      <w:r>
        <w:rPr>
          <w:rFonts w:asciiTheme="minorHAnsi" w:eastAsia="TimesNewRoman,Bold" w:hAnsiTheme="minorHAnsi" w:cs="+TimesNewRoman"/>
        </w:rPr>
        <w:t>ż</w:t>
      </w:r>
      <w:r>
        <w:rPr>
          <w:rFonts w:asciiTheme="minorHAnsi" w:eastAsia="TimesNewRoman" w:hAnsiTheme="minorHAnsi" w:cs="TimesNewRoman"/>
        </w:rPr>
        <w:t>elbetowych belkach podwalinowych. Grunt mo</w:t>
      </w:r>
      <w:r>
        <w:rPr>
          <w:rFonts w:asciiTheme="minorHAnsi" w:eastAsia="TimesNewRoman,Bold" w:hAnsiTheme="minorHAnsi" w:cs="+TimesNewRoman"/>
        </w:rPr>
        <w:t>ż</w:t>
      </w:r>
      <w:r>
        <w:rPr>
          <w:rFonts w:asciiTheme="minorHAnsi" w:eastAsia="TimesNewRoman" w:hAnsiTheme="minorHAnsi" w:cs="TimesNewRoman"/>
        </w:rPr>
        <w:t>na nak</w:t>
      </w:r>
      <w:r>
        <w:rPr>
          <w:rFonts w:asciiTheme="minorHAnsi" w:eastAsia="TimesNewRoman,Bold" w:hAnsiTheme="minorHAnsi" w:cs="+TimesNewRoman"/>
        </w:rPr>
        <w:t>ł</w:t>
      </w:r>
      <w:r>
        <w:rPr>
          <w:rFonts w:asciiTheme="minorHAnsi" w:eastAsia="TimesNewRoman" w:hAnsiTheme="minorHAnsi" w:cs="TimesNewRoman"/>
        </w:rPr>
        <w:t>ada</w:t>
      </w:r>
      <w:r>
        <w:rPr>
          <w:rFonts w:asciiTheme="minorHAnsi" w:eastAsia="TimesNewRoman,Bold" w:hAnsiTheme="minorHAnsi" w:cs="+TimesNewRoman"/>
        </w:rPr>
        <w:t xml:space="preserve">ć </w:t>
      </w:r>
      <w:r>
        <w:rPr>
          <w:rFonts w:asciiTheme="minorHAnsi" w:eastAsia="TimesNewRoman" w:hAnsiTheme="minorHAnsi" w:cs="TimesNewRoman"/>
        </w:rPr>
        <w:t>p</w:t>
      </w:r>
      <w:r>
        <w:rPr>
          <w:rFonts w:asciiTheme="minorHAnsi" w:eastAsia="TimesNewRoman,Bold" w:hAnsiTheme="minorHAnsi" w:cs="+TimesNewRoman"/>
        </w:rPr>
        <w:t>ę</w:t>
      </w:r>
      <w:r>
        <w:rPr>
          <w:rFonts w:asciiTheme="minorHAnsi" w:eastAsia="TimesNewRoman" w:hAnsiTheme="minorHAnsi" w:cs="TimesNewRoman"/>
        </w:rPr>
        <w:t>dzlem, wa</w:t>
      </w:r>
      <w:r>
        <w:rPr>
          <w:rFonts w:asciiTheme="minorHAnsi" w:eastAsia="TimesNewRoman,Bold" w:hAnsiTheme="minorHAnsi" w:cs="+TimesNewRoman"/>
        </w:rPr>
        <w:t>ł</w:t>
      </w:r>
      <w:r>
        <w:rPr>
          <w:rFonts w:asciiTheme="minorHAnsi" w:eastAsia="TimesNewRoman" w:hAnsiTheme="minorHAnsi" w:cs="TimesNewRoman"/>
        </w:rPr>
        <w:t>kiem lub pistoletem natryskowym niskocisnieniowym. Zaleca si</w:t>
      </w:r>
      <w:r>
        <w:rPr>
          <w:rFonts w:asciiTheme="minorHAnsi" w:eastAsia="TimesNewRoman,Bold" w:hAnsiTheme="minorHAnsi" w:cs="+TimesNewRoman"/>
        </w:rPr>
        <w:t xml:space="preserve">ę </w:t>
      </w:r>
      <w:r>
        <w:rPr>
          <w:rFonts w:asciiTheme="minorHAnsi" w:eastAsia="TimesNewRoman" w:hAnsiTheme="minorHAnsi" w:cs="TimesNewRoman"/>
        </w:rPr>
        <w:t>wykona</w:t>
      </w:r>
      <w:r>
        <w:rPr>
          <w:rFonts w:asciiTheme="minorHAnsi" w:eastAsia="TimesNewRoman,Bold" w:hAnsiTheme="minorHAnsi" w:cs="+TimesNewRoman"/>
        </w:rPr>
        <w:t xml:space="preserve">ć </w:t>
      </w:r>
      <w:r>
        <w:rPr>
          <w:rFonts w:asciiTheme="minorHAnsi" w:eastAsia="TimesNewRoman" w:hAnsiTheme="minorHAnsi" w:cs="TimesNewRoman"/>
        </w:rPr>
        <w:t>dwukrotne nanoszenie gruntu.</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5.6.2. Wykonanie antyprzyczepnej 2 – komponentowej pow</w:t>
      </w:r>
      <w:r>
        <w:rPr>
          <w:rFonts w:asciiTheme="minorHAnsi" w:eastAsia="TimesNewRoman,Bold" w:hAnsiTheme="minorHAnsi" w:cs="+TimesNewRoman"/>
        </w:rPr>
        <w:t>ł</w:t>
      </w:r>
      <w:r>
        <w:rPr>
          <w:rFonts w:asciiTheme="minorHAnsi" w:eastAsia="TimesNewRoman" w:hAnsiTheme="minorHAnsi" w:cs="TimesNewRoman"/>
        </w:rPr>
        <w:t>oki antygraffiti</w:t>
      </w:r>
    </w:p>
    <w:p w:rsidR="002412CC" w:rsidRDefault="002412CC" w:rsidP="002412CC">
      <w:pPr>
        <w:rPr>
          <w:rFonts w:asciiTheme="minorHAnsi" w:eastAsia="TimesNewRoman,Bold" w:hAnsiTheme="minorHAnsi" w:cs="+TimesNewRoman"/>
        </w:rPr>
      </w:pPr>
      <w:r>
        <w:rPr>
          <w:rFonts w:asciiTheme="minorHAnsi" w:eastAsia="TimesNewRoman" w:hAnsiTheme="minorHAnsi" w:cs="TimesNewRoman"/>
        </w:rPr>
        <w:t>Komponenty A i B nale</w:t>
      </w:r>
      <w:r>
        <w:rPr>
          <w:rFonts w:asciiTheme="minorHAnsi" w:eastAsia="TimesNewRoman,Bold" w:hAnsiTheme="minorHAnsi" w:cs="+TimesNewRoman"/>
        </w:rPr>
        <w:t>ż</w:t>
      </w:r>
      <w:r>
        <w:rPr>
          <w:rFonts w:asciiTheme="minorHAnsi" w:eastAsia="TimesNewRoman" w:hAnsiTheme="minorHAnsi" w:cs="TimesNewRoman"/>
        </w:rPr>
        <w:t>y wymiesza</w:t>
      </w:r>
      <w:r>
        <w:rPr>
          <w:rFonts w:asciiTheme="minorHAnsi" w:eastAsia="TimesNewRoman,Bold" w:hAnsiTheme="minorHAnsi" w:cs="+TimesNewRoman"/>
        </w:rPr>
        <w:t xml:space="preserve">ż </w:t>
      </w:r>
      <w:r>
        <w:rPr>
          <w:rFonts w:asciiTheme="minorHAnsi" w:eastAsia="TimesNewRoman" w:hAnsiTheme="minorHAnsi" w:cs="TimesNewRoman"/>
        </w:rPr>
        <w:t>mieszad</w:t>
      </w:r>
      <w:r>
        <w:rPr>
          <w:rFonts w:asciiTheme="minorHAnsi" w:eastAsia="TimesNewRoman,Bold" w:hAnsiTheme="minorHAnsi" w:cs="+TimesNewRoman"/>
        </w:rPr>
        <w:t>ł</w:t>
      </w:r>
      <w:r>
        <w:rPr>
          <w:rFonts w:asciiTheme="minorHAnsi" w:eastAsia="TimesNewRoman" w:hAnsiTheme="minorHAnsi" w:cs="TimesNewRoman"/>
        </w:rPr>
        <w:t>em w stosunku podanym przez producenta, unikaj</w:t>
      </w:r>
      <w:r>
        <w:rPr>
          <w:rFonts w:asciiTheme="minorHAnsi" w:eastAsia="TimesNewRoman,Bold" w:hAnsiTheme="minorHAnsi" w:cs="+TimesNewRoman"/>
        </w:rPr>
        <w:t>ą</w:t>
      </w:r>
      <w:r>
        <w:rPr>
          <w:rFonts w:asciiTheme="minorHAnsi" w:eastAsia="TimesNewRoman" w:hAnsiTheme="minorHAnsi" w:cs="TimesNewRoman"/>
        </w:rPr>
        <w:t>c tworzenia si</w:t>
      </w:r>
      <w:r>
        <w:rPr>
          <w:rFonts w:asciiTheme="minorHAnsi" w:eastAsia="TimesNewRoman,Bold" w:hAnsiTheme="minorHAnsi" w:cs="+TimesNewRoman"/>
        </w:rPr>
        <w:t xml:space="preserve">ę </w:t>
      </w:r>
      <w:r>
        <w:rPr>
          <w:rFonts w:asciiTheme="minorHAnsi" w:eastAsia="TimesNewRoman" w:hAnsiTheme="minorHAnsi" w:cs="TimesNewRoman"/>
        </w:rPr>
        <w:t>p</w:t>
      </w:r>
      <w:r>
        <w:rPr>
          <w:rFonts w:asciiTheme="minorHAnsi" w:eastAsia="TimesNewRoman,Bold" w:hAnsiTheme="minorHAnsi" w:cs="+TimesNewRoman"/>
        </w:rPr>
        <w:t>ę</w:t>
      </w:r>
      <w:r>
        <w:rPr>
          <w:rFonts w:asciiTheme="minorHAnsi" w:eastAsia="TimesNewRoman" w:hAnsiTheme="minorHAnsi" w:cs="TimesNewRoman"/>
        </w:rPr>
        <w:t>cherzyków powietrza, a</w:t>
      </w:r>
      <w:r>
        <w:rPr>
          <w:rFonts w:asciiTheme="minorHAnsi" w:eastAsia="TimesNewRoman,Bold" w:hAnsiTheme="minorHAnsi" w:cs="+TimesNewRoman"/>
        </w:rPr>
        <w:t xml:space="preserve">ż </w:t>
      </w:r>
      <w:r>
        <w:rPr>
          <w:rFonts w:asciiTheme="minorHAnsi" w:eastAsia="TimesNewRoman" w:hAnsiTheme="minorHAnsi" w:cs="TimesNewRoman"/>
        </w:rPr>
        <w:t>do uzyskania jednorodnej mlecznej mieszaniny. Nale</w:t>
      </w:r>
      <w:r>
        <w:rPr>
          <w:rFonts w:asciiTheme="minorHAnsi" w:eastAsia="TimesNewRoman,Bold" w:hAnsiTheme="minorHAnsi" w:cs="+TimesNewRoman"/>
        </w:rPr>
        <w:t>ż</w:t>
      </w:r>
      <w:r>
        <w:rPr>
          <w:rFonts w:asciiTheme="minorHAnsi" w:eastAsia="TimesNewRoman" w:hAnsiTheme="minorHAnsi" w:cs="TimesNewRoman"/>
        </w:rPr>
        <w:t>y uwa</w:t>
      </w:r>
      <w:r>
        <w:rPr>
          <w:rFonts w:asciiTheme="minorHAnsi" w:eastAsia="TimesNewRoman,Bold" w:hAnsiTheme="minorHAnsi" w:cs="+TimesNewRoman"/>
        </w:rPr>
        <w:t>ż</w:t>
      </w:r>
      <w:r>
        <w:rPr>
          <w:rFonts w:asciiTheme="minorHAnsi" w:eastAsia="TimesNewRoman" w:hAnsiTheme="minorHAnsi" w:cs="TimesNewRoman"/>
        </w:rPr>
        <w:t>a</w:t>
      </w:r>
      <w:r>
        <w:rPr>
          <w:rFonts w:asciiTheme="minorHAnsi" w:eastAsia="TimesNewRoman,Bold" w:hAnsiTheme="minorHAnsi" w:cs="+TimesNewRoman"/>
        </w:rPr>
        <w:t xml:space="preserve">ć  </w:t>
      </w:r>
      <w:r>
        <w:rPr>
          <w:rFonts w:asciiTheme="minorHAnsi" w:eastAsia="TimesNewRoman" w:hAnsiTheme="minorHAnsi" w:cs="TimesNewRoman"/>
        </w:rPr>
        <w:t>aby na dnie nie powsta</w:t>
      </w:r>
      <w:r>
        <w:rPr>
          <w:rFonts w:asciiTheme="minorHAnsi" w:eastAsia="TimesNewRoman,Bold" w:hAnsiTheme="minorHAnsi" w:cs="+TimesNewRoman"/>
        </w:rPr>
        <w:t xml:space="preserve">ł </w:t>
      </w:r>
      <w:r>
        <w:rPr>
          <w:rFonts w:asciiTheme="minorHAnsi" w:eastAsia="TimesNewRoman" w:hAnsiTheme="minorHAnsi" w:cs="TimesNewRoman"/>
        </w:rPr>
        <w:t>osad; w</w:t>
      </w:r>
      <w:r>
        <w:rPr>
          <w:rFonts w:asciiTheme="minorHAnsi" w:eastAsia="TimesNewRoman,Bold" w:hAnsiTheme="minorHAnsi" w:cs="+TimesNewRoman"/>
        </w:rPr>
        <w:t xml:space="preserve"> </w:t>
      </w:r>
      <w:r>
        <w:rPr>
          <w:rFonts w:asciiTheme="minorHAnsi" w:eastAsia="TimesNewRoman" w:hAnsiTheme="minorHAnsi" w:cs="TimesNewRoman"/>
        </w:rPr>
        <w:t>szczególnych przypadkach ci</w:t>
      </w:r>
      <w:r>
        <w:rPr>
          <w:rFonts w:asciiTheme="minorHAnsi" w:eastAsia="TimesNewRoman,Bold" w:hAnsiTheme="minorHAnsi" w:cs="+TimesNewRoman"/>
        </w:rPr>
        <w:t>ą</w:t>
      </w:r>
      <w:r>
        <w:rPr>
          <w:rFonts w:asciiTheme="minorHAnsi" w:eastAsia="TimesNewRoman" w:hAnsiTheme="minorHAnsi" w:cs="TimesNewRoman"/>
        </w:rPr>
        <w:t>gle mieszaj</w:t>
      </w:r>
      <w:r>
        <w:rPr>
          <w:rFonts w:asciiTheme="minorHAnsi" w:eastAsia="TimesNewRoman,Bold" w:hAnsiTheme="minorHAnsi" w:cs="+TimesNewRoman"/>
        </w:rPr>
        <w:t>ą</w:t>
      </w:r>
      <w:r>
        <w:rPr>
          <w:rFonts w:asciiTheme="minorHAnsi" w:eastAsia="TimesNewRoman" w:hAnsiTheme="minorHAnsi" w:cs="TimesNewRoman"/>
        </w:rPr>
        <w:t>c mo</w:t>
      </w:r>
      <w:r>
        <w:rPr>
          <w:rFonts w:asciiTheme="minorHAnsi" w:eastAsia="TimesNewRoman,Bold" w:hAnsiTheme="minorHAnsi" w:cs="+TimesNewRoman"/>
        </w:rPr>
        <w:t>ż</w:t>
      </w:r>
      <w:r>
        <w:rPr>
          <w:rFonts w:asciiTheme="minorHAnsi" w:eastAsia="TimesNewRoman" w:hAnsiTheme="minorHAnsi" w:cs="TimesNewRoman"/>
        </w:rPr>
        <w:t>na doda</w:t>
      </w:r>
      <w:r>
        <w:rPr>
          <w:rFonts w:asciiTheme="minorHAnsi" w:eastAsia="TimesNewRoman,Bold" w:hAnsiTheme="minorHAnsi" w:cs="+TimesNewRoman"/>
        </w:rPr>
        <w:t xml:space="preserve">ć  </w:t>
      </w:r>
      <w:r>
        <w:rPr>
          <w:rFonts w:asciiTheme="minorHAnsi" w:eastAsia="TimesNewRoman" w:hAnsiTheme="minorHAnsi" w:cs="TimesNewRoman"/>
        </w:rPr>
        <w:t>5% wody. Wymieszany materia</w:t>
      </w:r>
      <w:r>
        <w:rPr>
          <w:rFonts w:asciiTheme="minorHAnsi" w:eastAsia="TimesNewRoman,Bold" w:hAnsiTheme="minorHAnsi" w:cs="+TimesNewRoman"/>
        </w:rPr>
        <w:t xml:space="preserve">ł  </w:t>
      </w:r>
      <w:r>
        <w:rPr>
          <w:rFonts w:asciiTheme="minorHAnsi" w:eastAsia="TimesNewRoman" w:hAnsiTheme="minorHAnsi" w:cs="TimesNewRoman"/>
        </w:rPr>
        <w:t>nale</w:t>
      </w:r>
      <w:r>
        <w:rPr>
          <w:rFonts w:asciiTheme="minorHAnsi" w:eastAsia="TimesNewRoman,Bold" w:hAnsiTheme="minorHAnsi" w:cs="+TimesNewRoman"/>
        </w:rPr>
        <w:t>ż</w:t>
      </w:r>
      <w:r>
        <w:rPr>
          <w:rFonts w:asciiTheme="minorHAnsi" w:eastAsia="TimesNewRoman" w:hAnsiTheme="minorHAnsi" w:cs="TimesNewRoman"/>
        </w:rPr>
        <w:t>y zu</w:t>
      </w:r>
      <w:r>
        <w:rPr>
          <w:rFonts w:asciiTheme="minorHAnsi" w:eastAsia="TimesNewRoman,Bold" w:hAnsiTheme="minorHAnsi" w:cs="+TimesNewRoman"/>
        </w:rPr>
        <w:t>ż</w:t>
      </w:r>
      <w:r>
        <w:rPr>
          <w:rFonts w:asciiTheme="minorHAnsi" w:eastAsia="TimesNewRoman" w:hAnsiTheme="minorHAnsi" w:cs="TimesNewRoman"/>
        </w:rPr>
        <w:t>yć</w:t>
      </w:r>
      <w:r>
        <w:rPr>
          <w:rFonts w:asciiTheme="minorHAnsi" w:eastAsia="TimesNewRoman,Bold" w:hAnsiTheme="minorHAnsi" w:cs="+TimesNewRoman"/>
        </w:rPr>
        <w:t xml:space="preserve"> </w:t>
      </w:r>
      <w:r>
        <w:rPr>
          <w:rFonts w:asciiTheme="minorHAnsi" w:eastAsia="TimesNewRoman" w:hAnsiTheme="minorHAnsi" w:cs="TimesNewRoman"/>
        </w:rPr>
        <w:t>w ci</w:t>
      </w:r>
      <w:r>
        <w:rPr>
          <w:rFonts w:asciiTheme="minorHAnsi" w:eastAsia="TimesNewRoman,Bold" w:hAnsiTheme="minorHAnsi" w:cs="+TimesNewRoman"/>
        </w:rPr>
        <w:t>ą</w:t>
      </w:r>
      <w:r>
        <w:rPr>
          <w:rFonts w:asciiTheme="minorHAnsi" w:eastAsia="TimesNewRoman" w:hAnsiTheme="minorHAnsi" w:cs="TimesNewRoman"/>
        </w:rPr>
        <w:t>gu 3 godzin.</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Preparat nale</w:t>
      </w:r>
      <w:r>
        <w:rPr>
          <w:rFonts w:asciiTheme="minorHAnsi" w:eastAsia="TimesNewRoman,Bold" w:hAnsiTheme="minorHAnsi" w:cs="+TimesNewRoman"/>
        </w:rPr>
        <w:t>ż</w:t>
      </w:r>
      <w:r>
        <w:rPr>
          <w:rFonts w:asciiTheme="minorHAnsi" w:eastAsia="TimesNewRoman" w:hAnsiTheme="minorHAnsi" w:cs="TimesNewRoman"/>
        </w:rPr>
        <w:t>y nanosi</w:t>
      </w:r>
      <w:r>
        <w:rPr>
          <w:rFonts w:asciiTheme="minorHAnsi" w:eastAsia="TimesNewRoman,Bold" w:hAnsiTheme="minorHAnsi" w:cs="+TimesNewRoman"/>
        </w:rPr>
        <w:t xml:space="preserve">ć  </w:t>
      </w:r>
      <w:r>
        <w:rPr>
          <w:rFonts w:asciiTheme="minorHAnsi" w:eastAsia="TimesNewRoman" w:hAnsiTheme="minorHAnsi" w:cs="TimesNewRoman"/>
        </w:rPr>
        <w:t>p</w:t>
      </w:r>
      <w:r>
        <w:rPr>
          <w:rFonts w:asciiTheme="minorHAnsi" w:eastAsia="TimesNewRoman,Bold" w:hAnsiTheme="minorHAnsi" w:cs="+TimesNewRoman"/>
        </w:rPr>
        <w:t>ę</w:t>
      </w:r>
      <w:r>
        <w:rPr>
          <w:rFonts w:asciiTheme="minorHAnsi" w:eastAsia="TimesNewRoman" w:hAnsiTheme="minorHAnsi" w:cs="TimesNewRoman"/>
        </w:rPr>
        <w:t>dzlem, wa</w:t>
      </w:r>
      <w:r>
        <w:rPr>
          <w:rFonts w:asciiTheme="minorHAnsi" w:eastAsia="TimesNewRoman,Bold" w:hAnsiTheme="minorHAnsi" w:cs="+TimesNewRoman"/>
        </w:rPr>
        <w:t>ł</w:t>
      </w:r>
      <w:r>
        <w:rPr>
          <w:rFonts w:asciiTheme="minorHAnsi" w:eastAsia="TimesNewRoman" w:hAnsiTheme="minorHAnsi" w:cs="TimesNewRoman"/>
        </w:rPr>
        <w:t>kiem lub natryskiem dysz</w:t>
      </w:r>
      <w:r>
        <w:rPr>
          <w:rFonts w:asciiTheme="minorHAnsi" w:eastAsia="TimesNewRoman,Bold" w:hAnsiTheme="minorHAnsi" w:cs="+TimesNewRoman"/>
        </w:rPr>
        <w:t xml:space="preserve">ą  </w:t>
      </w:r>
      <w:r>
        <w:rPr>
          <w:rFonts w:asciiTheme="minorHAnsi" w:eastAsia="TimesNewRoman" w:hAnsiTheme="minorHAnsi" w:cs="TimesNewRoman"/>
        </w:rPr>
        <w:t xml:space="preserve">o </w:t>
      </w:r>
      <w:r>
        <w:rPr>
          <w:rFonts w:asciiTheme="minorHAnsi" w:eastAsia="TimesNewRoman,Bold" w:hAnsiTheme="minorHAnsi" w:cs="+TimesNewRoman"/>
        </w:rPr>
        <w:t>ś</w:t>
      </w:r>
      <w:r>
        <w:rPr>
          <w:rFonts w:asciiTheme="minorHAnsi" w:eastAsia="TimesNewRoman" w:hAnsiTheme="minorHAnsi" w:cs="TimesNewRoman"/>
        </w:rPr>
        <w:t>rednicy 2 do 3 mm, lub pistoletem niskoci</w:t>
      </w:r>
      <w:r>
        <w:rPr>
          <w:rFonts w:asciiTheme="minorHAnsi" w:eastAsia="TimesNewRoman,Bold" w:hAnsiTheme="minorHAnsi" w:cs="+TimesNewRoman"/>
        </w:rPr>
        <w:t>ś</w:t>
      </w:r>
      <w:r>
        <w:rPr>
          <w:rFonts w:asciiTheme="minorHAnsi" w:eastAsia="TimesNewRoman" w:hAnsiTheme="minorHAnsi" w:cs="TimesNewRoman"/>
        </w:rPr>
        <w:t>nieniowym.</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Zaleca si</w:t>
      </w:r>
      <w:r>
        <w:rPr>
          <w:rFonts w:asciiTheme="minorHAnsi" w:eastAsia="TimesNewRoman,Bold" w:hAnsiTheme="minorHAnsi" w:cs="+TimesNewRoman"/>
        </w:rPr>
        <w:t xml:space="preserve">ę  </w:t>
      </w:r>
      <w:r>
        <w:rPr>
          <w:rFonts w:asciiTheme="minorHAnsi" w:eastAsia="TimesNewRoman" w:hAnsiTheme="minorHAnsi" w:cs="TimesNewRoman"/>
        </w:rPr>
        <w:t>dwukrotne nanoszenie preparatu, nale</w:t>
      </w:r>
      <w:r>
        <w:rPr>
          <w:rFonts w:asciiTheme="minorHAnsi" w:eastAsia="TimesNewRoman,Bold" w:hAnsiTheme="minorHAnsi" w:cs="+TimesNewRoman"/>
        </w:rPr>
        <w:t>ż</w:t>
      </w:r>
      <w:r>
        <w:rPr>
          <w:rFonts w:asciiTheme="minorHAnsi" w:eastAsia="TimesNewRoman" w:hAnsiTheme="minorHAnsi" w:cs="TimesNewRoman"/>
        </w:rPr>
        <w:t>y unika</w:t>
      </w:r>
      <w:r>
        <w:rPr>
          <w:rFonts w:asciiTheme="minorHAnsi" w:eastAsia="TimesNewRoman,Bold" w:hAnsiTheme="minorHAnsi" w:cs="+TimesNewRoman"/>
        </w:rPr>
        <w:t xml:space="preserve">ż </w:t>
      </w:r>
      <w:r>
        <w:rPr>
          <w:rFonts w:asciiTheme="minorHAnsi" w:eastAsia="TimesNewRoman" w:hAnsiTheme="minorHAnsi" w:cs="TimesNewRoman"/>
        </w:rPr>
        <w:t>powstawania zacieków i kropli.</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5.6.3. Usuwanie graffiti z zabezpieczonych pod</w:t>
      </w:r>
      <w:r>
        <w:rPr>
          <w:rFonts w:asciiTheme="minorHAnsi" w:eastAsia="TimesNewRoman,Bold" w:hAnsiTheme="minorHAnsi" w:cs="+TimesNewRoman"/>
        </w:rPr>
        <w:t>ł</w:t>
      </w:r>
      <w:r>
        <w:rPr>
          <w:rFonts w:asciiTheme="minorHAnsi" w:eastAsia="TimesNewRoman" w:hAnsiTheme="minorHAnsi" w:cs="TimesNewRoman"/>
        </w:rPr>
        <w:t>o</w:t>
      </w:r>
      <w:r>
        <w:rPr>
          <w:rFonts w:asciiTheme="minorHAnsi" w:eastAsia="TimesNewRoman,Bold" w:hAnsiTheme="minorHAnsi" w:cs="+TimesNewRoman"/>
        </w:rPr>
        <w:t>ż</w:t>
      </w:r>
      <w:r>
        <w:rPr>
          <w:rFonts w:asciiTheme="minorHAnsi" w:eastAsia="TimesNewRoman" w:hAnsiTheme="minorHAnsi" w:cs="TimesNewRoman"/>
        </w:rPr>
        <w:t>y</w:t>
      </w:r>
    </w:p>
    <w:p w:rsidR="002412CC" w:rsidRDefault="002412CC" w:rsidP="002412CC">
      <w:pPr>
        <w:rPr>
          <w:rFonts w:asciiTheme="minorHAnsi" w:eastAsia="TimesNewRoman" w:hAnsiTheme="minorHAnsi" w:cs="TimesNewRoman"/>
        </w:rPr>
      </w:pPr>
      <w:r>
        <w:rPr>
          <w:rFonts w:asciiTheme="minorHAnsi" w:eastAsia="TimesNewRoman" w:hAnsiTheme="minorHAnsi" w:cs="TimesNewRoman"/>
        </w:rPr>
        <w:t>Preparat b</w:t>
      </w:r>
      <w:r>
        <w:rPr>
          <w:rFonts w:asciiTheme="minorHAnsi" w:eastAsia="TimesNewRoman,Bold" w:hAnsiTheme="minorHAnsi" w:cs="+TimesNewRoman"/>
        </w:rPr>
        <w:t>ł</w:t>
      </w:r>
      <w:r>
        <w:rPr>
          <w:rFonts w:asciiTheme="minorHAnsi" w:eastAsia="TimesNewRoman" w:hAnsiTheme="minorHAnsi" w:cs="TimesNewRoman"/>
        </w:rPr>
        <w:t>onotwórczy nak</w:t>
      </w:r>
      <w:r>
        <w:rPr>
          <w:rFonts w:asciiTheme="minorHAnsi" w:eastAsia="TimesNewRoman,Bold" w:hAnsiTheme="minorHAnsi" w:cs="+TimesNewRoman"/>
        </w:rPr>
        <w:t>ł</w:t>
      </w:r>
      <w:r>
        <w:rPr>
          <w:rFonts w:asciiTheme="minorHAnsi" w:eastAsia="TimesNewRoman" w:hAnsiTheme="minorHAnsi" w:cs="TimesNewRoman"/>
        </w:rPr>
        <w:t>ada si</w:t>
      </w:r>
      <w:r>
        <w:rPr>
          <w:rFonts w:asciiTheme="minorHAnsi" w:eastAsia="TimesNewRoman,Bold" w:hAnsiTheme="minorHAnsi" w:cs="+TimesNewRoman"/>
        </w:rPr>
        <w:t xml:space="preserve">ę </w:t>
      </w:r>
      <w:r>
        <w:rPr>
          <w:rFonts w:asciiTheme="minorHAnsi" w:eastAsia="TimesNewRoman" w:hAnsiTheme="minorHAnsi" w:cs="TimesNewRoman"/>
        </w:rPr>
        <w:t>p</w:t>
      </w:r>
      <w:r>
        <w:rPr>
          <w:rFonts w:asciiTheme="minorHAnsi" w:eastAsia="TimesNewRoman,Bold" w:hAnsiTheme="minorHAnsi" w:cs="+TimesNewRoman"/>
        </w:rPr>
        <w:t>ę</w:t>
      </w:r>
      <w:r>
        <w:rPr>
          <w:rFonts w:asciiTheme="minorHAnsi" w:eastAsia="TimesNewRoman" w:hAnsiTheme="minorHAnsi" w:cs="TimesNewRoman"/>
        </w:rPr>
        <w:t>dzlem i pozostawia do wyschni</w:t>
      </w:r>
      <w:r>
        <w:rPr>
          <w:rFonts w:asciiTheme="minorHAnsi" w:eastAsia="TimesNewRoman,Bold" w:hAnsiTheme="minorHAnsi" w:cs="+TimesNewRoman"/>
        </w:rPr>
        <w:t>ę</w:t>
      </w:r>
      <w:r>
        <w:rPr>
          <w:rFonts w:asciiTheme="minorHAnsi" w:eastAsia="TimesNewRoman" w:hAnsiTheme="minorHAnsi" w:cs="TimesNewRoman"/>
        </w:rPr>
        <w:t>cia min na 12 godzin zale</w:t>
      </w:r>
      <w:r>
        <w:rPr>
          <w:rFonts w:asciiTheme="minorHAnsi" w:eastAsia="TimesNewRoman,Bold" w:hAnsiTheme="minorHAnsi" w:cs="+TimesNewRoman"/>
        </w:rPr>
        <w:t>ż</w:t>
      </w:r>
      <w:r>
        <w:rPr>
          <w:rFonts w:asciiTheme="minorHAnsi" w:eastAsia="TimesNewRoman" w:hAnsiTheme="minorHAnsi" w:cs="TimesNewRoman"/>
        </w:rPr>
        <w:t>nie od temperatury otoczenia. Po wyschni</w:t>
      </w:r>
      <w:r>
        <w:rPr>
          <w:rFonts w:asciiTheme="minorHAnsi" w:eastAsia="TimesNewRoman,Bold" w:hAnsiTheme="minorHAnsi" w:cs="+TimesNewRoman"/>
        </w:rPr>
        <w:t>ę</w:t>
      </w:r>
      <w:r>
        <w:rPr>
          <w:rFonts w:asciiTheme="minorHAnsi" w:eastAsia="TimesNewRoman" w:hAnsiTheme="minorHAnsi" w:cs="TimesNewRoman"/>
        </w:rPr>
        <w:t>ciu tak powsta</w:t>
      </w:r>
      <w:r>
        <w:rPr>
          <w:rFonts w:asciiTheme="minorHAnsi" w:eastAsia="TimesNewRoman,Bold" w:hAnsiTheme="minorHAnsi" w:cs="+TimesNewRoman"/>
        </w:rPr>
        <w:t>ł</w:t>
      </w:r>
      <w:r>
        <w:rPr>
          <w:rFonts w:asciiTheme="minorHAnsi" w:eastAsia="TimesNewRoman" w:hAnsiTheme="minorHAnsi" w:cs="TimesNewRoman"/>
        </w:rPr>
        <w:t>a foli</w:t>
      </w:r>
      <w:r>
        <w:rPr>
          <w:rFonts w:asciiTheme="minorHAnsi" w:eastAsia="TimesNewRoman,Bold" w:hAnsiTheme="minorHAnsi" w:cs="+TimesNewRoman"/>
        </w:rPr>
        <w:t xml:space="preserve">a </w:t>
      </w:r>
      <w:r>
        <w:rPr>
          <w:rFonts w:asciiTheme="minorHAnsi" w:eastAsia="TimesNewRoman" w:hAnsiTheme="minorHAnsi" w:cs="TimesNewRoman"/>
        </w:rPr>
        <w:t>zdejmuje si</w:t>
      </w:r>
      <w:r>
        <w:rPr>
          <w:rFonts w:asciiTheme="minorHAnsi" w:eastAsia="TimesNewRoman,Bold" w:hAnsiTheme="minorHAnsi" w:cs="+TimesNewRoman"/>
        </w:rPr>
        <w:t xml:space="preserve">ę </w:t>
      </w:r>
      <w:r>
        <w:rPr>
          <w:rFonts w:asciiTheme="minorHAnsi" w:eastAsia="TimesNewRoman" w:hAnsiTheme="minorHAnsi" w:cs="TimesNewRoman"/>
        </w:rPr>
        <w:t>razem z graffiti. Resztki farby na kra</w:t>
      </w:r>
      <w:r>
        <w:rPr>
          <w:rFonts w:asciiTheme="minorHAnsi" w:eastAsia="TimesNewRoman,Bold" w:hAnsiTheme="minorHAnsi" w:cs="+TimesNewRoman"/>
        </w:rPr>
        <w:t>ń</w:t>
      </w:r>
      <w:r>
        <w:rPr>
          <w:rFonts w:asciiTheme="minorHAnsi" w:eastAsia="TimesNewRoman" w:hAnsiTheme="minorHAnsi" w:cs="TimesNewRoman"/>
        </w:rPr>
        <w:t>cach elementów mo</w:t>
      </w:r>
      <w:r>
        <w:rPr>
          <w:rFonts w:asciiTheme="minorHAnsi" w:eastAsia="TimesNewRoman,Bold" w:hAnsiTheme="minorHAnsi" w:cs="+TimesNewRoman"/>
        </w:rPr>
        <w:t>ż</w:t>
      </w:r>
      <w:r>
        <w:rPr>
          <w:rFonts w:asciiTheme="minorHAnsi" w:eastAsia="TimesNewRoman" w:hAnsiTheme="minorHAnsi" w:cs="TimesNewRoman"/>
        </w:rPr>
        <w:t>na usun</w:t>
      </w:r>
      <w:r>
        <w:rPr>
          <w:rFonts w:asciiTheme="minorHAnsi" w:eastAsia="TimesNewRoman,Bold" w:hAnsiTheme="minorHAnsi" w:cs="+TimesNewRoman"/>
        </w:rPr>
        <w:t xml:space="preserve">ąć  </w:t>
      </w:r>
      <w:r>
        <w:rPr>
          <w:rFonts w:asciiTheme="minorHAnsi" w:eastAsia="TimesNewRoman" w:hAnsiTheme="minorHAnsi" w:cs="TimesNewRoman"/>
        </w:rPr>
        <w:t>hydrodynamicznie ci</w:t>
      </w:r>
      <w:r>
        <w:rPr>
          <w:rFonts w:asciiTheme="minorHAnsi" w:eastAsia="TimesNewRoman,Bold" w:hAnsiTheme="minorHAnsi" w:cs="+TimesNewRoman"/>
        </w:rPr>
        <w:t>ś</w:t>
      </w:r>
      <w:r>
        <w:rPr>
          <w:rFonts w:asciiTheme="minorHAnsi" w:eastAsia="TimesNewRoman" w:hAnsiTheme="minorHAnsi" w:cs="TimesNewRoman"/>
        </w:rPr>
        <w:t>nieniem max 60 bar.</w:t>
      </w:r>
    </w:p>
    <w:p w:rsidR="002412CC" w:rsidRPr="00E5206A" w:rsidRDefault="002412CC" w:rsidP="00E5206A">
      <w:pPr>
        <w:pStyle w:val="Nagwek3"/>
        <w:rPr>
          <w:rFonts w:eastAsiaTheme="majorEastAsia"/>
        </w:rPr>
      </w:pPr>
      <w:r w:rsidRPr="00E5206A">
        <w:lastRenderedPageBreak/>
        <w:t>6. Kontrola jakości robót</w:t>
      </w:r>
    </w:p>
    <w:p w:rsidR="002412CC" w:rsidRDefault="002412CC" w:rsidP="002412CC">
      <w:pPr>
        <w:tabs>
          <w:tab w:val="left" w:pos="9914"/>
        </w:tabs>
        <w:rPr>
          <w:rFonts w:asciiTheme="minorHAnsi" w:hAnsiTheme="minorHAnsi"/>
        </w:rPr>
      </w:pPr>
      <w:r>
        <w:rPr>
          <w:rFonts w:asciiTheme="minorHAnsi" w:hAnsiTheme="minorHAnsi"/>
        </w:rPr>
        <w:t>Ogólne zasady kontroli jakości robót podano w STWiORB D-M.00.00.00 "Wymagania ogólne" pkt 6.</w:t>
      </w:r>
    </w:p>
    <w:p w:rsidR="002412CC" w:rsidRDefault="002412CC" w:rsidP="002412CC">
      <w:pPr>
        <w:pStyle w:val="Nagwek4"/>
        <w:tabs>
          <w:tab w:val="left" w:pos="9914"/>
        </w:tabs>
        <w:rPr>
          <w:rFonts w:asciiTheme="minorHAnsi" w:hAnsiTheme="minorHAnsi"/>
        </w:rPr>
      </w:pPr>
      <w:r>
        <w:t xml:space="preserve">6.1. Kontrola robót obejmuje: </w:t>
      </w:r>
    </w:p>
    <w:p w:rsidR="002412CC" w:rsidRDefault="002412CC" w:rsidP="002412CC">
      <w:pPr>
        <w:tabs>
          <w:tab w:val="left" w:pos="9914"/>
        </w:tabs>
        <w:rPr>
          <w:rFonts w:asciiTheme="minorHAnsi" w:hAnsiTheme="minorHAnsi"/>
        </w:rPr>
      </w:pPr>
      <w:r>
        <w:rPr>
          <w:rFonts w:asciiTheme="minorHAnsi" w:hAnsiTheme="minorHAnsi"/>
        </w:rPr>
        <w:t xml:space="preserve">sprawdzenie kwalifikacji personelu Wykonawcy, </w:t>
      </w:r>
    </w:p>
    <w:p w:rsidR="002412CC" w:rsidRDefault="002412CC" w:rsidP="002412CC">
      <w:pPr>
        <w:tabs>
          <w:tab w:val="left" w:pos="9914"/>
        </w:tabs>
        <w:rPr>
          <w:rFonts w:asciiTheme="minorHAnsi" w:hAnsiTheme="minorHAnsi"/>
        </w:rPr>
      </w:pPr>
      <w:r>
        <w:rPr>
          <w:rFonts w:asciiTheme="minorHAnsi" w:hAnsiTheme="minorHAnsi"/>
        </w:rPr>
        <w:t xml:space="preserve">stwierdzenie posiadania przez stosowany preparat Aprobaty Technicznej, </w:t>
      </w:r>
    </w:p>
    <w:p w:rsidR="002412CC" w:rsidRDefault="002412CC" w:rsidP="002412CC">
      <w:pPr>
        <w:tabs>
          <w:tab w:val="left" w:pos="9914"/>
        </w:tabs>
        <w:rPr>
          <w:rFonts w:asciiTheme="minorHAnsi" w:hAnsiTheme="minorHAnsi"/>
        </w:rPr>
      </w:pPr>
      <w:r>
        <w:rPr>
          <w:rFonts w:asciiTheme="minorHAnsi" w:hAnsiTheme="minorHAnsi"/>
        </w:rPr>
        <w:t xml:space="preserve">stwierdzenie właściwej jakości materiału na podstawie atestu producenta i kontroli dopuszczalnego okresu magazynowania, </w:t>
      </w:r>
    </w:p>
    <w:p w:rsidR="002412CC" w:rsidRDefault="002412CC" w:rsidP="002412CC">
      <w:pPr>
        <w:tabs>
          <w:tab w:val="left" w:pos="9914"/>
        </w:tabs>
        <w:rPr>
          <w:rFonts w:asciiTheme="minorHAnsi" w:hAnsiTheme="minorHAnsi"/>
        </w:rPr>
      </w:pPr>
      <w:r>
        <w:rPr>
          <w:rFonts w:asciiTheme="minorHAnsi" w:hAnsiTheme="minorHAnsi"/>
        </w:rPr>
        <w:t>sprawdzenie gęstości i lepkości podłoża,</w:t>
      </w:r>
    </w:p>
    <w:p w:rsidR="002412CC" w:rsidRDefault="002412CC" w:rsidP="002412CC">
      <w:pPr>
        <w:tabs>
          <w:tab w:val="left" w:pos="9914"/>
        </w:tabs>
        <w:rPr>
          <w:rFonts w:asciiTheme="minorHAnsi" w:hAnsiTheme="minorHAnsi"/>
        </w:rPr>
      </w:pPr>
      <w:r>
        <w:rPr>
          <w:rFonts w:asciiTheme="minorHAnsi" w:hAnsiTheme="minorHAnsi"/>
        </w:rPr>
        <w:t>kontrolę prawidłowości przygotowania powierzchni przeznaczonej do pokrywania powłoką ochronną. Podłoże musi być trwałe, oczyszczone i wolne od wszelkiego rodzaju zabrudzenia olejami i tłuszczami. Zagłębienia i małe uszkodzenia należy zaszpachlować, a większe ubytki o głębokości powyżej 10 mm powinny zostać zreperowane przy użyciu zapraw epoksydowych niskokurczliwych (zgodnych z wymaganiami Producenta materiału powłokowego),</w:t>
      </w:r>
    </w:p>
    <w:p w:rsidR="002412CC" w:rsidRDefault="002412CC" w:rsidP="002412CC">
      <w:pPr>
        <w:tabs>
          <w:tab w:val="left" w:pos="9914"/>
        </w:tabs>
        <w:rPr>
          <w:rFonts w:asciiTheme="minorHAnsi" w:hAnsiTheme="minorHAnsi"/>
        </w:rPr>
      </w:pPr>
      <w:r>
        <w:rPr>
          <w:rFonts w:asciiTheme="minorHAnsi" w:hAnsiTheme="minorHAnsi"/>
        </w:rPr>
        <w:t>wytrzymałość na odrywanie podłoża</w:t>
      </w:r>
    </w:p>
    <w:p w:rsidR="002412CC" w:rsidRDefault="002412CC" w:rsidP="002412CC">
      <w:pPr>
        <w:tabs>
          <w:tab w:val="left" w:pos="9914"/>
        </w:tabs>
        <w:rPr>
          <w:rFonts w:asciiTheme="minorHAnsi" w:hAnsiTheme="minorHAnsi"/>
        </w:rPr>
      </w:pPr>
      <w:r>
        <w:rPr>
          <w:rFonts w:asciiTheme="minorHAnsi" w:hAnsiTheme="minorHAnsi"/>
        </w:rPr>
        <w:t>wartość średnia &gt; 1,5 MPa,</w:t>
      </w:r>
    </w:p>
    <w:p w:rsidR="002412CC" w:rsidRDefault="002412CC" w:rsidP="002412CC">
      <w:pPr>
        <w:tabs>
          <w:tab w:val="left" w:pos="9914"/>
        </w:tabs>
        <w:rPr>
          <w:rFonts w:asciiTheme="minorHAnsi" w:hAnsiTheme="minorHAnsi"/>
        </w:rPr>
      </w:pPr>
      <w:r>
        <w:rPr>
          <w:rFonts w:asciiTheme="minorHAnsi" w:hAnsiTheme="minorHAnsi"/>
        </w:rPr>
        <w:t>wartość minimalna - 1,0 MPa.</w:t>
      </w:r>
    </w:p>
    <w:p w:rsidR="002412CC" w:rsidRDefault="002412CC" w:rsidP="002412CC">
      <w:pPr>
        <w:tabs>
          <w:tab w:val="left" w:pos="9914"/>
        </w:tabs>
        <w:rPr>
          <w:rFonts w:asciiTheme="minorHAnsi" w:hAnsiTheme="minorHAnsi"/>
        </w:rPr>
      </w:pPr>
      <w:r>
        <w:rPr>
          <w:rFonts w:asciiTheme="minorHAnsi" w:hAnsiTheme="minorHAnsi"/>
        </w:rPr>
        <w:t>wizualną ocenę wykonanego pokrycia.</w:t>
      </w:r>
    </w:p>
    <w:p w:rsidR="002412CC" w:rsidRDefault="002412CC" w:rsidP="002412CC">
      <w:pPr>
        <w:tabs>
          <w:tab w:val="left" w:pos="9914"/>
        </w:tabs>
        <w:rPr>
          <w:rFonts w:asciiTheme="minorHAnsi" w:hAnsiTheme="minorHAnsi"/>
        </w:rPr>
      </w:pPr>
      <w:r>
        <w:rPr>
          <w:rFonts w:asciiTheme="minorHAnsi" w:hAnsiTheme="minorHAnsi"/>
        </w:rPr>
        <w:t>Ocenia się jednorodność wykonania i stwierdza brak pęcherzy lub odspojeń względnie uszkodzeń;</w:t>
      </w:r>
    </w:p>
    <w:p w:rsidR="002412CC" w:rsidRDefault="002412CC" w:rsidP="002412CC">
      <w:pPr>
        <w:tabs>
          <w:tab w:val="left" w:pos="9914"/>
        </w:tabs>
        <w:rPr>
          <w:rFonts w:asciiTheme="minorHAnsi" w:hAnsiTheme="minorHAnsi"/>
        </w:rPr>
      </w:pPr>
      <w:r>
        <w:rPr>
          <w:rFonts w:asciiTheme="minorHAnsi" w:hAnsiTheme="minorHAnsi"/>
        </w:rPr>
        <w:t>oznaczenie rzeczywistej grubości powłok.</w:t>
      </w:r>
    </w:p>
    <w:p w:rsidR="002412CC" w:rsidRDefault="002412CC" w:rsidP="002412CC">
      <w:pPr>
        <w:tabs>
          <w:tab w:val="left" w:pos="9914"/>
        </w:tabs>
        <w:rPr>
          <w:rFonts w:asciiTheme="minorHAnsi" w:hAnsiTheme="minorHAnsi"/>
        </w:rPr>
      </w:pPr>
      <w:r>
        <w:rPr>
          <w:rFonts w:asciiTheme="minorHAnsi" w:hAnsiTheme="minorHAnsi"/>
        </w:rPr>
        <w:t>Grubość powłoki winna być zgodna z wartością podaną przez Producenta (z dokładnością ±0,15 %). Grubość tę określa się jako średnią arytmetyczną z pięciu pomiarów w miejscach wskazanych przez Kierownika Projektu. Grubość określa się metodą nieniszczącą zaakceptowaną przez Kierownika Projektu;</w:t>
      </w:r>
    </w:p>
    <w:p w:rsidR="002412CC" w:rsidRDefault="002412CC" w:rsidP="002412CC">
      <w:pPr>
        <w:tabs>
          <w:tab w:val="left" w:pos="9914"/>
        </w:tabs>
        <w:rPr>
          <w:rFonts w:asciiTheme="minorHAnsi" w:hAnsiTheme="minorHAnsi"/>
        </w:rPr>
      </w:pPr>
      <w:r>
        <w:rPr>
          <w:rFonts w:asciiTheme="minorHAnsi" w:hAnsiTheme="minorHAnsi"/>
        </w:rPr>
        <w:t>sprawdzenie wytrzymałości na odrywanie.</w:t>
      </w:r>
    </w:p>
    <w:p w:rsidR="002412CC" w:rsidRDefault="002412CC" w:rsidP="002412CC">
      <w:pPr>
        <w:tabs>
          <w:tab w:val="left" w:pos="9914"/>
        </w:tabs>
        <w:rPr>
          <w:rFonts w:asciiTheme="minorHAnsi" w:hAnsiTheme="minorHAnsi"/>
        </w:rPr>
      </w:pPr>
      <w:r>
        <w:rPr>
          <w:rFonts w:asciiTheme="minorHAnsi" w:hAnsiTheme="minorHAnsi"/>
        </w:rPr>
        <w:t>Określenie wytrzymałości na odrywanie wykonuje się za pomocą przyrządu do oznaczania wytrzymałości na odrywanie w miejscach wskazanych przez Inżyniera (Kierownika Projektu) - 1 oznaczenie na 25 m i nie mniej niż 5 oznaczeń. Z badania sporządza się protokół.</w:t>
      </w:r>
    </w:p>
    <w:p w:rsidR="002412CC" w:rsidRDefault="002412CC" w:rsidP="002412CC">
      <w:pPr>
        <w:tabs>
          <w:tab w:val="left" w:pos="9914"/>
        </w:tabs>
        <w:rPr>
          <w:rFonts w:asciiTheme="minorHAnsi" w:hAnsiTheme="minorHAnsi"/>
        </w:rPr>
      </w:pPr>
      <w:r>
        <w:rPr>
          <w:rFonts w:asciiTheme="minorHAnsi" w:hAnsiTheme="minorHAnsi"/>
        </w:rPr>
        <w:t xml:space="preserve">Wytrzymałość na odrywanie musi być zgodna z warunkami zawartymi w Aprobacie Technicznej. W przypadku gdy nie jest podana winna wynosić: </w:t>
      </w:r>
    </w:p>
    <w:p w:rsidR="002412CC" w:rsidRDefault="002412CC" w:rsidP="002412CC">
      <w:pPr>
        <w:tabs>
          <w:tab w:val="left" w:pos="9914"/>
        </w:tabs>
        <w:rPr>
          <w:rFonts w:asciiTheme="minorHAnsi" w:hAnsiTheme="minorHAnsi"/>
        </w:rPr>
      </w:pPr>
      <w:r>
        <w:rPr>
          <w:rFonts w:asciiTheme="minorHAnsi" w:hAnsiTheme="minorHAnsi"/>
        </w:rPr>
        <w:t>dla materiałów cienkopowłokowych, sztywnych</w:t>
      </w:r>
    </w:p>
    <w:p w:rsidR="002412CC" w:rsidRDefault="002412CC" w:rsidP="002412CC">
      <w:pPr>
        <w:tabs>
          <w:tab w:val="left" w:pos="9914"/>
        </w:tabs>
        <w:rPr>
          <w:rFonts w:asciiTheme="minorHAnsi" w:hAnsiTheme="minorHAnsi"/>
        </w:rPr>
      </w:pPr>
      <w:r>
        <w:rPr>
          <w:rFonts w:asciiTheme="minorHAnsi" w:hAnsiTheme="minorHAnsi"/>
        </w:rPr>
        <w:t>wartość średnia &gt; 0,8 MPa,</w:t>
      </w:r>
    </w:p>
    <w:p w:rsidR="002412CC" w:rsidRDefault="002412CC" w:rsidP="002412CC">
      <w:pPr>
        <w:tabs>
          <w:tab w:val="left" w:pos="9914"/>
        </w:tabs>
        <w:rPr>
          <w:rFonts w:asciiTheme="minorHAnsi" w:hAnsiTheme="minorHAnsi"/>
        </w:rPr>
      </w:pPr>
      <w:r>
        <w:rPr>
          <w:rFonts w:asciiTheme="minorHAnsi" w:hAnsiTheme="minorHAnsi"/>
        </w:rPr>
        <w:t>wartość minimalna - 0,5 MPa.</w:t>
      </w:r>
    </w:p>
    <w:p w:rsidR="002412CC" w:rsidRDefault="002412CC" w:rsidP="002412CC">
      <w:pPr>
        <w:tabs>
          <w:tab w:val="left" w:pos="9914"/>
        </w:tabs>
        <w:rPr>
          <w:rFonts w:asciiTheme="minorHAnsi" w:hAnsiTheme="minorHAnsi"/>
        </w:rPr>
      </w:pPr>
      <w:r>
        <w:rPr>
          <w:rFonts w:asciiTheme="minorHAnsi" w:hAnsiTheme="minorHAnsi"/>
        </w:rPr>
        <w:t>dla materiałów cienkopowłokowych, elastycznych</w:t>
      </w:r>
    </w:p>
    <w:p w:rsidR="002412CC" w:rsidRDefault="002412CC" w:rsidP="002412CC">
      <w:pPr>
        <w:tabs>
          <w:tab w:val="left" w:pos="9914"/>
        </w:tabs>
        <w:rPr>
          <w:rFonts w:asciiTheme="minorHAnsi" w:hAnsiTheme="minorHAnsi"/>
        </w:rPr>
      </w:pPr>
      <w:r>
        <w:rPr>
          <w:rFonts w:asciiTheme="minorHAnsi" w:hAnsiTheme="minorHAnsi"/>
        </w:rPr>
        <w:t>wartość średnia &gt; 1,0 MPa,</w:t>
      </w:r>
    </w:p>
    <w:p w:rsidR="002412CC" w:rsidRDefault="002412CC" w:rsidP="002412CC">
      <w:pPr>
        <w:tabs>
          <w:tab w:val="left" w:pos="9914"/>
        </w:tabs>
        <w:rPr>
          <w:rFonts w:asciiTheme="minorHAnsi" w:hAnsiTheme="minorHAnsi"/>
        </w:rPr>
      </w:pPr>
      <w:r>
        <w:rPr>
          <w:rFonts w:asciiTheme="minorHAnsi" w:hAnsiTheme="minorHAnsi"/>
        </w:rPr>
        <w:t>wartość minimalna - 0,6 MPa.</w:t>
      </w:r>
    </w:p>
    <w:p w:rsidR="002412CC" w:rsidRDefault="002412CC" w:rsidP="002412CC">
      <w:pPr>
        <w:tabs>
          <w:tab w:val="left" w:pos="9914"/>
        </w:tabs>
        <w:rPr>
          <w:rFonts w:asciiTheme="minorHAnsi" w:hAnsiTheme="minorHAnsi"/>
        </w:rPr>
      </w:pPr>
      <w:r>
        <w:rPr>
          <w:rFonts w:asciiTheme="minorHAnsi" w:hAnsiTheme="minorHAnsi"/>
        </w:rPr>
        <w:t>dla materiałów grubowarstwowych (np. typu PCC)</w:t>
      </w:r>
    </w:p>
    <w:p w:rsidR="002412CC" w:rsidRDefault="002412CC" w:rsidP="002412CC">
      <w:pPr>
        <w:tabs>
          <w:tab w:val="left" w:pos="9914"/>
        </w:tabs>
        <w:rPr>
          <w:rFonts w:asciiTheme="minorHAnsi" w:hAnsiTheme="minorHAnsi"/>
        </w:rPr>
      </w:pPr>
      <w:r>
        <w:rPr>
          <w:rFonts w:asciiTheme="minorHAnsi" w:hAnsiTheme="minorHAnsi"/>
        </w:rPr>
        <w:t>wartość średnia &gt; 1,0 MPa,</w:t>
      </w:r>
    </w:p>
    <w:p w:rsidR="002412CC" w:rsidRDefault="002412CC" w:rsidP="002412CC">
      <w:pPr>
        <w:tabs>
          <w:tab w:val="left" w:pos="9914"/>
        </w:tabs>
        <w:rPr>
          <w:rFonts w:asciiTheme="minorHAnsi" w:hAnsiTheme="minorHAnsi"/>
        </w:rPr>
      </w:pPr>
      <w:r>
        <w:rPr>
          <w:rFonts w:asciiTheme="minorHAnsi" w:hAnsiTheme="minorHAnsi"/>
        </w:rPr>
        <w:t>wartość minimalna - 0,6 MPa.</w:t>
      </w:r>
    </w:p>
    <w:p w:rsidR="002412CC" w:rsidRPr="00E5206A" w:rsidRDefault="002412CC" w:rsidP="00E5206A">
      <w:pPr>
        <w:pStyle w:val="Nagwek3"/>
      </w:pPr>
      <w:r w:rsidRPr="00E5206A">
        <w:t>7. Obmiar robót</w:t>
      </w:r>
    </w:p>
    <w:p w:rsidR="002412CC" w:rsidRDefault="002412CC" w:rsidP="002412CC">
      <w:pPr>
        <w:tabs>
          <w:tab w:val="left" w:pos="9914"/>
        </w:tabs>
        <w:rPr>
          <w:rFonts w:asciiTheme="minorHAnsi" w:hAnsiTheme="minorHAnsi"/>
        </w:rPr>
      </w:pPr>
      <w:r>
        <w:rPr>
          <w:rFonts w:asciiTheme="minorHAnsi" w:hAnsiTheme="minorHAnsi"/>
        </w:rPr>
        <w:t>Ogólne wymagania dotyczące obmiaru robót podano w STWiORB D-M.00.00.00 „Wymagania Ogólne” pkt 7.</w:t>
      </w:r>
    </w:p>
    <w:p w:rsidR="00D109A9" w:rsidRDefault="00D109A9" w:rsidP="002412CC">
      <w:pPr>
        <w:tabs>
          <w:tab w:val="left" w:pos="9914"/>
        </w:tabs>
        <w:rPr>
          <w:rFonts w:asciiTheme="minorHAnsi" w:hAnsiTheme="minorHAnsi"/>
        </w:rPr>
      </w:pPr>
      <w:r>
        <w:rPr>
          <w:rFonts w:asciiTheme="minorHAnsi" w:hAnsiTheme="minorHAnsi"/>
        </w:rPr>
        <w:t>Jednostką obmiarową jest m</w:t>
      </w:r>
      <w:r>
        <w:rPr>
          <w:rFonts w:asciiTheme="minorHAnsi" w:hAnsiTheme="minorHAnsi"/>
          <w:vertAlign w:val="superscript"/>
        </w:rPr>
        <w:t>2</w:t>
      </w:r>
      <w:r>
        <w:rPr>
          <w:rFonts w:asciiTheme="minorHAnsi" w:hAnsiTheme="minorHAnsi"/>
        </w:rPr>
        <w:t xml:space="preserve"> (metr kwadratowy) wykonanego zabezpieczenia</w:t>
      </w:r>
    </w:p>
    <w:p w:rsidR="002412CC" w:rsidRPr="00E5206A" w:rsidRDefault="002412CC" w:rsidP="00E5206A">
      <w:pPr>
        <w:pStyle w:val="Nagwek3"/>
      </w:pPr>
      <w:r w:rsidRPr="00E5206A">
        <w:t>8. Odbiór robót</w:t>
      </w:r>
    </w:p>
    <w:p w:rsidR="002412CC" w:rsidRDefault="002412CC" w:rsidP="002412CC">
      <w:pPr>
        <w:tabs>
          <w:tab w:val="left" w:pos="9914"/>
        </w:tabs>
        <w:rPr>
          <w:rFonts w:asciiTheme="minorHAnsi" w:hAnsiTheme="minorHAnsi"/>
        </w:rPr>
      </w:pPr>
      <w:r>
        <w:rPr>
          <w:rFonts w:asciiTheme="minorHAnsi" w:hAnsiTheme="minorHAnsi"/>
        </w:rPr>
        <w:t>Ogólne zasady odbioru robót podano w STWiORB D-M.00.00.00 "Wymagania ogólne" pkt 8.</w:t>
      </w:r>
    </w:p>
    <w:p w:rsidR="002412CC" w:rsidRDefault="002412CC" w:rsidP="002412CC">
      <w:pPr>
        <w:tabs>
          <w:tab w:val="left" w:pos="9914"/>
        </w:tabs>
        <w:rPr>
          <w:rFonts w:asciiTheme="minorHAnsi" w:hAnsiTheme="minorHAnsi"/>
        </w:rPr>
      </w:pPr>
      <w:r>
        <w:rPr>
          <w:rFonts w:asciiTheme="minorHAnsi" w:hAnsiTheme="minorHAnsi"/>
        </w:rPr>
        <w:t xml:space="preserve">Odbiorowi podlega: </w:t>
      </w:r>
    </w:p>
    <w:p w:rsidR="002412CC" w:rsidRDefault="002412CC" w:rsidP="002412CC">
      <w:pPr>
        <w:tabs>
          <w:tab w:val="left" w:pos="9914"/>
        </w:tabs>
        <w:rPr>
          <w:rFonts w:asciiTheme="minorHAnsi" w:hAnsiTheme="minorHAnsi"/>
        </w:rPr>
      </w:pPr>
      <w:r>
        <w:rPr>
          <w:rFonts w:asciiTheme="minorHAnsi" w:hAnsiTheme="minorHAnsi"/>
        </w:rPr>
        <w:t xml:space="preserve">materiał do powlekania, </w:t>
      </w:r>
    </w:p>
    <w:p w:rsidR="002412CC" w:rsidRDefault="002412CC" w:rsidP="002412CC">
      <w:pPr>
        <w:tabs>
          <w:tab w:val="left" w:pos="9914"/>
        </w:tabs>
        <w:rPr>
          <w:rFonts w:asciiTheme="minorHAnsi" w:hAnsiTheme="minorHAnsi"/>
        </w:rPr>
      </w:pPr>
      <w:r>
        <w:rPr>
          <w:rFonts w:asciiTheme="minorHAnsi" w:hAnsiTheme="minorHAnsi"/>
        </w:rPr>
        <w:t xml:space="preserve">przygotowana do natryskiwania powierzchnia, </w:t>
      </w:r>
    </w:p>
    <w:p w:rsidR="002412CC" w:rsidRDefault="002412CC" w:rsidP="002412CC">
      <w:pPr>
        <w:tabs>
          <w:tab w:val="left" w:pos="9914"/>
        </w:tabs>
        <w:rPr>
          <w:rFonts w:asciiTheme="minorHAnsi" w:hAnsiTheme="minorHAnsi"/>
        </w:rPr>
      </w:pPr>
      <w:r>
        <w:rPr>
          <w:rFonts w:asciiTheme="minorHAnsi" w:hAnsiTheme="minorHAnsi"/>
        </w:rPr>
        <w:t xml:space="preserve">wykonanie zabezpieczenia antykorozyjnego na podstawie: </w:t>
      </w:r>
    </w:p>
    <w:p w:rsidR="002412CC" w:rsidRDefault="002412CC" w:rsidP="002412CC">
      <w:pPr>
        <w:tabs>
          <w:tab w:val="left" w:pos="9914"/>
        </w:tabs>
        <w:rPr>
          <w:rFonts w:asciiTheme="minorHAnsi" w:hAnsiTheme="minorHAnsi"/>
        </w:rPr>
      </w:pPr>
      <w:r>
        <w:rPr>
          <w:rFonts w:asciiTheme="minorHAnsi" w:hAnsiTheme="minorHAnsi"/>
        </w:rPr>
        <w:t xml:space="preserve">stwierdzenia zgodności z Dokumentacją Projektową, </w:t>
      </w:r>
    </w:p>
    <w:p w:rsidR="002412CC" w:rsidRDefault="002412CC" w:rsidP="002412CC">
      <w:pPr>
        <w:tabs>
          <w:tab w:val="left" w:pos="9914"/>
        </w:tabs>
        <w:rPr>
          <w:rFonts w:asciiTheme="minorHAnsi" w:hAnsiTheme="minorHAnsi"/>
        </w:rPr>
      </w:pPr>
      <w:r>
        <w:rPr>
          <w:rFonts w:asciiTheme="minorHAnsi" w:hAnsiTheme="minorHAnsi"/>
        </w:rPr>
        <w:t>oceny wizualnej,</w:t>
      </w:r>
    </w:p>
    <w:p w:rsidR="002412CC" w:rsidRDefault="002412CC" w:rsidP="002412CC">
      <w:pPr>
        <w:tabs>
          <w:tab w:val="left" w:pos="9914"/>
        </w:tabs>
        <w:rPr>
          <w:rFonts w:asciiTheme="minorHAnsi" w:hAnsiTheme="minorHAnsi"/>
        </w:rPr>
      </w:pPr>
      <w:r>
        <w:rPr>
          <w:rFonts w:asciiTheme="minorHAnsi" w:hAnsiTheme="minorHAnsi"/>
        </w:rPr>
        <w:t>pomiaru grubości,</w:t>
      </w:r>
    </w:p>
    <w:p w:rsidR="002412CC" w:rsidRDefault="002412CC" w:rsidP="002412CC">
      <w:pPr>
        <w:tabs>
          <w:tab w:val="left" w:pos="9914"/>
        </w:tabs>
        <w:rPr>
          <w:rFonts w:asciiTheme="minorHAnsi" w:hAnsiTheme="minorHAnsi"/>
        </w:rPr>
      </w:pPr>
      <w:r>
        <w:rPr>
          <w:rFonts w:asciiTheme="minorHAnsi" w:hAnsiTheme="minorHAnsi"/>
        </w:rPr>
        <w:t xml:space="preserve">pomiaru wytrzymałości na oderwanie. </w:t>
      </w:r>
    </w:p>
    <w:p w:rsidR="002412CC" w:rsidRDefault="002412CC" w:rsidP="00E5206A">
      <w:pPr>
        <w:pStyle w:val="Nagwek3"/>
      </w:pPr>
      <w:r>
        <w:lastRenderedPageBreak/>
        <w:t xml:space="preserve">9. Podstawa </w:t>
      </w:r>
      <w:r w:rsidRPr="00E5206A">
        <w:t>płatności</w:t>
      </w:r>
    </w:p>
    <w:p w:rsidR="002412CC" w:rsidRDefault="002412CC" w:rsidP="002412CC">
      <w:pPr>
        <w:tabs>
          <w:tab w:val="left" w:pos="9914"/>
        </w:tabs>
        <w:rPr>
          <w:rFonts w:asciiTheme="minorHAnsi" w:hAnsiTheme="minorHAnsi"/>
        </w:rPr>
      </w:pPr>
      <w:r>
        <w:rPr>
          <w:rFonts w:asciiTheme="minorHAnsi" w:hAnsiTheme="minorHAnsi"/>
        </w:rPr>
        <w:t>Ogólne wymagania dotyczące płatności podano w STWiORB D-M.00.00.00 "Wymagania ogólne" pkt 9.</w:t>
      </w:r>
    </w:p>
    <w:p w:rsidR="002412CC" w:rsidRDefault="002412CC" w:rsidP="002412CC">
      <w:pPr>
        <w:tabs>
          <w:tab w:val="left" w:pos="9914"/>
        </w:tabs>
        <w:rPr>
          <w:rFonts w:asciiTheme="minorHAnsi" w:hAnsiTheme="minorHAnsi"/>
        </w:rPr>
      </w:pPr>
      <w:r>
        <w:rPr>
          <w:rFonts w:asciiTheme="minorHAnsi" w:hAnsiTheme="minorHAnsi"/>
        </w:rPr>
        <w:t>Cena wykonania robót obejmuje w szczególności:</w:t>
      </w:r>
    </w:p>
    <w:p w:rsidR="002412CC" w:rsidRDefault="002412CC" w:rsidP="002412CC">
      <w:pPr>
        <w:tabs>
          <w:tab w:val="left" w:pos="9914"/>
        </w:tabs>
        <w:rPr>
          <w:rFonts w:asciiTheme="minorHAnsi" w:hAnsiTheme="minorHAnsi"/>
        </w:rPr>
      </w:pPr>
      <w:r>
        <w:rPr>
          <w:rFonts w:asciiTheme="minorHAnsi" w:hAnsiTheme="minorHAnsi"/>
        </w:rPr>
        <w:t>transport materiałów niezbędnych do wykonania robót,</w:t>
      </w:r>
    </w:p>
    <w:p w:rsidR="002412CC" w:rsidRDefault="002412CC" w:rsidP="002412CC">
      <w:pPr>
        <w:tabs>
          <w:tab w:val="left" w:pos="9914"/>
        </w:tabs>
        <w:rPr>
          <w:rFonts w:asciiTheme="minorHAnsi" w:hAnsiTheme="minorHAnsi"/>
        </w:rPr>
      </w:pPr>
      <w:r>
        <w:rPr>
          <w:rFonts w:asciiTheme="minorHAnsi" w:hAnsiTheme="minorHAnsi"/>
        </w:rPr>
        <w:t>oczyszczenie podłoża,</w:t>
      </w:r>
    </w:p>
    <w:p w:rsidR="002412CC" w:rsidRDefault="002412CC" w:rsidP="002412CC">
      <w:pPr>
        <w:tabs>
          <w:tab w:val="left" w:pos="9914"/>
        </w:tabs>
        <w:rPr>
          <w:rFonts w:asciiTheme="minorHAnsi" w:hAnsiTheme="minorHAnsi"/>
        </w:rPr>
      </w:pPr>
      <w:r>
        <w:rPr>
          <w:rFonts w:asciiTheme="minorHAnsi" w:hAnsiTheme="minorHAnsi"/>
        </w:rPr>
        <w:t>przygotowanie powierzchni betonu do powierzchniowego zabezpieczenia,</w:t>
      </w:r>
    </w:p>
    <w:p w:rsidR="002412CC" w:rsidRDefault="002412CC" w:rsidP="002412CC">
      <w:pPr>
        <w:tabs>
          <w:tab w:val="left" w:pos="9914"/>
        </w:tabs>
        <w:rPr>
          <w:rFonts w:asciiTheme="minorHAnsi" w:hAnsiTheme="minorHAnsi"/>
        </w:rPr>
      </w:pPr>
      <w:r>
        <w:rPr>
          <w:rFonts w:asciiTheme="minorHAnsi" w:hAnsiTheme="minorHAnsi"/>
        </w:rPr>
        <w:t>przygotowanie materiałów przeznaczonych do powierzchniowego zabezpieczenia betonu,</w:t>
      </w:r>
    </w:p>
    <w:p w:rsidR="002412CC" w:rsidRDefault="002412CC" w:rsidP="002412CC">
      <w:pPr>
        <w:tabs>
          <w:tab w:val="left" w:pos="9914"/>
        </w:tabs>
        <w:rPr>
          <w:rFonts w:asciiTheme="minorHAnsi" w:hAnsiTheme="minorHAnsi"/>
        </w:rPr>
      </w:pPr>
      <w:r>
        <w:rPr>
          <w:rFonts w:asciiTheme="minorHAnsi" w:hAnsiTheme="minorHAnsi"/>
        </w:rPr>
        <w:t>montaż i demontaż ewentualnych rusztowań roboczych,</w:t>
      </w:r>
    </w:p>
    <w:p w:rsidR="002412CC" w:rsidRDefault="002412CC" w:rsidP="002412CC">
      <w:pPr>
        <w:tabs>
          <w:tab w:val="left" w:pos="9914"/>
        </w:tabs>
        <w:rPr>
          <w:rFonts w:asciiTheme="minorHAnsi" w:hAnsiTheme="minorHAnsi"/>
        </w:rPr>
      </w:pPr>
      <w:r>
        <w:rPr>
          <w:rFonts w:asciiTheme="minorHAnsi" w:hAnsiTheme="minorHAnsi"/>
        </w:rPr>
        <w:t>oczyszczenie i przygotowanie podłoża,</w:t>
      </w:r>
    </w:p>
    <w:p w:rsidR="002412CC" w:rsidRDefault="002412CC" w:rsidP="002412CC">
      <w:pPr>
        <w:tabs>
          <w:tab w:val="left" w:pos="9914"/>
        </w:tabs>
        <w:rPr>
          <w:rFonts w:asciiTheme="minorHAnsi" w:hAnsiTheme="minorHAnsi"/>
        </w:rPr>
      </w:pPr>
      <w:r>
        <w:rPr>
          <w:rFonts w:asciiTheme="minorHAnsi" w:hAnsiTheme="minorHAnsi"/>
        </w:rPr>
        <w:t>impregnowanie podłoża,</w:t>
      </w:r>
    </w:p>
    <w:p w:rsidR="002412CC" w:rsidRDefault="002412CC" w:rsidP="002412CC">
      <w:pPr>
        <w:tabs>
          <w:tab w:val="left" w:pos="9914"/>
        </w:tabs>
        <w:rPr>
          <w:rFonts w:asciiTheme="minorHAnsi" w:hAnsiTheme="minorHAnsi"/>
        </w:rPr>
      </w:pPr>
      <w:r>
        <w:rPr>
          <w:rFonts w:asciiTheme="minorHAnsi" w:hAnsiTheme="minorHAnsi"/>
        </w:rPr>
        <w:t>wykonanie zabezpieczenia antykorozyjnego powierzchni betonowych,</w:t>
      </w:r>
    </w:p>
    <w:p w:rsidR="002412CC" w:rsidRDefault="002412CC" w:rsidP="002412CC">
      <w:pPr>
        <w:tabs>
          <w:tab w:val="left" w:pos="9914"/>
        </w:tabs>
        <w:rPr>
          <w:rFonts w:asciiTheme="minorHAnsi" w:hAnsiTheme="minorHAnsi"/>
        </w:rPr>
      </w:pPr>
      <w:r>
        <w:rPr>
          <w:rFonts w:asciiTheme="minorHAnsi" w:hAnsiTheme="minorHAnsi"/>
        </w:rPr>
        <w:t>przeprowadzenie niezbędnych badań i pomiarów wymaganych w Specyfikacji.</w:t>
      </w:r>
    </w:p>
    <w:p w:rsidR="002412CC" w:rsidRDefault="002412CC" w:rsidP="002412CC">
      <w:pPr>
        <w:tabs>
          <w:tab w:val="left" w:pos="9914"/>
        </w:tabs>
        <w:rPr>
          <w:rFonts w:asciiTheme="minorHAnsi" w:hAnsiTheme="minorHAnsi"/>
        </w:rPr>
      </w:pPr>
      <w:r>
        <w:rPr>
          <w:rFonts w:asciiTheme="minorHAnsi" w:hAnsiTheme="minorHAnsi"/>
        </w:rPr>
        <w:t xml:space="preserve">oczyszczenie i uporządkowanie terenu robót. </w:t>
      </w:r>
    </w:p>
    <w:p w:rsidR="002412CC" w:rsidRPr="00E5206A" w:rsidRDefault="002412CC" w:rsidP="00E5206A">
      <w:pPr>
        <w:pStyle w:val="Nagwek3"/>
      </w:pPr>
      <w:r w:rsidRPr="00E5206A">
        <w:t>10. Przepisy związane</w:t>
      </w:r>
    </w:p>
    <w:p w:rsidR="002412CC" w:rsidRDefault="002412CC" w:rsidP="002412CC">
      <w:pPr>
        <w:tabs>
          <w:tab w:val="left" w:pos="9914"/>
        </w:tabs>
        <w:rPr>
          <w:rFonts w:asciiTheme="minorHAnsi" w:hAnsiTheme="minorHAnsi"/>
        </w:rPr>
      </w:pPr>
      <w:r>
        <w:rPr>
          <w:rFonts w:asciiTheme="minorHAnsi" w:hAnsiTheme="minorHAnsi"/>
        </w:rPr>
        <w:t>PN-80/B-01800 Antykorozyjne zabezpieczenie w budownictwie. Konstrukcje betonowe i żelbeto</w:t>
      </w:r>
      <w:r>
        <w:rPr>
          <w:rFonts w:asciiTheme="minorHAnsi" w:hAnsiTheme="minorHAnsi"/>
        </w:rPr>
        <w:softHyphen/>
        <w:t>we. Klasyfikacje i określenie środowisk.</w:t>
      </w:r>
    </w:p>
    <w:p w:rsidR="002412CC" w:rsidRDefault="002412CC" w:rsidP="002412CC">
      <w:pPr>
        <w:tabs>
          <w:tab w:val="left" w:pos="9914"/>
        </w:tabs>
        <w:rPr>
          <w:rFonts w:asciiTheme="minorHAnsi" w:hAnsiTheme="minorHAnsi"/>
        </w:rPr>
      </w:pPr>
      <w:r>
        <w:rPr>
          <w:rFonts w:asciiTheme="minorHAnsi" w:hAnsiTheme="minorHAnsi"/>
        </w:rPr>
        <w:t>PN-85/B-01805 Antykorozyjne zabezpieczenie w budownictwie. Konstrukcje betonowe i żelbeto</w:t>
      </w:r>
      <w:r>
        <w:rPr>
          <w:rFonts w:asciiTheme="minorHAnsi" w:hAnsiTheme="minorHAnsi"/>
        </w:rPr>
        <w:softHyphen/>
        <w:t>we. Ogólne zasady ochrony.</w:t>
      </w:r>
    </w:p>
    <w:p w:rsidR="002412CC" w:rsidRDefault="002412CC" w:rsidP="002412CC">
      <w:pPr>
        <w:tabs>
          <w:tab w:val="left" w:pos="9914"/>
        </w:tabs>
        <w:rPr>
          <w:rFonts w:asciiTheme="minorHAnsi" w:hAnsiTheme="minorHAnsi"/>
        </w:rPr>
      </w:pPr>
      <w:r>
        <w:rPr>
          <w:rFonts w:asciiTheme="minorHAnsi" w:hAnsiTheme="minorHAnsi"/>
        </w:rPr>
        <w:t>PN-91/B-01813 Antykorozyjne zabezpieczenie w budownictwie. Konstrukcje betonowe i żelbeto</w:t>
      </w:r>
      <w:r>
        <w:rPr>
          <w:rFonts w:asciiTheme="minorHAnsi" w:hAnsiTheme="minorHAnsi"/>
        </w:rPr>
        <w:softHyphen/>
        <w:t>we. Zabezpieczenie powierzchniowe. Zasady doboru.</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92/B</w:t>
      </w:r>
      <w:r>
        <w:rPr>
          <w:rFonts w:asciiTheme="minorHAnsi" w:hAnsiTheme="minorHAnsi"/>
        </w:rPr>
        <w:noBreakHyphen/>
        <w:t>01814 Antykorozyjne zabezpieczenie w budownictwie. Konstrukcje betonowe i żelbeto</w:t>
      </w:r>
      <w:r>
        <w:rPr>
          <w:rFonts w:asciiTheme="minorHAnsi" w:hAnsiTheme="minorHAnsi"/>
        </w:rPr>
        <w:softHyphen/>
        <w:t>we. Metoda badań przyczepności powłok ochronnych.</w:t>
      </w:r>
    </w:p>
    <w:p w:rsidR="002412CC" w:rsidRDefault="002412CC" w:rsidP="002412CC">
      <w:pPr>
        <w:tabs>
          <w:tab w:val="left" w:pos="9914"/>
        </w:tabs>
        <w:rPr>
          <w:rFonts w:asciiTheme="minorHAnsi" w:hAnsiTheme="minorHAnsi"/>
        </w:rPr>
      </w:pPr>
      <w:r>
        <w:rPr>
          <w:rFonts w:asciiTheme="minorHAnsi" w:hAnsiTheme="minorHAnsi"/>
        </w:rPr>
        <w:t xml:space="preserve">ROZPORZĄDZENIE MINISTRA TRANSPORTU I GOSPODARKI MORSKIEJ z dnia 30 maja 2000 r. w sprawie warunków technicznych, jakim powinny odpowiadać drogowe obiekty inżynierskie i ich usytuowanie. (Dz. U. Nr 63 poz. 735 - z dnia 3.08 2000 r.) </w:t>
      </w:r>
    </w:p>
    <w:p w:rsidR="002412CC" w:rsidRDefault="002412CC" w:rsidP="002412CC">
      <w:pPr>
        <w:tabs>
          <w:tab w:val="left" w:pos="9914"/>
        </w:tabs>
        <w:rPr>
          <w:rFonts w:asciiTheme="minorHAnsi" w:hAnsiTheme="minorHAnsi"/>
        </w:rPr>
      </w:pPr>
      <w:r>
        <w:rPr>
          <w:rFonts w:asciiTheme="minorHAnsi" w:hAnsiTheme="minorHAnsi"/>
        </w:rPr>
        <w:t>Aprobata Techniczna</w:t>
      </w: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jc w:val="center"/>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rPr>
          <w:rStyle w:val="header1"/>
          <w:rFonts w:asciiTheme="minorHAnsi" w:hAnsiTheme="minorHAnsi"/>
          <w:sz w:val="24"/>
          <w:szCs w:val="24"/>
        </w:rPr>
      </w:pPr>
    </w:p>
    <w:p w:rsidR="002412CC" w:rsidRDefault="002412CC" w:rsidP="002412CC">
      <w:pPr>
        <w:tabs>
          <w:tab w:val="left" w:pos="1"/>
          <w:tab w:val="left" w:pos="336"/>
          <w:tab w:val="left" w:pos="425"/>
          <w:tab w:val="left" w:pos="732"/>
          <w:tab w:val="left" w:pos="1020"/>
          <w:tab w:val="left" w:pos="1356"/>
          <w:tab w:val="left" w:pos="1698"/>
          <w:tab w:val="left" w:pos="2040"/>
          <w:tab w:val="left" w:pos="2376"/>
          <w:tab w:val="left" w:pos="2718"/>
          <w:tab w:val="left" w:pos="3060"/>
          <w:tab w:val="left" w:pos="3402"/>
          <w:tab w:val="left" w:pos="5664"/>
        </w:tabs>
        <w:rPr>
          <w:rStyle w:val="header1"/>
          <w:rFonts w:asciiTheme="minorHAnsi" w:hAnsiTheme="minorHAnsi"/>
          <w:sz w:val="24"/>
          <w:szCs w:val="24"/>
        </w:rPr>
      </w:pPr>
    </w:p>
    <w:p w:rsidR="002412CC" w:rsidRDefault="002412CC" w:rsidP="00E5206A">
      <w:pPr>
        <w:pStyle w:val="Nagwek2"/>
      </w:pPr>
      <w:r>
        <w:lastRenderedPageBreak/>
        <w:t>SZCZEGÓŁOWA SPECYFIKACJA TECHNICZNA WYKONANIA I ODBIORU ROBÓT BUDOWLANYCH</w:t>
      </w:r>
    </w:p>
    <w:p w:rsidR="002412CC" w:rsidRPr="00E5206A" w:rsidRDefault="002412CC" w:rsidP="00E5206A">
      <w:pPr>
        <w:pStyle w:val="Nagwek1"/>
      </w:pPr>
      <w:bookmarkStart w:id="1361" w:name="_Toc333657270"/>
      <w:bookmarkStart w:id="1362" w:name="_Toc425766145"/>
      <w:bookmarkStart w:id="1363" w:name="_Toc406569811"/>
      <w:bookmarkStart w:id="1364" w:name="_Toc406563004"/>
      <w:bookmarkStart w:id="1365" w:name="_Toc334095456"/>
      <w:bookmarkStart w:id="1366" w:name="_Toc427178302"/>
      <w:bookmarkStart w:id="1367" w:name="_Toc459929687"/>
      <w:r w:rsidRPr="00E5206A">
        <w:t>ST.02.  ZBROJENIE BETONU STALĄ KLASY A-II; A-III</w:t>
      </w:r>
      <w:bookmarkEnd w:id="1361"/>
      <w:r w:rsidRPr="00E5206A">
        <w:t>; AIIIN</w:t>
      </w:r>
      <w:bookmarkEnd w:id="1362"/>
      <w:bookmarkEnd w:id="1363"/>
      <w:bookmarkEnd w:id="1364"/>
      <w:bookmarkEnd w:id="1365"/>
      <w:bookmarkEnd w:id="1366"/>
      <w:bookmarkEnd w:id="1367"/>
    </w:p>
    <w:p w:rsidR="002412CC" w:rsidRPr="00E5206A" w:rsidRDefault="002412CC" w:rsidP="00E5206A">
      <w:pPr>
        <w:pStyle w:val="Nagwek3"/>
      </w:pPr>
      <w:r w:rsidRPr="00E5206A">
        <w:t>1. Wstęp</w:t>
      </w:r>
    </w:p>
    <w:p w:rsidR="002412CC" w:rsidRDefault="002412CC" w:rsidP="002412CC">
      <w:pPr>
        <w:pStyle w:val="Nagwek4"/>
        <w:tabs>
          <w:tab w:val="left" w:pos="9914"/>
        </w:tabs>
        <w:rPr>
          <w:rFonts w:asciiTheme="minorHAnsi" w:hAnsiTheme="minorHAnsi"/>
        </w:rPr>
      </w:pPr>
      <w:r>
        <w:t>1.1. Przedmiot ST</w:t>
      </w:r>
    </w:p>
    <w:p w:rsidR="002412CC" w:rsidRDefault="002412CC" w:rsidP="002412CC">
      <w:pPr>
        <w:tabs>
          <w:tab w:val="left" w:pos="9914"/>
        </w:tabs>
        <w:rPr>
          <w:rFonts w:asciiTheme="minorHAnsi" w:hAnsiTheme="minorHAnsi"/>
        </w:rPr>
      </w:pPr>
      <w:r>
        <w:rPr>
          <w:rFonts w:asciiTheme="minorHAnsi" w:hAnsiTheme="minorHAnsi"/>
        </w:rPr>
        <w:t>Przedmiotem niniejszej Specyfikacji Technicznej Wykonania i Odbioru Robót Budowlanych (STWiORB) są wymagania dotyczące wykonania i odbioru zbrojenia betonu stalą klasy A-II ,  A-III i A-IIIN  dla obiektów inzynierskich .</w:t>
      </w:r>
    </w:p>
    <w:p w:rsidR="002412CC" w:rsidRDefault="002412CC" w:rsidP="002412CC">
      <w:pPr>
        <w:pStyle w:val="Nagwek4"/>
        <w:tabs>
          <w:tab w:val="left" w:pos="9914"/>
        </w:tabs>
        <w:rPr>
          <w:rFonts w:asciiTheme="minorHAnsi" w:hAnsiTheme="minorHAnsi"/>
        </w:rPr>
      </w:pPr>
      <w:r>
        <w:t>1.2. Zakres stosowania STWiORB</w:t>
      </w:r>
    </w:p>
    <w:p w:rsidR="002412CC" w:rsidRDefault="002412CC" w:rsidP="002412CC">
      <w:pPr>
        <w:pStyle w:val="Nagwek7"/>
        <w:tabs>
          <w:tab w:val="left" w:pos="9914"/>
        </w:tabs>
        <w:rPr>
          <w:rFonts w:asciiTheme="minorHAnsi" w:hAnsiTheme="minorHAnsi"/>
        </w:rPr>
      </w:pPr>
      <w:r>
        <w:rPr>
          <w:rFonts w:asciiTheme="minorHAnsi" w:hAnsiTheme="minorHAnsi"/>
        </w:rPr>
        <w:t xml:space="preserve">Specyfikacja techniczna stanowi dokument przetargowy i kontraktowy przy realizacji  zadania pn.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2412CC" w:rsidRDefault="002412CC" w:rsidP="002412CC">
      <w:pPr>
        <w:pStyle w:val="Nagwek4"/>
        <w:tabs>
          <w:tab w:val="left" w:pos="9914"/>
        </w:tabs>
        <w:rPr>
          <w:rFonts w:asciiTheme="minorHAnsi" w:hAnsiTheme="minorHAnsi"/>
        </w:rPr>
      </w:pPr>
      <w:r>
        <w:t>1.3. Zakres robót objętych STWiORB</w:t>
      </w:r>
    </w:p>
    <w:p w:rsidR="002412CC" w:rsidRDefault="002412CC" w:rsidP="002412CC">
      <w:pPr>
        <w:tabs>
          <w:tab w:val="left" w:pos="9914"/>
        </w:tabs>
        <w:rPr>
          <w:rFonts w:asciiTheme="minorHAnsi" w:hAnsiTheme="minorHAnsi"/>
        </w:rPr>
      </w:pPr>
      <w:r>
        <w:rPr>
          <w:rFonts w:asciiTheme="minorHAnsi" w:hAnsiTheme="minorHAnsi"/>
        </w:rPr>
        <w:t>Ustalenia zawarte w niniejszej specyfikacji dotyczą prowadzenia robót związanych ze zbrojeniem  betonu stalą klasy A-II,  A-III i A-IIIN  elementów żelbetowych (muru oporowego M2)  i obejmują:</w:t>
      </w:r>
    </w:p>
    <w:p w:rsidR="002412CC" w:rsidRDefault="002412CC" w:rsidP="002412CC">
      <w:pPr>
        <w:tabs>
          <w:tab w:val="left" w:pos="9914"/>
        </w:tabs>
        <w:rPr>
          <w:rFonts w:asciiTheme="minorHAnsi" w:hAnsiTheme="minorHAnsi"/>
        </w:rPr>
      </w:pPr>
      <w:r>
        <w:rPr>
          <w:rFonts w:asciiTheme="minorHAnsi" w:hAnsiTheme="minorHAnsi"/>
        </w:rPr>
        <w:t>transport, składowanie oraz przygotowanie, wygięcie, przycięcie i łączenie prętów,</w:t>
      </w:r>
    </w:p>
    <w:p w:rsidR="002412CC" w:rsidRDefault="002412CC" w:rsidP="002412CC">
      <w:pPr>
        <w:tabs>
          <w:tab w:val="left" w:pos="9914"/>
        </w:tabs>
        <w:rPr>
          <w:rFonts w:asciiTheme="minorHAnsi" w:hAnsiTheme="minorHAnsi"/>
        </w:rPr>
      </w:pPr>
      <w:r>
        <w:rPr>
          <w:rFonts w:asciiTheme="minorHAnsi" w:hAnsiTheme="minorHAnsi"/>
        </w:rPr>
        <w:t>montaż zbrojenia elementów betonowych ,</w:t>
      </w:r>
    </w:p>
    <w:p w:rsidR="002412CC" w:rsidRDefault="002412CC" w:rsidP="002412CC">
      <w:pPr>
        <w:pStyle w:val="Nagwek4"/>
        <w:tabs>
          <w:tab w:val="left" w:pos="9914"/>
        </w:tabs>
        <w:rPr>
          <w:rFonts w:asciiTheme="minorHAnsi" w:hAnsiTheme="minorHAnsi"/>
        </w:rPr>
      </w:pPr>
      <w:r>
        <w:t xml:space="preserve">1.4. Określenia podstawowe </w:t>
      </w:r>
    </w:p>
    <w:p w:rsidR="002412CC" w:rsidRDefault="002412CC" w:rsidP="002412CC">
      <w:pPr>
        <w:tabs>
          <w:tab w:val="left" w:pos="9914"/>
        </w:tabs>
        <w:rPr>
          <w:rFonts w:asciiTheme="minorHAnsi" w:hAnsiTheme="minorHAnsi"/>
        </w:rPr>
      </w:pPr>
      <w:r>
        <w:rPr>
          <w:rFonts w:asciiTheme="minorHAnsi" w:hAnsiTheme="minorHAnsi"/>
        </w:rPr>
        <w:t>Określenia podane w niniejszej STWiORB są zgodne z obowiązującymi odpowiednimi normami i  STWiORB D-M.00.00.00 "Wymagania ogólne".</w:t>
      </w:r>
    </w:p>
    <w:p w:rsidR="002412CC" w:rsidRDefault="002412CC" w:rsidP="002412CC">
      <w:pPr>
        <w:pStyle w:val="Nagwek4"/>
        <w:tabs>
          <w:tab w:val="left" w:pos="9914"/>
        </w:tabs>
        <w:rPr>
          <w:rFonts w:asciiTheme="minorHAnsi" w:hAnsiTheme="minorHAnsi"/>
        </w:rPr>
      </w:pPr>
      <w:r>
        <w:t xml:space="preserve">1.5. Ogólne wymagania dotyczące robót </w:t>
      </w:r>
    </w:p>
    <w:p w:rsidR="002412CC" w:rsidRDefault="002412CC" w:rsidP="002412CC">
      <w:pPr>
        <w:tabs>
          <w:tab w:val="left" w:pos="9914"/>
        </w:tabs>
        <w:rPr>
          <w:rFonts w:asciiTheme="minorHAnsi" w:hAnsiTheme="minorHAnsi"/>
        </w:rPr>
      </w:pPr>
      <w:r>
        <w:rPr>
          <w:rFonts w:asciiTheme="minorHAnsi" w:hAnsiTheme="minorHAnsi"/>
        </w:rPr>
        <w:t>Wykonawca robót jest odpowiedzialny za jakość ich wykonania oraz za zgodność z Dokumentacją Projektową.</w:t>
      </w:r>
    </w:p>
    <w:p w:rsidR="002412CC" w:rsidRDefault="002412CC" w:rsidP="002412CC">
      <w:pPr>
        <w:tabs>
          <w:tab w:val="left" w:pos="9914"/>
        </w:tabs>
        <w:rPr>
          <w:rFonts w:asciiTheme="minorHAnsi" w:hAnsiTheme="minorHAnsi"/>
        </w:rPr>
      </w:pPr>
      <w:r>
        <w:rPr>
          <w:rFonts w:asciiTheme="minorHAnsi" w:hAnsiTheme="minorHAnsi"/>
        </w:rPr>
        <w:t>Ogólne wymagania dotyczące robót podano w STWiORB D-M.00.00.00 "Wymagania ogólne".</w:t>
      </w:r>
    </w:p>
    <w:p w:rsidR="002412CC" w:rsidRPr="00E5206A" w:rsidRDefault="002412CC" w:rsidP="00E5206A">
      <w:pPr>
        <w:pStyle w:val="Nagwek3"/>
      </w:pPr>
      <w:r w:rsidRPr="00E5206A">
        <w:t>2. Materiały</w:t>
      </w:r>
    </w:p>
    <w:p w:rsidR="002412CC" w:rsidRDefault="002412CC" w:rsidP="002412CC">
      <w:pPr>
        <w:tabs>
          <w:tab w:val="left" w:pos="9914"/>
        </w:tabs>
        <w:rPr>
          <w:rFonts w:asciiTheme="minorHAnsi" w:hAnsiTheme="minorHAnsi"/>
        </w:rPr>
      </w:pPr>
      <w:r>
        <w:rPr>
          <w:rFonts w:asciiTheme="minorHAnsi" w:hAnsiTheme="minorHAnsi"/>
        </w:rPr>
        <w:t>Ogólne wymagania dla materiałów podano w STWiORB D-M 00.00.00 „Wymagania ogólne” pkt 2</w:t>
      </w:r>
    </w:p>
    <w:p w:rsidR="002412CC" w:rsidRDefault="002412CC" w:rsidP="002412CC">
      <w:pPr>
        <w:pStyle w:val="Nagwek4"/>
        <w:tabs>
          <w:tab w:val="left" w:pos="9914"/>
        </w:tabs>
        <w:rPr>
          <w:rFonts w:asciiTheme="minorHAnsi" w:hAnsiTheme="minorHAnsi"/>
        </w:rPr>
      </w:pPr>
      <w:r>
        <w:t xml:space="preserve">2.1. Pręty do zbrojenia betonu </w:t>
      </w:r>
    </w:p>
    <w:p w:rsidR="002412CC" w:rsidRDefault="002412CC" w:rsidP="002412CC">
      <w:pPr>
        <w:tabs>
          <w:tab w:val="left" w:pos="9914"/>
        </w:tabs>
        <w:rPr>
          <w:rFonts w:asciiTheme="minorHAnsi" w:hAnsiTheme="minorHAnsi"/>
        </w:rPr>
      </w:pPr>
      <w:r>
        <w:rPr>
          <w:rFonts w:asciiTheme="minorHAnsi" w:hAnsiTheme="minorHAnsi"/>
        </w:rPr>
        <w:t>Do zbrojenia betonu należy stosować stal okrągłą klasy BST500S i klas wyższych o średnicy 8÷32 mm.</w:t>
      </w:r>
    </w:p>
    <w:p w:rsidR="002412CC" w:rsidRDefault="002412CC" w:rsidP="002412CC">
      <w:pPr>
        <w:tabs>
          <w:tab w:val="left" w:pos="9914"/>
        </w:tabs>
        <w:rPr>
          <w:rFonts w:asciiTheme="minorHAnsi" w:hAnsiTheme="minorHAnsi"/>
        </w:rPr>
      </w:pPr>
      <w:r>
        <w:rPr>
          <w:rFonts w:asciiTheme="minorHAnsi" w:hAnsiTheme="minorHAnsi"/>
          <w:b/>
        </w:rPr>
        <w:t>2.1.1</w:t>
      </w:r>
      <w:r>
        <w:rPr>
          <w:rFonts w:asciiTheme="minorHAnsi" w:hAnsiTheme="minorHAnsi"/>
        </w:rPr>
        <w:t>. Własności mechaniczne i technologiczne stali zbrojeniowej</w:t>
      </w:r>
    </w:p>
    <w:p w:rsidR="002412CC" w:rsidRDefault="002412CC" w:rsidP="002412CC">
      <w:pPr>
        <w:tabs>
          <w:tab w:val="left" w:pos="9914"/>
        </w:tabs>
        <w:rPr>
          <w:rFonts w:asciiTheme="minorHAnsi" w:hAnsiTheme="minorHAnsi"/>
        </w:rPr>
      </w:pPr>
      <w:r>
        <w:rPr>
          <w:rFonts w:asciiTheme="minorHAnsi" w:hAnsiTheme="minorHAnsi"/>
        </w:rPr>
        <w:t>Pręty okrągłe, żebrowane ze stali klasy AIIIN gatunku RB500W/BSt500S-Q.T.B. (Aprobata Techniczna IBDiM nr AT/2001-04-1115) o następujących parametrach:</w:t>
      </w:r>
    </w:p>
    <w:p w:rsidR="002412CC" w:rsidRDefault="002412CC" w:rsidP="002412CC">
      <w:pPr>
        <w:tabs>
          <w:tab w:val="left" w:pos="9914"/>
        </w:tabs>
        <w:rPr>
          <w:rFonts w:asciiTheme="minorHAnsi" w:hAnsiTheme="minorHAnsi"/>
        </w:rPr>
      </w:pPr>
      <w:r>
        <w:rPr>
          <w:rFonts w:asciiTheme="minorHAnsi" w:hAnsiTheme="minorHAnsi"/>
        </w:rPr>
        <w:t xml:space="preserve">średnica pręta w mm </w:t>
      </w:r>
      <w:r w:rsidR="00D109A9">
        <w:rPr>
          <w:rFonts w:asciiTheme="minorHAnsi" w:hAnsiTheme="minorHAnsi"/>
        </w:rPr>
        <w:t>6</w:t>
      </w:r>
      <w:r>
        <w:rPr>
          <w:rFonts w:asciiTheme="minorHAnsi" w:hAnsiTheme="minorHAnsi"/>
        </w:rPr>
        <w:t> ÷ </w:t>
      </w:r>
      <w:r w:rsidR="00D109A9">
        <w:rPr>
          <w:rFonts w:asciiTheme="minorHAnsi" w:hAnsiTheme="minorHAnsi"/>
        </w:rPr>
        <w:t>1</w:t>
      </w:r>
      <w:r>
        <w:rPr>
          <w:rFonts w:asciiTheme="minorHAnsi" w:hAnsiTheme="minorHAnsi"/>
        </w:rPr>
        <w:t>2,</w:t>
      </w:r>
    </w:p>
    <w:p w:rsidR="002412CC" w:rsidRDefault="002412CC" w:rsidP="002412CC">
      <w:pPr>
        <w:tabs>
          <w:tab w:val="left" w:pos="9914"/>
        </w:tabs>
        <w:rPr>
          <w:rFonts w:asciiTheme="minorHAnsi" w:hAnsiTheme="minorHAnsi"/>
        </w:rPr>
      </w:pPr>
      <w:r>
        <w:rPr>
          <w:rFonts w:asciiTheme="minorHAnsi" w:hAnsiTheme="minorHAnsi"/>
        </w:rPr>
        <w:t>granica plastyczności Re (min) w MPa  500,</w:t>
      </w:r>
    </w:p>
    <w:p w:rsidR="002412CC" w:rsidRDefault="002412CC" w:rsidP="002412CC">
      <w:pPr>
        <w:tabs>
          <w:tab w:val="left" w:pos="9914"/>
        </w:tabs>
        <w:rPr>
          <w:rFonts w:asciiTheme="minorHAnsi" w:hAnsiTheme="minorHAnsi"/>
        </w:rPr>
      </w:pPr>
      <w:r>
        <w:rPr>
          <w:rFonts w:asciiTheme="minorHAnsi" w:hAnsiTheme="minorHAnsi"/>
        </w:rPr>
        <w:t xml:space="preserve">wytrzymałość na rozciąganie Rm (min) w MPa 550, </w:t>
      </w:r>
    </w:p>
    <w:p w:rsidR="002412CC" w:rsidRDefault="002412CC" w:rsidP="002412CC">
      <w:pPr>
        <w:tabs>
          <w:tab w:val="left" w:pos="9914"/>
        </w:tabs>
        <w:rPr>
          <w:rFonts w:asciiTheme="minorHAnsi" w:hAnsiTheme="minorHAnsi"/>
        </w:rPr>
      </w:pPr>
      <w:r>
        <w:rPr>
          <w:rFonts w:asciiTheme="minorHAnsi" w:hAnsiTheme="minorHAnsi"/>
        </w:rPr>
        <w:t>wytrzymałość charakterystyczna w MPa  490,</w:t>
      </w:r>
    </w:p>
    <w:p w:rsidR="002412CC" w:rsidRDefault="002412CC" w:rsidP="002412CC">
      <w:pPr>
        <w:tabs>
          <w:tab w:val="left" w:pos="9914"/>
        </w:tabs>
        <w:rPr>
          <w:rFonts w:asciiTheme="minorHAnsi" w:hAnsiTheme="minorHAnsi"/>
        </w:rPr>
      </w:pPr>
      <w:r>
        <w:rPr>
          <w:rFonts w:asciiTheme="minorHAnsi" w:hAnsiTheme="minorHAnsi"/>
        </w:rPr>
        <w:t>wytrzymałość obliczeniowa w MPa 375.</w:t>
      </w:r>
    </w:p>
    <w:p w:rsidR="002412CC" w:rsidRDefault="002412CC" w:rsidP="002412CC">
      <w:pPr>
        <w:tabs>
          <w:tab w:val="left" w:pos="9914"/>
        </w:tabs>
        <w:rPr>
          <w:rFonts w:asciiTheme="minorHAnsi" w:hAnsiTheme="minorHAnsi"/>
        </w:rPr>
      </w:pPr>
      <w:r>
        <w:rPr>
          <w:rFonts w:asciiTheme="minorHAnsi" w:hAnsiTheme="minorHAnsi"/>
        </w:rPr>
        <w:t>wydłużenie (min) A5 w % 10,</w:t>
      </w:r>
    </w:p>
    <w:p w:rsidR="002412CC" w:rsidRDefault="002412CC" w:rsidP="002412CC">
      <w:pPr>
        <w:tabs>
          <w:tab w:val="left" w:pos="9914"/>
        </w:tabs>
        <w:rPr>
          <w:rFonts w:asciiTheme="minorHAnsi" w:hAnsiTheme="minorHAnsi"/>
        </w:rPr>
      </w:pPr>
      <w:r>
        <w:rPr>
          <w:rFonts w:asciiTheme="minorHAnsi" w:hAnsiTheme="minorHAnsi"/>
        </w:rPr>
        <w:t>zginanie do kąta 60o brak pęknięć i rys w złączu.</w:t>
      </w:r>
    </w:p>
    <w:p w:rsidR="002412CC" w:rsidRDefault="002412CC" w:rsidP="002412CC">
      <w:pPr>
        <w:tabs>
          <w:tab w:val="left" w:pos="9914"/>
        </w:tabs>
        <w:rPr>
          <w:rFonts w:asciiTheme="minorHAnsi" w:hAnsiTheme="minorHAnsi"/>
        </w:rPr>
      </w:pPr>
      <w:r>
        <w:rPr>
          <w:rFonts w:asciiTheme="minorHAnsi" w:hAnsiTheme="minorHAnsi"/>
        </w:rPr>
        <w:t>Pręty okrągłe, żebrowane ze stali klasy AIII gatunku 34GS wg PN-H-84023/06 o następujących parametrach:</w:t>
      </w:r>
    </w:p>
    <w:p w:rsidR="002412CC" w:rsidRDefault="002412CC" w:rsidP="002412CC">
      <w:pPr>
        <w:tabs>
          <w:tab w:val="left" w:pos="9914"/>
        </w:tabs>
        <w:rPr>
          <w:rFonts w:asciiTheme="minorHAnsi" w:hAnsiTheme="minorHAnsi"/>
        </w:rPr>
      </w:pPr>
      <w:r>
        <w:rPr>
          <w:rFonts w:asciiTheme="minorHAnsi" w:hAnsiTheme="minorHAnsi"/>
        </w:rPr>
        <w:t>średnica pręta w mm 6</w:t>
      </w:r>
      <w:r>
        <w:rPr>
          <w:rFonts w:asciiTheme="minorHAnsi" w:hAnsiTheme="minorHAnsi"/>
        </w:rPr>
        <w:sym w:font="Symbol" w:char="F0B8"/>
      </w:r>
      <w:r>
        <w:rPr>
          <w:rFonts w:asciiTheme="minorHAnsi" w:hAnsiTheme="minorHAnsi"/>
        </w:rPr>
        <w:t>32,</w:t>
      </w:r>
    </w:p>
    <w:p w:rsidR="002412CC" w:rsidRDefault="002412CC" w:rsidP="002412CC">
      <w:pPr>
        <w:tabs>
          <w:tab w:val="left" w:pos="9914"/>
        </w:tabs>
        <w:rPr>
          <w:rFonts w:asciiTheme="minorHAnsi" w:hAnsiTheme="minorHAnsi"/>
        </w:rPr>
      </w:pPr>
      <w:r>
        <w:rPr>
          <w:rFonts w:asciiTheme="minorHAnsi" w:hAnsiTheme="minorHAnsi"/>
        </w:rPr>
        <w:t>granica plastyczności Re (min) w MPa 410,</w:t>
      </w:r>
    </w:p>
    <w:p w:rsidR="002412CC" w:rsidRDefault="002412CC" w:rsidP="002412CC">
      <w:pPr>
        <w:tabs>
          <w:tab w:val="left" w:pos="9914"/>
        </w:tabs>
        <w:rPr>
          <w:rFonts w:asciiTheme="minorHAnsi" w:hAnsiTheme="minorHAnsi"/>
        </w:rPr>
      </w:pPr>
      <w:r>
        <w:rPr>
          <w:rFonts w:asciiTheme="minorHAnsi" w:hAnsiTheme="minorHAnsi"/>
        </w:rPr>
        <w:t>wytrzymałość na rozciąganie Rm (min) w MPa 590,</w:t>
      </w:r>
    </w:p>
    <w:p w:rsidR="002412CC" w:rsidRDefault="002412CC" w:rsidP="002412CC">
      <w:pPr>
        <w:tabs>
          <w:tab w:val="left" w:pos="9914"/>
        </w:tabs>
        <w:rPr>
          <w:rFonts w:asciiTheme="minorHAnsi" w:hAnsiTheme="minorHAnsi"/>
        </w:rPr>
      </w:pPr>
      <w:r>
        <w:rPr>
          <w:rFonts w:asciiTheme="minorHAnsi" w:hAnsiTheme="minorHAnsi"/>
        </w:rPr>
        <w:t>wytrzymałość charakterystyczna w MPa 410,</w:t>
      </w:r>
    </w:p>
    <w:p w:rsidR="002412CC" w:rsidRDefault="002412CC" w:rsidP="002412CC">
      <w:pPr>
        <w:tabs>
          <w:tab w:val="left" w:pos="9914"/>
        </w:tabs>
        <w:rPr>
          <w:rFonts w:asciiTheme="minorHAnsi" w:hAnsiTheme="minorHAnsi"/>
        </w:rPr>
      </w:pPr>
      <w:r>
        <w:rPr>
          <w:rFonts w:asciiTheme="minorHAnsi" w:hAnsiTheme="minorHAnsi"/>
        </w:rPr>
        <w:lastRenderedPageBreak/>
        <w:t>wytrzymałość obliczeniowa w MPa 340.</w:t>
      </w:r>
    </w:p>
    <w:p w:rsidR="002412CC" w:rsidRDefault="002412CC" w:rsidP="002412CC">
      <w:pPr>
        <w:tabs>
          <w:tab w:val="left" w:pos="9914"/>
        </w:tabs>
        <w:rPr>
          <w:rFonts w:asciiTheme="minorHAnsi" w:hAnsiTheme="minorHAnsi"/>
        </w:rPr>
      </w:pPr>
      <w:r>
        <w:rPr>
          <w:rFonts w:asciiTheme="minorHAnsi" w:hAnsiTheme="minorHAnsi"/>
        </w:rPr>
        <w:t>wydłużenie (min) A5 w % 16,</w:t>
      </w:r>
    </w:p>
    <w:p w:rsidR="002412CC" w:rsidRDefault="002412CC" w:rsidP="002412CC">
      <w:pPr>
        <w:tabs>
          <w:tab w:val="left" w:pos="9914"/>
        </w:tabs>
        <w:rPr>
          <w:rFonts w:asciiTheme="minorHAnsi" w:hAnsiTheme="minorHAnsi"/>
        </w:rPr>
      </w:pPr>
      <w:r>
        <w:rPr>
          <w:rFonts w:asciiTheme="minorHAnsi" w:hAnsiTheme="minorHAnsi"/>
        </w:rPr>
        <w:t>zginanie do kąta 90</w:t>
      </w:r>
      <w:r>
        <w:rPr>
          <w:rFonts w:asciiTheme="minorHAnsi" w:hAnsiTheme="minorHAnsi"/>
        </w:rPr>
        <w:sym w:font="Symbol" w:char="F0B0"/>
      </w:r>
      <w:r>
        <w:rPr>
          <w:rFonts w:asciiTheme="minorHAnsi" w:hAnsiTheme="minorHAnsi"/>
        </w:rPr>
        <w:t xml:space="preserve"> brak pęknięć i rys w złączu.</w:t>
      </w:r>
    </w:p>
    <w:p w:rsidR="002412CC" w:rsidRDefault="002412CC" w:rsidP="002412CC">
      <w:pPr>
        <w:tabs>
          <w:tab w:val="left" w:pos="9914"/>
        </w:tabs>
        <w:rPr>
          <w:rFonts w:asciiTheme="minorHAnsi" w:hAnsiTheme="minorHAnsi"/>
        </w:rPr>
      </w:pPr>
      <w:r>
        <w:rPr>
          <w:rFonts w:asciiTheme="minorHAnsi" w:hAnsiTheme="minorHAnsi"/>
        </w:rPr>
        <w:t>Pręty okrągłe, żebrowane ze stali klasy AII gatunku 18G2-b wg PN-H-84023/06 o następujących parametrach:</w:t>
      </w:r>
    </w:p>
    <w:p w:rsidR="002412CC" w:rsidRDefault="002412CC" w:rsidP="002412CC">
      <w:pPr>
        <w:tabs>
          <w:tab w:val="left" w:pos="9914"/>
        </w:tabs>
        <w:rPr>
          <w:rFonts w:asciiTheme="minorHAnsi" w:hAnsiTheme="minorHAnsi"/>
        </w:rPr>
      </w:pPr>
      <w:r>
        <w:rPr>
          <w:rFonts w:asciiTheme="minorHAnsi" w:hAnsiTheme="minorHAnsi"/>
        </w:rPr>
        <w:t>średnica pręta w mm 6</w:t>
      </w:r>
      <w:r>
        <w:rPr>
          <w:rFonts w:asciiTheme="minorHAnsi" w:hAnsiTheme="minorHAnsi"/>
        </w:rPr>
        <w:sym w:font="Symbol" w:char="F0B8"/>
      </w:r>
      <w:r w:rsidR="00D109A9">
        <w:rPr>
          <w:rFonts w:asciiTheme="minorHAnsi" w:hAnsiTheme="minorHAnsi"/>
        </w:rPr>
        <w:t>1</w:t>
      </w:r>
      <w:r>
        <w:rPr>
          <w:rFonts w:asciiTheme="minorHAnsi" w:hAnsiTheme="minorHAnsi"/>
        </w:rPr>
        <w:t>2,</w:t>
      </w:r>
    </w:p>
    <w:p w:rsidR="002412CC" w:rsidRDefault="002412CC" w:rsidP="002412CC">
      <w:pPr>
        <w:tabs>
          <w:tab w:val="left" w:pos="9914"/>
        </w:tabs>
        <w:rPr>
          <w:rFonts w:asciiTheme="minorHAnsi" w:hAnsiTheme="minorHAnsi"/>
        </w:rPr>
      </w:pPr>
      <w:r>
        <w:rPr>
          <w:rFonts w:asciiTheme="minorHAnsi" w:hAnsiTheme="minorHAnsi"/>
        </w:rPr>
        <w:t>granica plastyczności Re (min) w MPa  355,</w:t>
      </w:r>
    </w:p>
    <w:p w:rsidR="002412CC" w:rsidRDefault="002412CC" w:rsidP="002412CC">
      <w:pPr>
        <w:tabs>
          <w:tab w:val="left" w:pos="9914"/>
        </w:tabs>
        <w:rPr>
          <w:rFonts w:asciiTheme="minorHAnsi" w:hAnsiTheme="minorHAnsi"/>
        </w:rPr>
      </w:pPr>
      <w:r>
        <w:rPr>
          <w:rFonts w:asciiTheme="minorHAnsi" w:hAnsiTheme="minorHAnsi"/>
        </w:rPr>
        <w:t>wytrzymałość na rozciąganie Rm (min) w MPa 490,</w:t>
      </w:r>
    </w:p>
    <w:p w:rsidR="002412CC" w:rsidRDefault="002412CC" w:rsidP="002412CC">
      <w:pPr>
        <w:tabs>
          <w:tab w:val="left" w:pos="9914"/>
        </w:tabs>
        <w:rPr>
          <w:rFonts w:asciiTheme="minorHAnsi" w:hAnsiTheme="minorHAnsi"/>
        </w:rPr>
      </w:pPr>
      <w:r>
        <w:rPr>
          <w:rFonts w:asciiTheme="minorHAnsi" w:hAnsiTheme="minorHAnsi"/>
        </w:rPr>
        <w:t>wytrzymałość charakterystyczna w MPa  355,</w:t>
      </w:r>
    </w:p>
    <w:p w:rsidR="002412CC" w:rsidRDefault="002412CC" w:rsidP="002412CC">
      <w:pPr>
        <w:tabs>
          <w:tab w:val="left" w:pos="9914"/>
        </w:tabs>
        <w:rPr>
          <w:rFonts w:asciiTheme="minorHAnsi" w:hAnsiTheme="minorHAnsi"/>
        </w:rPr>
      </w:pPr>
      <w:r>
        <w:rPr>
          <w:rFonts w:asciiTheme="minorHAnsi" w:hAnsiTheme="minorHAnsi"/>
        </w:rPr>
        <w:t>wytrzymałość obliczeniowa w MPa 295.</w:t>
      </w:r>
    </w:p>
    <w:p w:rsidR="002412CC" w:rsidRDefault="002412CC" w:rsidP="002412CC">
      <w:pPr>
        <w:tabs>
          <w:tab w:val="left" w:pos="9914"/>
        </w:tabs>
        <w:rPr>
          <w:rFonts w:asciiTheme="minorHAnsi" w:hAnsiTheme="minorHAnsi"/>
        </w:rPr>
      </w:pPr>
      <w:r>
        <w:rPr>
          <w:rFonts w:asciiTheme="minorHAnsi" w:hAnsiTheme="minorHAnsi"/>
        </w:rPr>
        <w:t>wydłużenie (min) A5 w % 20,</w:t>
      </w:r>
    </w:p>
    <w:p w:rsidR="002412CC" w:rsidRDefault="002412CC" w:rsidP="002412CC">
      <w:pPr>
        <w:tabs>
          <w:tab w:val="left" w:pos="9914"/>
        </w:tabs>
        <w:rPr>
          <w:rFonts w:asciiTheme="minorHAnsi" w:hAnsiTheme="minorHAnsi"/>
        </w:rPr>
      </w:pPr>
      <w:r>
        <w:rPr>
          <w:rFonts w:asciiTheme="minorHAnsi" w:hAnsiTheme="minorHAnsi"/>
        </w:rPr>
        <w:t>zginanie do kąta 180</w:t>
      </w:r>
      <w:r>
        <w:rPr>
          <w:rFonts w:asciiTheme="minorHAnsi" w:hAnsiTheme="minorHAnsi"/>
        </w:rPr>
        <w:sym w:font="Symbol" w:char="F0B0"/>
      </w:r>
      <w:r>
        <w:rPr>
          <w:rFonts w:asciiTheme="minorHAnsi" w:hAnsiTheme="minorHAnsi"/>
        </w:rPr>
        <w:t xml:space="preserve"> brak pęknięć i rys w złączu.</w:t>
      </w:r>
    </w:p>
    <w:p w:rsidR="002412CC" w:rsidRDefault="002412CC" w:rsidP="002412CC">
      <w:pPr>
        <w:tabs>
          <w:tab w:val="left" w:pos="9914"/>
        </w:tabs>
        <w:rPr>
          <w:rFonts w:asciiTheme="minorHAnsi" w:hAnsiTheme="minorHAnsi"/>
        </w:rPr>
      </w:pPr>
      <w:r>
        <w:rPr>
          <w:rFonts w:asciiTheme="minorHAnsi" w:hAnsiTheme="minorHAnsi"/>
        </w:rPr>
        <w:t>Pręty stalowe do zbrojenia betonu winny być zgodne z wymaganiami PN-S-10042, PN</w:t>
      </w:r>
      <w:r>
        <w:rPr>
          <w:rFonts w:asciiTheme="minorHAnsi" w:hAnsiTheme="minorHAnsi"/>
        </w:rPr>
        <w:noBreakHyphen/>
        <w:t>H</w:t>
      </w:r>
      <w:r>
        <w:rPr>
          <w:rFonts w:asciiTheme="minorHAnsi" w:hAnsiTheme="minorHAnsi"/>
        </w:rPr>
        <w:noBreakHyphen/>
        <w:t>84023/06, PN</w:t>
      </w:r>
      <w:r>
        <w:rPr>
          <w:rFonts w:asciiTheme="minorHAnsi" w:hAnsiTheme="minorHAnsi"/>
        </w:rPr>
        <w:noBreakHyphen/>
        <w:t>H</w:t>
      </w:r>
      <w:r>
        <w:rPr>
          <w:rFonts w:asciiTheme="minorHAnsi" w:hAnsiTheme="minorHAnsi"/>
        </w:rPr>
        <w:noBreakHyphen/>
        <w:t>84018, PN</w:t>
      </w:r>
      <w:r>
        <w:rPr>
          <w:rFonts w:asciiTheme="minorHAnsi" w:hAnsiTheme="minorHAnsi"/>
        </w:rPr>
        <w:noBreakHyphen/>
        <w:t>H</w:t>
      </w:r>
      <w:r>
        <w:rPr>
          <w:rFonts w:asciiTheme="minorHAnsi" w:hAnsiTheme="minorHAnsi"/>
        </w:rPr>
        <w:noBreakHyphen/>
        <w:t xml:space="preserve">93215. Stal zbrojeniowa dostarczana na budowę powinna mieć certyfikat zgodności z ww. Polskimi normami. W przypadku stosowania stali niezgodnej z PN musi ona posiadać Aprobatę Techniczną lub europejską aprobatę techniczną, potwierdzającą możliwość zastosowania prętów do zbrojenia betonu w obiektach mostowych oraz deklarację zgodności. </w:t>
      </w:r>
    </w:p>
    <w:p w:rsidR="002412CC" w:rsidRDefault="002412CC" w:rsidP="002412CC">
      <w:pPr>
        <w:tabs>
          <w:tab w:val="left" w:pos="9914"/>
        </w:tabs>
        <w:rPr>
          <w:rFonts w:asciiTheme="minorHAnsi" w:hAnsiTheme="minorHAnsi"/>
        </w:rPr>
      </w:pPr>
      <w:r>
        <w:rPr>
          <w:rFonts w:asciiTheme="minorHAnsi" w:hAnsiTheme="minorHAnsi"/>
        </w:rPr>
        <w:t>Nowe gatunki stali mogą być stosowane pod warunkiem dopuszczenia ich przez władze administracyjne na podstawie wyników badań wykonanych przez upoważnioną jednostkę naukowo-badawczą, zgodnie z wymaganiami odpowiednich norm.</w:t>
      </w:r>
    </w:p>
    <w:p w:rsidR="002412CC" w:rsidRDefault="002412CC" w:rsidP="002412CC">
      <w:pPr>
        <w:tabs>
          <w:tab w:val="left" w:pos="9914"/>
        </w:tabs>
        <w:rPr>
          <w:rFonts w:asciiTheme="minorHAnsi" w:hAnsiTheme="minorHAnsi"/>
        </w:rPr>
      </w:pPr>
      <w:r>
        <w:rPr>
          <w:rFonts w:asciiTheme="minorHAnsi" w:hAnsiTheme="minorHAnsi"/>
        </w:rPr>
        <w:t>Zastosowanie stali innych gatunków niż określono w Dokumentacji Projektowej wymaga zgody Inżyniera oraz Projektanta.</w:t>
      </w:r>
    </w:p>
    <w:p w:rsidR="002412CC" w:rsidRDefault="002412CC" w:rsidP="002412CC">
      <w:pPr>
        <w:tabs>
          <w:tab w:val="left" w:pos="9914"/>
        </w:tabs>
        <w:rPr>
          <w:rFonts w:asciiTheme="minorHAnsi" w:hAnsiTheme="minorHAnsi"/>
          <w:b/>
        </w:rPr>
      </w:pPr>
      <w:r>
        <w:rPr>
          <w:rFonts w:asciiTheme="minorHAnsi" w:hAnsiTheme="minorHAnsi"/>
          <w:b/>
        </w:rPr>
        <w:t>2.1.2. Wymagania przy odbiorze</w:t>
      </w:r>
    </w:p>
    <w:p w:rsidR="002412CC" w:rsidRDefault="002412CC" w:rsidP="002412CC">
      <w:pPr>
        <w:tabs>
          <w:tab w:val="left" w:pos="9914"/>
        </w:tabs>
        <w:rPr>
          <w:rFonts w:asciiTheme="minorHAnsi" w:hAnsiTheme="minorHAnsi"/>
        </w:rPr>
      </w:pPr>
      <w:r>
        <w:rPr>
          <w:rFonts w:asciiTheme="minorHAnsi" w:hAnsiTheme="minorHAnsi"/>
        </w:rPr>
        <w:t>Wytwórca stali winien dołączyć atest hutniczy, w którym ma być podane:</w:t>
      </w:r>
    </w:p>
    <w:p w:rsidR="002412CC" w:rsidRDefault="002412CC" w:rsidP="002412CC">
      <w:pPr>
        <w:tabs>
          <w:tab w:val="left" w:pos="9914"/>
        </w:tabs>
        <w:rPr>
          <w:rFonts w:asciiTheme="minorHAnsi" w:hAnsiTheme="minorHAnsi"/>
        </w:rPr>
      </w:pPr>
      <w:r>
        <w:rPr>
          <w:rFonts w:asciiTheme="minorHAnsi" w:hAnsiTheme="minorHAnsi"/>
        </w:rPr>
        <w:t>nazwa wytwórcy,</w:t>
      </w:r>
    </w:p>
    <w:p w:rsidR="002412CC" w:rsidRDefault="002412CC" w:rsidP="002412CC">
      <w:pPr>
        <w:tabs>
          <w:tab w:val="left" w:pos="9914"/>
        </w:tabs>
        <w:rPr>
          <w:rFonts w:asciiTheme="minorHAnsi" w:hAnsiTheme="minorHAnsi"/>
        </w:rPr>
      </w:pPr>
      <w:r>
        <w:rPr>
          <w:rFonts w:asciiTheme="minorHAnsi" w:hAnsiTheme="minorHAnsi"/>
        </w:rPr>
        <w:t>oznaczenie wyrobu wg PN-82/H-93215 z podaniem klasy stali,</w:t>
      </w:r>
    </w:p>
    <w:p w:rsidR="002412CC" w:rsidRDefault="002412CC" w:rsidP="002412CC">
      <w:pPr>
        <w:tabs>
          <w:tab w:val="left" w:pos="9914"/>
        </w:tabs>
        <w:rPr>
          <w:rFonts w:asciiTheme="minorHAnsi" w:hAnsiTheme="minorHAnsi"/>
        </w:rPr>
      </w:pPr>
      <w:r>
        <w:rPr>
          <w:rFonts w:asciiTheme="minorHAnsi" w:hAnsiTheme="minorHAnsi"/>
        </w:rPr>
        <w:t>numer wytopu lub numer partii,</w:t>
      </w:r>
    </w:p>
    <w:p w:rsidR="002412CC" w:rsidRDefault="002412CC" w:rsidP="002412CC">
      <w:pPr>
        <w:tabs>
          <w:tab w:val="left" w:pos="9914"/>
        </w:tabs>
        <w:rPr>
          <w:rFonts w:asciiTheme="minorHAnsi" w:hAnsiTheme="minorHAnsi"/>
        </w:rPr>
      </w:pPr>
      <w:r>
        <w:rPr>
          <w:rFonts w:asciiTheme="minorHAnsi" w:hAnsiTheme="minorHAnsi"/>
        </w:rPr>
        <w:t>wszystkie wyniki przeprowadzonych badań oraz skład chemiczny wg analizy wytopowej,</w:t>
      </w:r>
    </w:p>
    <w:p w:rsidR="002412CC" w:rsidRDefault="002412CC" w:rsidP="002412CC">
      <w:pPr>
        <w:tabs>
          <w:tab w:val="left" w:pos="9914"/>
        </w:tabs>
        <w:rPr>
          <w:rFonts w:asciiTheme="minorHAnsi" w:hAnsiTheme="minorHAnsi"/>
        </w:rPr>
      </w:pPr>
      <w:r>
        <w:rPr>
          <w:rFonts w:asciiTheme="minorHAnsi" w:hAnsiTheme="minorHAnsi"/>
        </w:rPr>
        <w:t>masa partii,</w:t>
      </w:r>
    </w:p>
    <w:p w:rsidR="002412CC" w:rsidRDefault="002412CC" w:rsidP="002412CC">
      <w:pPr>
        <w:tabs>
          <w:tab w:val="left" w:pos="9914"/>
        </w:tabs>
        <w:rPr>
          <w:rFonts w:asciiTheme="minorHAnsi" w:hAnsiTheme="minorHAnsi"/>
        </w:rPr>
      </w:pPr>
      <w:r>
        <w:rPr>
          <w:rFonts w:asciiTheme="minorHAnsi" w:hAnsiTheme="minorHAnsi"/>
        </w:rPr>
        <w:t>rodzaj obróbki cieplnej.</w:t>
      </w:r>
    </w:p>
    <w:p w:rsidR="002412CC" w:rsidRDefault="002412CC" w:rsidP="002412CC">
      <w:pPr>
        <w:tabs>
          <w:tab w:val="left" w:pos="9914"/>
        </w:tabs>
        <w:rPr>
          <w:rFonts w:asciiTheme="minorHAnsi" w:hAnsiTheme="minorHAnsi"/>
        </w:rPr>
      </w:pPr>
      <w:r>
        <w:rPr>
          <w:rFonts w:asciiTheme="minorHAnsi" w:hAnsiTheme="minorHAnsi"/>
        </w:rPr>
        <w:t>Na przywieszkach metalowych przymocowanych dla każdej wiązki prętów lub kręgu prętów (po dwie dla każdej wiązki) muszą znajdować się następujące informacje:</w:t>
      </w:r>
    </w:p>
    <w:p w:rsidR="002412CC" w:rsidRDefault="002412CC" w:rsidP="002412CC">
      <w:pPr>
        <w:tabs>
          <w:tab w:val="left" w:pos="9914"/>
        </w:tabs>
        <w:rPr>
          <w:rFonts w:asciiTheme="minorHAnsi" w:hAnsiTheme="minorHAnsi"/>
        </w:rPr>
      </w:pPr>
      <w:r>
        <w:rPr>
          <w:rFonts w:asciiTheme="minorHAnsi" w:hAnsiTheme="minorHAnsi"/>
        </w:rPr>
        <w:t>znak wytwórcy,</w:t>
      </w:r>
    </w:p>
    <w:p w:rsidR="002412CC" w:rsidRDefault="002412CC" w:rsidP="002412CC">
      <w:pPr>
        <w:tabs>
          <w:tab w:val="left" w:pos="9914"/>
        </w:tabs>
        <w:rPr>
          <w:rFonts w:asciiTheme="minorHAnsi" w:hAnsiTheme="minorHAnsi"/>
        </w:rPr>
      </w:pPr>
      <w:r>
        <w:rPr>
          <w:rFonts w:asciiTheme="minorHAnsi" w:hAnsiTheme="minorHAnsi"/>
        </w:rPr>
        <w:t>średnica nominalna,</w:t>
      </w:r>
    </w:p>
    <w:p w:rsidR="002412CC" w:rsidRDefault="002412CC" w:rsidP="002412CC">
      <w:pPr>
        <w:tabs>
          <w:tab w:val="left" w:pos="9914"/>
        </w:tabs>
        <w:rPr>
          <w:rFonts w:asciiTheme="minorHAnsi" w:hAnsiTheme="minorHAnsi"/>
        </w:rPr>
      </w:pPr>
      <w:r>
        <w:rPr>
          <w:rFonts w:asciiTheme="minorHAnsi" w:hAnsiTheme="minorHAnsi"/>
        </w:rPr>
        <w:t>znak stali,</w:t>
      </w:r>
    </w:p>
    <w:p w:rsidR="002412CC" w:rsidRDefault="002412CC" w:rsidP="002412CC">
      <w:pPr>
        <w:tabs>
          <w:tab w:val="left" w:pos="9914"/>
        </w:tabs>
        <w:rPr>
          <w:rFonts w:asciiTheme="minorHAnsi" w:hAnsiTheme="minorHAnsi"/>
        </w:rPr>
      </w:pPr>
      <w:r>
        <w:rPr>
          <w:rFonts w:asciiTheme="minorHAnsi" w:hAnsiTheme="minorHAnsi"/>
        </w:rPr>
        <w:t>numer wytopu lub numer partii,</w:t>
      </w:r>
    </w:p>
    <w:p w:rsidR="002412CC" w:rsidRDefault="002412CC" w:rsidP="002412CC">
      <w:pPr>
        <w:tabs>
          <w:tab w:val="left" w:pos="9914"/>
        </w:tabs>
        <w:rPr>
          <w:rFonts w:asciiTheme="minorHAnsi" w:hAnsiTheme="minorHAnsi"/>
        </w:rPr>
      </w:pPr>
      <w:r>
        <w:rPr>
          <w:rFonts w:asciiTheme="minorHAnsi" w:hAnsiTheme="minorHAnsi"/>
        </w:rPr>
        <w:t>znak obróbki cieplnej,</w:t>
      </w:r>
    </w:p>
    <w:p w:rsidR="002412CC" w:rsidRDefault="002412CC" w:rsidP="002412CC">
      <w:pPr>
        <w:tabs>
          <w:tab w:val="left" w:pos="9914"/>
        </w:tabs>
        <w:rPr>
          <w:rFonts w:asciiTheme="minorHAnsi" w:hAnsiTheme="minorHAnsi"/>
        </w:rPr>
      </w:pPr>
      <w:r>
        <w:rPr>
          <w:rFonts w:asciiTheme="minorHAnsi" w:hAnsiTheme="minorHAnsi"/>
        </w:rPr>
        <w:t>Każda wiązka i krąg prętów powinny mieć oznakowanie farbą olejną.</w:t>
      </w:r>
    </w:p>
    <w:p w:rsidR="002412CC" w:rsidRDefault="002412CC" w:rsidP="002412CC">
      <w:pPr>
        <w:tabs>
          <w:tab w:val="left" w:pos="9914"/>
        </w:tabs>
        <w:rPr>
          <w:rFonts w:asciiTheme="minorHAnsi" w:hAnsiTheme="minorHAnsi"/>
        </w:rPr>
      </w:pPr>
      <w:r>
        <w:rPr>
          <w:rFonts w:asciiTheme="minorHAnsi" w:hAnsiTheme="minorHAnsi"/>
        </w:rPr>
        <w:t>Nie ma konieczności badania stali zbrojeniowej spełniającej wymagania PN-S-10042 (z potwierdzeniem certyfikatem zgodności) lub posiadającej Aprobatę techniczną (z potwierdzeniem deklaracją zgodności).</w:t>
      </w:r>
    </w:p>
    <w:p w:rsidR="002412CC" w:rsidRDefault="002412CC" w:rsidP="002412CC">
      <w:pPr>
        <w:tabs>
          <w:tab w:val="left" w:pos="9914"/>
        </w:tabs>
        <w:rPr>
          <w:rFonts w:asciiTheme="minorHAnsi" w:hAnsiTheme="minorHAnsi"/>
        </w:rPr>
      </w:pPr>
      <w:r>
        <w:rPr>
          <w:rFonts w:asciiTheme="minorHAnsi" w:hAnsiTheme="minorHAnsi"/>
        </w:rPr>
        <w:t>W przypadku stali o nieznanych właściwościach należy wykonać następujące badania:</w:t>
      </w:r>
    </w:p>
    <w:p w:rsidR="002412CC" w:rsidRDefault="002412CC" w:rsidP="002412CC">
      <w:pPr>
        <w:tabs>
          <w:tab w:val="left" w:pos="9914"/>
        </w:tabs>
        <w:rPr>
          <w:rFonts w:asciiTheme="minorHAnsi" w:hAnsiTheme="minorHAnsi"/>
        </w:rPr>
      </w:pPr>
      <w:r>
        <w:rPr>
          <w:rFonts w:asciiTheme="minorHAnsi" w:hAnsiTheme="minorHAnsi"/>
        </w:rPr>
        <w:t>sprawdzenie granicy plastyczności wg PN-EN 10002-1:2004,</w:t>
      </w:r>
    </w:p>
    <w:p w:rsidR="002412CC" w:rsidRDefault="002412CC" w:rsidP="002412CC">
      <w:pPr>
        <w:tabs>
          <w:tab w:val="left" w:pos="9914"/>
        </w:tabs>
        <w:rPr>
          <w:rFonts w:asciiTheme="minorHAnsi" w:hAnsiTheme="minorHAnsi"/>
        </w:rPr>
      </w:pPr>
      <w:r>
        <w:rPr>
          <w:rFonts w:asciiTheme="minorHAnsi" w:hAnsiTheme="minorHAnsi"/>
        </w:rPr>
        <w:t>wytrzymałość na rozciąganie wg PN-EN 10002-1:2004,</w:t>
      </w:r>
    </w:p>
    <w:p w:rsidR="002412CC" w:rsidRDefault="002412CC" w:rsidP="002412CC">
      <w:pPr>
        <w:tabs>
          <w:tab w:val="left" w:pos="9914"/>
        </w:tabs>
        <w:rPr>
          <w:rFonts w:asciiTheme="minorHAnsi" w:hAnsiTheme="minorHAnsi"/>
        </w:rPr>
      </w:pPr>
      <w:r>
        <w:rPr>
          <w:rFonts w:asciiTheme="minorHAnsi" w:hAnsiTheme="minorHAnsi"/>
        </w:rPr>
        <w:t>udarność – w przypadku przewidywanego spawania w niskich temperaturach,</w:t>
      </w:r>
    </w:p>
    <w:p w:rsidR="002412CC" w:rsidRDefault="002412CC" w:rsidP="002412CC">
      <w:pPr>
        <w:tabs>
          <w:tab w:val="left" w:pos="9914"/>
        </w:tabs>
        <w:rPr>
          <w:rFonts w:asciiTheme="minorHAnsi" w:hAnsiTheme="minorHAnsi"/>
        </w:rPr>
      </w:pPr>
      <w:r>
        <w:rPr>
          <w:rFonts w:asciiTheme="minorHAnsi" w:hAnsiTheme="minorHAnsi"/>
        </w:rPr>
        <w:t>Do badania należy pobrać minimum 5 próbek z każdej partii zgodnie z PN-EN 10002-1:2004. Jakość prętów należy oceniać pozytywnie, jeżeli wszystkie badania odbiorcze dadzą wynik pozytywny.</w:t>
      </w:r>
    </w:p>
    <w:p w:rsidR="002412CC" w:rsidRDefault="002412CC" w:rsidP="002412CC">
      <w:pPr>
        <w:pStyle w:val="Nagwek4"/>
        <w:tabs>
          <w:tab w:val="left" w:pos="9914"/>
        </w:tabs>
        <w:rPr>
          <w:rFonts w:asciiTheme="minorHAnsi" w:hAnsiTheme="minorHAnsi"/>
        </w:rPr>
      </w:pPr>
      <w:r>
        <w:t>2.2. Drut montażowy</w:t>
      </w:r>
    </w:p>
    <w:p w:rsidR="002412CC" w:rsidRDefault="002412CC" w:rsidP="002412CC">
      <w:pPr>
        <w:tabs>
          <w:tab w:val="left" w:pos="9914"/>
        </w:tabs>
        <w:rPr>
          <w:rFonts w:asciiTheme="minorHAnsi" w:hAnsiTheme="minorHAnsi"/>
        </w:rPr>
      </w:pPr>
      <w:r>
        <w:rPr>
          <w:rFonts w:asciiTheme="minorHAnsi" w:hAnsiTheme="minorHAnsi"/>
        </w:rPr>
        <w:t>Do montażu prętów zbrojenia należy używać wyżarzonego drutu stalowego tzw. wiązałkowego o średnicy nie mniejszej niż 1,0 mm.</w:t>
      </w:r>
    </w:p>
    <w:p w:rsidR="002412CC" w:rsidRDefault="002412CC" w:rsidP="002412CC">
      <w:pPr>
        <w:tabs>
          <w:tab w:val="left" w:pos="9914"/>
        </w:tabs>
        <w:rPr>
          <w:rFonts w:asciiTheme="minorHAnsi" w:hAnsiTheme="minorHAnsi"/>
        </w:rPr>
      </w:pPr>
      <w:r>
        <w:rPr>
          <w:rFonts w:asciiTheme="minorHAnsi" w:hAnsiTheme="minorHAnsi"/>
        </w:rPr>
        <w:t>Przy średnicach większych niż 12 mm stosować drut wiązałkowy o średnicy 1,5 mm.</w:t>
      </w:r>
    </w:p>
    <w:p w:rsidR="002412CC" w:rsidRDefault="002412CC" w:rsidP="002412CC">
      <w:pPr>
        <w:pStyle w:val="Nagwek4"/>
        <w:tabs>
          <w:tab w:val="left" w:pos="9914"/>
        </w:tabs>
        <w:rPr>
          <w:rFonts w:asciiTheme="minorHAnsi" w:hAnsiTheme="minorHAnsi"/>
        </w:rPr>
      </w:pPr>
      <w:r>
        <w:t>2.3. Materiały spawalnicze</w:t>
      </w:r>
    </w:p>
    <w:p w:rsidR="002412CC" w:rsidRDefault="002412CC" w:rsidP="002412CC">
      <w:pPr>
        <w:tabs>
          <w:tab w:val="left" w:pos="9914"/>
        </w:tabs>
        <w:rPr>
          <w:rFonts w:asciiTheme="minorHAnsi" w:hAnsiTheme="minorHAnsi"/>
        </w:rPr>
      </w:pPr>
      <w:r>
        <w:rPr>
          <w:rFonts w:asciiTheme="minorHAnsi" w:hAnsiTheme="minorHAnsi"/>
        </w:rPr>
        <w:t>Należy stosować elektrody odpowiednie do gatunku stali łączonych prętów zbrojeniowych,</w:t>
      </w:r>
    </w:p>
    <w:p w:rsidR="002412CC" w:rsidRDefault="002412CC" w:rsidP="002412CC">
      <w:pPr>
        <w:pStyle w:val="Nagwek4"/>
        <w:tabs>
          <w:tab w:val="left" w:pos="9914"/>
        </w:tabs>
        <w:rPr>
          <w:rFonts w:asciiTheme="minorHAnsi" w:hAnsiTheme="minorHAnsi"/>
        </w:rPr>
      </w:pPr>
      <w:r>
        <w:lastRenderedPageBreak/>
        <w:t>2.4. Podkładki dystansowe</w:t>
      </w:r>
    </w:p>
    <w:p w:rsidR="002412CC" w:rsidRDefault="002412CC" w:rsidP="002412CC">
      <w:pPr>
        <w:tabs>
          <w:tab w:val="left" w:pos="9914"/>
        </w:tabs>
        <w:rPr>
          <w:rFonts w:asciiTheme="minorHAnsi" w:hAnsiTheme="minorHAnsi"/>
        </w:rPr>
      </w:pPr>
      <w:r>
        <w:rPr>
          <w:rFonts w:asciiTheme="minorHAnsi" w:hAnsiTheme="minorHAnsi"/>
        </w:rPr>
        <w:t>Dopuszcza się stosowanie stabilizatorów i podkładek dystansowych z betonu lub zaprawy i z tworzyw sztucznych.</w:t>
      </w:r>
    </w:p>
    <w:p w:rsidR="002412CC" w:rsidRDefault="002412CC" w:rsidP="002412CC">
      <w:pPr>
        <w:tabs>
          <w:tab w:val="left" w:pos="9914"/>
        </w:tabs>
        <w:rPr>
          <w:rFonts w:asciiTheme="minorHAnsi" w:hAnsiTheme="minorHAnsi"/>
        </w:rPr>
      </w:pPr>
      <w:r>
        <w:rPr>
          <w:rFonts w:asciiTheme="minorHAnsi" w:hAnsiTheme="minorHAnsi"/>
        </w:rPr>
        <w:t>Podkładki dystansowe muszą być mocowane do prętów.</w:t>
      </w:r>
    </w:p>
    <w:p w:rsidR="002412CC" w:rsidRDefault="002412CC" w:rsidP="002412CC">
      <w:pPr>
        <w:tabs>
          <w:tab w:val="left" w:pos="9914"/>
        </w:tabs>
        <w:rPr>
          <w:rFonts w:asciiTheme="minorHAnsi" w:hAnsiTheme="minorHAnsi"/>
        </w:rPr>
      </w:pPr>
      <w:r>
        <w:rPr>
          <w:rFonts w:asciiTheme="minorHAnsi" w:hAnsiTheme="minorHAnsi"/>
        </w:rPr>
        <w:t>Nie dopuszcza się stosowanie przekładek dystansowych z drewna, cegły lub prętów stalowych.</w:t>
      </w:r>
    </w:p>
    <w:p w:rsidR="002412CC" w:rsidRPr="00E5206A" w:rsidRDefault="002412CC" w:rsidP="00E5206A">
      <w:pPr>
        <w:pStyle w:val="Nagwek3"/>
      </w:pPr>
      <w:r w:rsidRPr="00E5206A">
        <w:t>3. Sprzęt</w:t>
      </w:r>
    </w:p>
    <w:p w:rsidR="002412CC" w:rsidRDefault="002412CC" w:rsidP="002412CC">
      <w:pPr>
        <w:tabs>
          <w:tab w:val="left" w:pos="9914"/>
        </w:tabs>
        <w:rPr>
          <w:rFonts w:asciiTheme="minorHAnsi" w:hAnsiTheme="minorHAnsi"/>
        </w:rPr>
      </w:pPr>
      <w:r>
        <w:rPr>
          <w:rFonts w:asciiTheme="minorHAnsi" w:hAnsiTheme="minorHAnsi"/>
        </w:rPr>
        <w:t>Ogólne wymagania dla sprzętu podano w STWiORB D-M 00.00.00 „Wymagania ogólne” pkt 3</w:t>
      </w:r>
    </w:p>
    <w:p w:rsidR="002412CC" w:rsidRDefault="002412CC" w:rsidP="002412CC">
      <w:pPr>
        <w:tabs>
          <w:tab w:val="left" w:pos="9914"/>
        </w:tabs>
        <w:rPr>
          <w:rFonts w:asciiTheme="minorHAnsi" w:hAnsiTheme="minorHAnsi"/>
        </w:rPr>
      </w:pPr>
      <w:r>
        <w:rPr>
          <w:rFonts w:asciiTheme="minorHAnsi" w:hAnsiTheme="minorHAnsi"/>
        </w:rPr>
        <w:t>Wykonawca przystępujący do wykonania zbrojenia powinien mieć do dyspozycji następujący sprzęt:</w:t>
      </w:r>
    </w:p>
    <w:p w:rsidR="002412CC" w:rsidRDefault="002412CC" w:rsidP="002412CC">
      <w:pPr>
        <w:tabs>
          <w:tab w:val="left" w:pos="9914"/>
        </w:tabs>
        <w:rPr>
          <w:rFonts w:asciiTheme="minorHAnsi" w:hAnsiTheme="minorHAnsi"/>
        </w:rPr>
      </w:pPr>
      <w:r>
        <w:rPr>
          <w:rFonts w:asciiTheme="minorHAnsi" w:hAnsiTheme="minorHAnsi"/>
        </w:rPr>
        <w:t>giętarki,</w:t>
      </w:r>
    </w:p>
    <w:p w:rsidR="002412CC" w:rsidRDefault="002412CC" w:rsidP="002412CC">
      <w:pPr>
        <w:tabs>
          <w:tab w:val="left" w:pos="9914"/>
        </w:tabs>
        <w:rPr>
          <w:rFonts w:asciiTheme="minorHAnsi" w:hAnsiTheme="minorHAnsi"/>
        </w:rPr>
      </w:pPr>
      <w:r>
        <w:rPr>
          <w:rFonts w:asciiTheme="minorHAnsi" w:hAnsiTheme="minorHAnsi"/>
        </w:rPr>
        <w:t>prostowarki,</w:t>
      </w:r>
    </w:p>
    <w:p w:rsidR="002412CC" w:rsidRDefault="002412CC" w:rsidP="002412CC">
      <w:pPr>
        <w:tabs>
          <w:tab w:val="left" w:pos="9914"/>
        </w:tabs>
        <w:rPr>
          <w:rFonts w:asciiTheme="minorHAnsi" w:hAnsiTheme="minorHAnsi"/>
        </w:rPr>
      </w:pPr>
      <w:r>
        <w:rPr>
          <w:rFonts w:asciiTheme="minorHAnsi" w:hAnsiTheme="minorHAnsi"/>
        </w:rPr>
        <w:t>nożyce do cięcia prętów</w:t>
      </w:r>
    </w:p>
    <w:p w:rsidR="002412CC" w:rsidRDefault="002412CC" w:rsidP="002412CC">
      <w:pPr>
        <w:tabs>
          <w:tab w:val="left" w:pos="9914"/>
        </w:tabs>
        <w:rPr>
          <w:rFonts w:asciiTheme="minorHAnsi" w:hAnsiTheme="minorHAnsi"/>
        </w:rPr>
      </w:pPr>
      <w:r>
        <w:rPr>
          <w:rFonts w:asciiTheme="minorHAnsi" w:hAnsiTheme="minorHAnsi"/>
        </w:rPr>
        <w:t>lekki żuraw samochodowy,</w:t>
      </w:r>
    </w:p>
    <w:p w:rsidR="002412CC" w:rsidRDefault="002412CC" w:rsidP="002412CC">
      <w:pPr>
        <w:tabs>
          <w:tab w:val="left" w:pos="9914"/>
        </w:tabs>
        <w:rPr>
          <w:rFonts w:asciiTheme="minorHAnsi" w:hAnsiTheme="minorHAnsi"/>
        </w:rPr>
      </w:pPr>
      <w:r>
        <w:rPr>
          <w:rFonts w:asciiTheme="minorHAnsi" w:hAnsiTheme="minorHAnsi"/>
        </w:rPr>
        <w:t>sprzęt do transportu pomocniczego.</w:t>
      </w:r>
    </w:p>
    <w:p w:rsidR="002412CC" w:rsidRDefault="002412CC" w:rsidP="002412CC">
      <w:pPr>
        <w:tabs>
          <w:tab w:val="left" w:pos="9914"/>
        </w:tabs>
        <w:rPr>
          <w:rFonts w:asciiTheme="minorHAnsi" w:hAnsiTheme="minorHAnsi"/>
        </w:rPr>
      </w:pPr>
      <w:r>
        <w:rPr>
          <w:rFonts w:asciiTheme="minorHAnsi" w:hAnsiTheme="minorHAnsi"/>
        </w:rPr>
        <w:t>Zastosowany sprzęt wymaga akceptacji Inżyniera.</w:t>
      </w:r>
    </w:p>
    <w:p w:rsidR="002412CC" w:rsidRPr="00E5206A" w:rsidRDefault="002412CC" w:rsidP="00E5206A">
      <w:pPr>
        <w:pStyle w:val="Nagwek3"/>
      </w:pPr>
      <w:r w:rsidRPr="00E5206A">
        <w:t>4. Transport</w:t>
      </w:r>
    </w:p>
    <w:p w:rsidR="002412CC" w:rsidRDefault="002412CC" w:rsidP="002412CC">
      <w:pPr>
        <w:tabs>
          <w:tab w:val="left" w:pos="9914"/>
        </w:tabs>
        <w:rPr>
          <w:rFonts w:asciiTheme="minorHAnsi" w:hAnsiTheme="minorHAnsi"/>
        </w:rPr>
      </w:pPr>
      <w:r>
        <w:rPr>
          <w:rFonts w:asciiTheme="minorHAnsi" w:hAnsiTheme="minorHAnsi"/>
        </w:rPr>
        <w:t>Ogólne wymagania dla transportu podano w STWiORB D-M 00.00.00 „Wymagania ogólne” pkt 4</w:t>
      </w:r>
    </w:p>
    <w:p w:rsidR="002412CC" w:rsidRDefault="002412CC" w:rsidP="002412CC">
      <w:pPr>
        <w:tabs>
          <w:tab w:val="left" w:pos="9914"/>
        </w:tabs>
        <w:rPr>
          <w:rFonts w:asciiTheme="minorHAnsi" w:hAnsiTheme="minorHAnsi"/>
        </w:rPr>
      </w:pPr>
      <w:r>
        <w:rPr>
          <w:rFonts w:asciiTheme="minorHAnsi" w:hAnsiTheme="minorHAnsi"/>
        </w:rPr>
        <w:t>Materiały mogą być przewożone dowolnymi środkami transportu. Należy je ułożyć równomiernie na całej powierzchni ładunkowej, obok siebie i zabezpieczyć przed możliwością przesuwania się podczas transportu. Podczas transportu przestrzegać wymagań PN-H-01105.</w:t>
      </w:r>
    </w:p>
    <w:p w:rsidR="002412CC" w:rsidRPr="00E5206A" w:rsidRDefault="002412CC" w:rsidP="00E5206A">
      <w:pPr>
        <w:pStyle w:val="Nagwek3"/>
      </w:pPr>
      <w:r w:rsidRPr="00E5206A">
        <w:t>5. Wykonanie robót</w:t>
      </w:r>
    </w:p>
    <w:p w:rsidR="002412CC" w:rsidRDefault="002412CC" w:rsidP="002412CC">
      <w:pPr>
        <w:pStyle w:val="Nagwek4"/>
        <w:tabs>
          <w:tab w:val="left" w:pos="9914"/>
        </w:tabs>
        <w:rPr>
          <w:rFonts w:asciiTheme="minorHAnsi" w:hAnsiTheme="minorHAnsi"/>
        </w:rPr>
      </w:pPr>
      <w:r>
        <w:t>5.1. Ogólne warunki wykonania robót</w:t>
      </w:r>
    </w:p>
    <w:p w:rsidR="002412CC" w:rsidRDefault="002412CC" w:rsidP="002412CC">
      <w:pPr>
        <w:tabs>
          <w:tab w:val="left" w:pos="9914"/>
        </w:tabs>
        <w:rPr>
          <w:rFonts w:asciiTheme="minorHAnsi" w:hAnsiTheme="minorHAnsi"/>
        </w:rPr>
      </w:pPr>
      <w:r>
        <w:rPr>
          <w:rFonts w:asciiTheme="minorHAnsi" w:hAnsiTheme="minorHAnsi"/>
        </w:rPr>
        <w:t>Ogólne warunki wykonania robót podano w STWiORB D-M.00.00.00 "Wymagania ogólne".</w:t>
      </w:r>
    </w:p>
    <w:p w:rsidR="002412CC" w:rsidRDefault="002412CC" w:rsidP="002412CC">
      <w:pPr>
        <w:pStyle w:val="Nagwek4"/>
        <w:tabs>
          <w:tab w:val="left" w:pos="9914"/>
        </w:tabs>
        <w:rPr>
          <w:rFonts w:asciiTheme="minorHAnsi" w:hAnsiTheme="minorHAnsi"/>
        </w:rPr>
      </w:pPr>
      <w:r>
        <w:t>5.2. Zakres wykonywanych robót</w:t>
      </w:r>
    </w:p>
    <w:p w:rsidR="002412CC" w:rsidRDefault="002412CC" w:rsidP="002412CC">
      <w:pPr>
        <w:tabs>
          <w:tab w:val="left" w:pos="9914"/>
        </w:tabs>
        <w:rPr>
          <w:rFonts w:asciiTheme="minorHAnsi" w:hAnsiTheme="minorHAnsi"/>
        </w:rPr>
      </w:pPr>
      <w:r>
        <w:rPr>
          <w:rFonts w:asciiTheme="minorHAnsi" w:hAnsiTheme="minorHAnsi"/>
          <w:b/>
        </w:rPr>
        <w:t>5.2.1.</w:t>
      </w:r>
      <w:r>
        <w:rPr>
          <w:rFonts w:asciiTheme="minorHAnsi" w:hAnsiTheme="minorHAnsi"/>
        </w:rPr>
        <w:t xml:space="preserve"> Przygotowanie zbrojenia</w:t>
      </w:r>
    </w:p>
    <w:p w:rsidR="002412CC" w:rsidRDefault="002412CC" w:rsidP="002412CC">
      <w:pPr>
        <w:tabs>
          <w:tab w:val="left" w:pos="9914"/>
        </w:tabs>
        <w:rPr>
          <w:rFonts w:asciiTheme="minorHAnsi" w:hAnsiTheme="minorHAnsi"/>
        </w:rPr>
      </w:pPr>
      <w:r>
        <w:rPr>
          <w:rFonts w:asciiTheme="minorHAnsi" w:hAnsiTheme="minorHAnsi"/>
        </w:rPr>
        <w:t>Przygotowanie, montaż i odbiór zbrojenia powinien odpowiadać wymaganiom PN</w:t>
      </w:r>
      <w:r>
        <w:rPr>
          <w:rFonts w:asciiTheme="minorHAnsi" w:hAnsiTheme="minorHAnsi"/>
        </w:rPr>
        <w:noBreakHyphen/>
        <w:t>S</w:t>
      </w:r>
      <w:r>
        <w:rPr>
          <w:rFonts w:asciiTheme="minorHAnsi" w:hAnsiTheme="minorHAnsi"/>
        </w:rPr>
        <w:noBreakHyphen/>
        <w:t>10042.</w:t>
      </w:r>
    </w:p>
    <w:p w:rsidR="002412CC" w:rsidRDefault="002412CC" w:rsidP="002412CC">
      <w:pPr>
        <w:tabs>
          <w:tab w:val="left" w:pos="9914"/>
        </w:tabs>
        <w:rPr>
          <w:rFonts w:asciiTheme="minorHAnsi" w:hAnsiTheme="minorHAnsi"/>
        </w:rPr>
      </w:pPr>
      <w:r>
        <w:rPr>
          <w:rFonts w:asciiTheme="minorHAnsi" w:hAnsiTheme="minorHAnsi"/>
        </w:rPr>
        <w:t>Przewożenie stali na budowę powinno odbywać się w sposób zabezpieczający ją od odkształceń i zanieczyszczeń. Stal zbrojeniowa nie jest zasadniczo zabezpieczana przed korozją w okresie przed wbudowaniem. Należy dążyć, by stal taka była magazynowana w miejscu nie narażonym na nadmierne zawilgocenie lub zanieczyszczenie.</w:t>
      </w:r>
    </w:p>
    <w:p w:rsidR="002412CC" w:rsidRDefault="002412CC" w:rsidP="002412CC">
      <w:pPr>
        <w:tabs>
          <w:tab w:val="left" w:pos="9914"/>
        </w:tabs>
        <w:rPr>
          <w:rFonts w:asciiTheme="minorHAnsi" w:hAnsiTheme="minorHAnsi"/>
        </w:rPr>
      </w:pPr>
      <w:r>
        <w:rPr>
          <w:rFonts w:asciiTheme="minorHAnsi" w:hAnsiTheme="minorHAnsi"/>
        </w:rPr>
        <w:t>Zabezpieczeniem przed nadmierną korozją stali zbrojeniowej, magazynowanej na otwartym powietrzu, może być powłoka wykonana z mleczka cementowego. Pręty zbrojenia, przed ich ułożeniem w deskowaniu, należy oczyścić z zendry, luźnych płatków rdzy, kurzu i błota. Stal pokrytą rdzą oczyszcza się szczotkami ręcznie lub mechanicznie. Po oczyszczeniu należy sprawdzić wymiary przekroju poprzecznego prętów. Stal tylko zabłoconą można zmyć strumieniem wody. Pręty oblodzone odmrażać strumieniem ciepłej wody. Stal narażoną na choćby chwilowe działanie słonej wody należy zmyć wodą słodką. Pręty zbrojenia zanieczyszczone tłuszczem (smary, oliwa) lub farbą olejną, należy opalać aż do całkowitego usunięcia zanieczyszczeń. Pręty, używane do produkcji zbrojenia, powinny być proste.</w:t>
      </w:r>
    </w:p>
    <w:p w:rsidR="002412CC" w:rsidRDefault="002412CC" w:rsidP="002412CC">
      <w:pPr>
        <w:tabs>
          <w:tab w:val="left" w:pos="9914"/>
        </w:tabs>
        <w:rPr>
          <w:rFonts w:asciiTheme="minorHAnsi" w:hAnsiTheme="minorHAnsi"/>
        </w:rPr>
      </w:pPr>
      <w:r>
        <w:rPr>
          <w:rFonts w:asciiTheme="minorHAnsi" w:hAnsiTheme="minorHAnsi"/>
        </w:rPr>
        <w:t>Dopuszczalna wielkość miejscowego wykrzywienia nie powinna przekraczać 4 mm, w przypadku większych odchyłek stal zbrojeniową należy prostować za pomocą kluczy, młotków, prostowarek i wyciągarek.</w:t>
      </w:r>
    </w:p>
    <w:p w:rsidR="002412CC" w:rsidRDefault="002412CC" w:rsidP="002412CC">
      <w:pPr>
        <w:tabs>
          <w:tab w:val="left" w:pos="9914"/>
        </w:tabs>
        <w:rPr>
          <w:rFonts w:asciiTheme="minorHAnsi" w:hAnsiTheme="minorHAnsi"/>
        </w:rPr>
      </w:pPr>
      <w:r>
        <w:rPr>
          <w:rFonts w:asciiTheme="minorHAnsi" w:hAnsiTheme="minorHAnsi"/>
        </w:rPr>
        <w:t xml:space="preserve">Cięcie prętów należy wykonywać przy maksymalnym wykorzystaniu materiałów. Pręty ucina się z dokładnością do 1 cm. Cięcie przeprowadza się przy pomocy mechanicznych noży, Dopuszcza się również cięcie palnikiem acetylenowym. </w:t>
      </w:r>
    </w:p>
    <w:p w:rsidR="002412CC" w:rsidRDefault="002412CC" w:rsidP="002412CC">
      <w:pPr>
        <w:tabs>
          <w:tab w:val="left" w:pos="9914"/>
        </w:tabs>
        <w:rPr>
          <w:rFonts w:asciiTheme="minorHAnsi" w:hAnsiTheme="minorHAnsi"/>
        </w:rPr>
      </w:pPr>
      <w:r>
        <w:rPr>
          <w:rFonts w:asciiTheme="minorHAnsi" w:hAnsiTheme="minorHAnsi"/>
        </w:rPr>
        <w:t>Gięcie prętów należy wykonywać zgodnie z Dokumentacją Projektową i normą PN</w:t>
      </w:r>
      <w:r>
        <w:rPr>
          <w:rFonts w:asciiTheme="minorHAnsi" w:hAnsiTheme="minorHAnsi"/>
        </w:rPr>
        <w:noBreakHyphen/>
        <w:t>S</w:t>
      </w:r>
      <w:r>
        <w:rPr>
          <w:rFonts w:asciiTheme="minorHAnsi" w:hAnsiTheme="minorHAnsi"/>
        </w:rPr>
        <w:noBreakHyphen/>
        <w:t>10042. Na zimno na budowie można wykonywać odgięcia prętów o średnicy d </w:t>
      </w:r>
      <w:r>
        <w:rPr>
          <w:rFonts w:asciiTheme="minorHAnsi" w:hAnsiTheme="minorHAnsi"/>
        </w:rPr>
        <w:sym w:font="Symbol" w:char="F0A3"/>
      </w:r>
      <w:r>
        <w:rPr>
          <w:rFonts w:asciiTheme="minorHAnsi" w:hAnsiTheme="minorHAnsi"/>
        </w:rPr>
        <w:t xml:space="preserve"> 12 mm. </w:t>
      </w:r>
    </w:p>
    <w:p w:rsidR="002412CC" w:rsidRDefault="002412CC" w:rsidP="002412CC">
      <w:pPr>
        <w:tabs>
          <w:tab w:val="left" w:pos="9914"/>
        </w:tabs>
        <w:rPr>
          <w:rFonts w:asciiTheme="minorHAnsi" w:hAnsiTheme="minorHAnsi"/>
        </w:rPr>
      </w:pPr>
      <w:r>
        <w:rPr>
          <w:rFonts w:asciiTheme="minorHAnsi" w:hAnsiTheme="minorHAnsi"/>
        </w:rPr>
        <w:t>Pręty o średnicy d &gt;12 mm powinny być odginane z kontrolowanym podgrzewaniem.</w:t>
      </w:r>
    </w:p>
    <w:p w:rsidR="002412CC" w:rsidRDefault="002412CC" w:rsidP="002412CC">
      <w:pPr>
        <w:tabs>
          <w:tab w:val="left" w:pos="9914"/>
        </w:tabs>
        <w:rPr>
          <w:rFonts w:asciiTheme="minorHAnsi" w:hAnsiTheme="minorHAnsi"/>
        </w:rPr>
      </w:pPr>
    </w:p>
    <w:p w:rsidR="00E5206A" w:rsidRDefault="00E5206A" w:rsidP="002412CC">
      <w:pPr>
        <w:tabs>
          <w:tab w:val="left" w:pos="9914"/>
        </w:tabs>
        <w:rPr>
          <w:rFonts w:asciiTheme="minorHAnsi" w:hAnsiTheme="minorHAnsi"/>
        </w:rPr>
      </w:pPr>
    </w:p>
    <w:p w:rsidR="00E5206A" w:rsidRDefault="00E5206A" w:rsidP="002412CC">
      <w:pPr>
        <w:tabs>
          <w:tab w:val="left" w:pos="9914"/>
        </w:tabs>
        <w:rPr>
          <w:rFonts w:asciiTheme="minorHAnsi" w:hAnsiTheme="minorHAnsi"/>
        </w:rPr>
      </w:pPr>
    </w:p>
    <w:p w:rsidR="00E5206A" w:rsidRDefault="00E5206A"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lastRenderedPageBreak/>
        <w:t xml:space="preserve">Wydłużenia prętów [cm] powstałe podczas ich odginania o dany kąt </w:t>
      </w:r>
    </w:p>
    <w:tbl>
      <w:tblPr>
        <w:tblW w:w="0" w:type="auto"/>
        <w:tblInd w:w="168" w:type="dxa"/>
        <w:tblLayout w:type="fixed"/>
        <w:tblCellMar>
          <w:left w:w="168" w:type="dxa"/>
          <w:right w:w="168" w:type="dxa"/>
        </w:tblCellMar>
        <w:tblLook w:val="04A0"/>
      </w:tblPr>
      <w:tblGrid>
        <w:gridCol w:w="1814"/>
        <w:gridCol w:w="1814"/>
        <w:gridCol w:w="1814"/>
        <w:gridCol w:w="1814"/>
        <w:gridCol w:w="1814"/>
      </w:tblGrid>
      <w:tr w:rsidR="002412CC" w:rsidTr="002412CC">
        <w:trPr>
          <w:cantSplit/>
          <w:tblHeader/>
        </w:trPr>
        <w:tc>
          <w:tcPr>
            <w:tcW w:w="1814" w:type="dxa"/>
            <w:vMerge w:val="restart"/>
            <w:tcBorders>
              <w:top w:val="double" w:sz="4" w:space="0" w:color="000000"/>
              <w:left w:val="double" w:sz="4" w:space="0" w:color="000000"/>
              <w:bottom w:val="single" w:sz="6" w:space="0" w:color="FFFFFF"/>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Średnica pręta</w:t>
            </w:r>
          </w:p>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W mm</w:t>
            </w:r>
          </w:p>
        </w:tc>
        <w:tc>
          <w:tcPr>
            <w:tcW w:w="7256" w:type="dxa"/>
            <w:gridSpan w:val="4"/>
            <w:tcBorders>
              <w:top w:val="double" w:sz="4" w:space="0" w:color="000000"/>
              <w:left w:val="single" w:sz="8" w:space="0" w:color="000000"/>
              <w:bottom w:val="single" w:sz="6" w:space="0" w:color="FFFFFF"/>
              <w:right w:val="double" w:sz="4"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Kąt odgięcia</w:t>
            </w:r>
          </w:p>
        </w:tc>
      </w:tr>
      <w:tr w:rsidR="002412CC" w:rsidTr="002412CC">
        <w:trPr>
          <w:cantSplit/>
          <w:tblHeader/>
        </w:trPr>
        <w:tc>
          <w:tcPr>
            <w:tcW w:w="1814" w:type="dxa"/>
            <w:vMerge/>
            <w:tcBorders>
              <w:top w:val="double" w:sz="4" w:space="0" w:color="000000"/>
              <w:left w:val="double" w:sz="4" w:space="0" w:color="000000"/>
              <w:bottom w:val="single" w:sz="6" w:space="0" w:color="FFFFFF"/>
              <w:right w:val="single" w:sz="8" w:space="0" w:color="000000"/>
            </w:tcBorders>
            <w:vAlign w:val="center"/>
            <w:hideMark/>
          </w:tcPr>
          <w:p w:rsidR="002412CC" w:rsidRDefault="002412CC">
            <w:pPr>
              <w:autoSpaceDE/>
              <w:autoSpaceDN/>
              <w:adjustRightInd/>
              <w:rPr>
                <w:rFonts w:asciiTheme="minorHAnsi" w:hAnsiTheme="minorHAnsi"/>
              </w:rPr>
            </w:pPr>
          </w:p>
        </w:tc>
        <w:tc>
          <w:tcPr>
            <w:tcW w:w="1814" w:type="dxa"/>
            <w:tcBorders>
              <w:top w:val="single" w:sz="8" w:space="0" w:color="000000"/>
              <w:left w:val="single" w:sz="8" w:space="0" w:color="000000"/>
              <w:bottom w:val="single" w:sz="6" w:space="0" w:color="FFFFFF"/>
              <w:right w:val="single" w:sz="8"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45</w:t>
            </w:r>
            <w:r>
              <w:rPr>
                <w:rFonts w:asciiTheme="minorHAnsi" w:hAnsiTheme="minorHAnsi"/>
                <w:vertAlign w:val="superscript"/>
              </w:rPr>
              <w:t>o</w:t>
            </w:r>
          </w:p>
        </w:tc>
        <w:tc>
          <w:tcPr>
            <w:tcW w:w="1814" w:type="dxa"/>
            <w:tcBorders>
              <w:top w:val="single" w:sz="8" w:space="0" w:color="000000"/>
              <w:left w:val="single" w:sz="8" w:space="0" w:color="000000"/>
              <w:bottom w:val="single" w:sz="6" w:space="0" w:color="FFFFFF"/>
              <w:right w:val="single" w:sz="8"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90</w:t>
            </w:r>
            <w:r>
              <w:rPr>
                <w:rFonts w:asciiTheme="minorHAnsi" w:hAnsiTheme="minorHAnsi"/>
                <w:vertAlign w:val="superscript"/>
              </w:rPr>
              <w:t xml:space="preserve">o </w:t>
            </w:r>
          </w:p>
        </w:tc>
        <w:tc>
          <w:tcPr>
            <w:tcW w:w="1814" w:type="dxa"/>
            <w:tcBorders>
              <w:top w:val="single" w:sz="8" w:space="0" w:color="000000"/>
              <w:left w:val="single" w:sz="8" w:space="0" w:color="000000"/>
              <w:bottom w:val="single" w:sz="6" w:space="0" w:color="FFFFFF"/>
              <w:right w:val="single" w:sz="8"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135</w:t>
            </w:r>
            <w:r>
              <w:rPr>
                <w:rFonts w:asciiTheme="minorHAnsi" w:hAnsiTheme="minorHAnsi"/>
                <w:vertAlign w:val="superscript"/>
              </w:rPr>
              <w:t>o</w:t>
            </w:r>
          </w:p>
        </w:tc>
        <w:tc>
          <w:tcPr>
            <w:tcW w:w="1814" w:type="dxa"/>
            <w:tcBorders>
              <w:top w:val="single" w:sz="8" w:space="0" w:color="000000"/>
              <w:left w:val="single" w:sz="8" w:space="0" w:color="000000"/>
              <w:bottom w:val="single" w:sz="6" w:space="0" w:color="FFFFFF"/>
              <w:right w:val="double" w:sz="4"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180</w:t>
            </w:r>
            <w:r>
              <w:rPr>
                <w:rFonts w:asciiTheme="minorHAnsi" w:hAnsiTheme="minorHAnsi"/>
                <w:vertAlign w:val="superscript"/>
              </w:rPr>
              <w:t>o</w:t>
            </w:r>
          </w:p>
        </w:tc>
      </w:tr>
      <w:tr w:rsidR="002412CC" w:rsidTr="002412CC">
        <w:tc>
          <w:tcPr>
            <w:tcW w:w="1814" w:type="dxa"/>
            <w:tcBorders>
              <w:top w:val="single" w:sz="8" w:space="0" w:color="000000"/>
              <w:left w:val="double" w:sz="4"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 xml:space="preserve"> 6</w:t>
            </w:r>
          </w:p>
          <w:p w:rsidR="002412CC" w:rsidRDefault="002412CC">
            <w:pPr>
              <w:tabs>
                <w:tab w:val="left" w:pos="9914"/>
              </w:tabs>
              <w:spacing w:line="276" w:lineRule="auto"/>
              <w:rPr>
                <w:rFonts w:asciiTheme="minorHAnsi" w:hAnsiTheme="minorHAnsi"/>
              </w:rPr>
            </w:pPr>
            <w:r>
              <w:rPr>
                <w:rFonts w:asciiTheme="minorHAnsi" w:hAnsiTheme="minorHAnsi"/>
              </w:rPr>
              <w:t xml:space="preserve"> 8</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12</w:t>
            </w:r>
          </w:p>
          <w:p w:rsidR="002412CC" w:rsidRDefault="002412CC">
            <w:pPr>
              <w:tabs>
                <w:tab w:val="left" w:pos="9914"/>
              </w:tabs>
              <w:spacing w:line="276" w:lineRule="auto"/>
              <w:rPr>
                <w:rFonts w:asciiTheme="minorHAnsi" w:hAnsiTheme="minorHAnsi"/>
              </w:rPr>
            </w:pPr>
            <w:r>
              <w:rPr>
                <w:rFonts w:asciiTheme="minorHAnsi" w:hAnsiTheme="minorHAnsi"/>
              </w:rPr>
              <w:t>14</w:t>
            </w:r>
          </w:p>
          <w:p w:rsidR="002412CC" w:rsidRDefault="002412CC">
            <w:pPr>
              <w:tabs>
                <w:tab w:val="left" w:pos="9914"/>
              </w:tabs>
              <w:spacing w:line="276" w:lineRule="auto"/>
              <w:rPr>
                <w:rFonts w:asciiTheme="minorHAnsi" w:hAnsiTheme="minorHAnsi"/>
              </w:rPr>
            </w:pPr>
            <w:r>
              <w:rPr>
                <w:rFonts w:asciiTheme="minorHAnsi" w:hAnsiTheme="minorHAnsi"/>
              </w:rPr>
              <w:t>16</w:t>
            </w:r>
          </w:p>
          <w:p w:rsidR="002412CC" w:rsidRDefault="002412CC">
            <w:pPr>
              <w:tabs>
                <w:tab w:val="left" w:pos="9914"/>
              </w:tabs>
              <w:spacing w:line="276" w:lineRule="auto"/>
              <w:rPr>
                <w:rFonts w:asciiTheme="minorHAnsi" w:hAnsiTheme="minorHAnsi"/>
              </w:rPr>
            </w:pPr>
            <w:r>
              <w:rPr>
                <w:rFonts w:asciiTheme="minorHAnsi" w:hAnsiTheme="minorHAnsi"/>
              </w:rPr>
              <w:t>20</w:t>
            </w:r>
          </w:p>
          <w:p w:rsidR="002412CC" w:rsidRDefault="002412CC">
            <w:pPr>
              <w:tabs>
                <w:tab w:val="left" w:pos="9914"/>
              </w:tabs>
              <w:spacing w:line="276" w:lineRule="auto"/>
              <w:rPr>
                <w:rFonts w:asciiTheme="minorHAnsi" w:hAnsiTheme="minorHAnsi"/>
              </w:rPr>
            </w:pPr>
            <w:r>
              <w:rPr>
                <w:rFonts w:asciiTheme="minorHAnsi" w:hAnsiTheme="minorHAnsi"/>
              </w:rPr>
              <w:t>22</w:t>
            </w:r>
          </w:p>
          <w:p w:rsidR="002412CC" w:rsidRDefault="002412CC">
            <w:pPr>
              <w:tabs>
                <w:tab w:val="left" w:pos="9914"/>
              </w:tabs>
              <w:spacing w:line="276" w:lineRule="auto"/>
              <w:rPr>
                <w:rFonts w:asciiTheme="minorHAnsi" w:hAnsiTheme="minorHAnsi"/>
              </w:rPr>
            </w:pPr>
            <w:r>
              <w:rPr>
                <w:rFonts w:asciiTheme="minorHAnsi" w:hAnsiTheme="minorHAnsi"/>
              </w:rPr>
              <w:t>25</w:t>
            </w:r>
          </w:p>
          <w:p w:rsidR="002412CC" w:rsidRDefault="002412CC">
            <w:pPr>
              <w:tabs>
                <w:tab w:val="left" w:pos="9914"/>
              </w:tabs>
              <w:spacing w:line="276" w:lineRule="auto"/>
              <w:rPr>
                <w:rFonts w:asciiTheme="minorHAnsi" w:hAnsiTheme="minorHAnsi"/>
              </w:rPr>
            </w:pPr>
            <w:r>
              <w:rPr>
                <w:rFonts w:asciiTheme="minorHAnsi" w:hAnsiTheme="minorHAnsi"/>
              </w:rPr>
              <w:t>28</w:t>
            </w:r>
          </w:p>
          <w:p w:rsidR="002412CC" w:rsidRDefault="002412CC">
            <w:pPr>
              <w:widowControl w:val="0"/>
              <w:tabs>
                <w:tab w:val="left" w:pos="9914"/>
              </w:tabs>
              <w:spacing w:line="276" w:lineRule="auto"/>
              <w:rPr>
                <w:rFonts w:asciiTheme="minorHAnsi" w:hAnsiTheme="minorHAnsi"/>
              </w:rPr>
            </w:pPr>
            <w:r>
              <w:rPr>
                <w:rFonts w:asciiTheme="minorHAnsi" w:hAnsiTheme="minorHAnsi"/>
              </w:rPr>
              <w:t>32</w:t>
            </w:r>
          </w:p>
        </w:tc>
        <w:tc>
          <w:tcPr>
            <w:tcW w:w="1814" w:type="dxa"/>
            <w:tcBorders>
              <w:top w:val="single" w:sz="8" w:space="0" w:color="000000"/>
              <w:left w:val="single" w:sz="8"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w:t>
            </w:r>
          </w:p>
          <w:p w:rsidR="002412CC" w:rsidRDefault="002412CC">
            <w:pPr>
              <w:tabs>
                <w:tab w:val="left" w:pos="9914"/>
              </w:tabs>
              <w:spacing w:line="276" w:lineRule="auto"/>
              <w:rPr>
                <w:rFonts w:asciiTheme="minorHAnsi" w:hAnsiTheme="minorHAnsi"/>
              </w:rPr>
            </w:pPr>
            <w:r>
              <w:rPr>
                <w:rFonts w:asciiTheme="minorHAnsi" w:hAnsiTheme="minorHAnsi"/>
              </w:rPr>
              <w:t>-</w:t>
            </w:r>
          </w:p>
          <w:p w:rsidR="002412CC" w:rsidRDefault="002412CC">
            <w:pPr>
              <w:tabs>
                <w:tab w:val="left" w:pos="9914"/>
              </w:tabs>
              <w:spacing w:line="276" w:lineRule="auto"/>
              <w:rPr>
                <w:rFonts w:asciiTheme="minorHAnsi" w:hAnsiTheme="minorHAnsi"/>
              </w:rPr>
            </w:pPr>
            <w:r>
              <w:rPr>
                <w:rFonts w:asciiTheme="minorHAnsi" w:hAnsiTheme="minorHAnsi"/>
              </w:rPr>
              <w:t>0,5</w:t>
            </w:r>
          </w:p>
          <w:p w:rsidR="002412CC" w:rsidRDefault="002412CC">
            <w:pPr>
              <w:tabs>
                <w:tab w:val="left" w:pos="9914"/>
              </w:tabs>
              <w:spacing w:line="276" w:lineRule="auto"/>
              <w:rPr>
                <w:rFonts w:asciiTheme="minorHAnsi" w:hAnsiTheme="minorHAnsi"/>
              </w:rPr>
            </w:pPr>
            <w:r>
              <w:rPr>
                <w:rFonts w:asciiTheme="minorHAnsi" w:hAnsiTheme="minorHAnsi"/>
              </w:rPr>
              <w:t>0,5</w:t>
            </w:r>
          </w:p>
          <w:p w:rsidR="002412CC" w:rsidRDefault="002412CC">
            <w:pPr>
              <w:tabs>
                <w:tab w:val="left" w:pos="9914"/>
              </w:tabs>
              <w:spacing w:line="276" w:lineRule="auto"/>
              <w:rPr>
                <w:rFonts w:asciiTheme="minorHAnsi" w:hAnsiTheme="minorHAnsi"/>
              </w:rPr>
            </w:pPr>
            <w:r>
              <w:rPr>
                <w:rFonts w:asciiTheme="minorHAnsi" w:hAnsiTheme="minorHAnsi"/>
              </w:rPr>
              <w:t>0,5</w:t>
            </w:r>
          </w:p>
          <w:p w:rsidR="002412CC" w:rsidRDefault="002412CC">
            <w:pPr>
              <w:tabs>
                <w:tab w:val="left" w:pos="9914"/>
              </w:tabs>
              <w:spacing w:line="276" w:lineRule="auto"/>
              <w:rPr>
                <w:rFonts w:asciiTheme="minorHAnsi" w:hAnsiTheme="minorHAnsi"/>
              </w:rPr>
            </w:pPr>
            <w:r>
              <w:rPr>
                <w:rFonts w:asciiTheme="minorHAnsi" w:hAnsiTheme="minorHAnsi"/>
              </w:rPr>
              <w:t>0,5</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2,0</w:t>
            </w:r>
          </w:p>
          <w:p w:rsidR="002412CC" w:rsidRDefault="002412CC">
            <w:pPr>
              <w:widowControl w:val="0"/>
              <w:tabs>
                <w:tab w:val="left" w:pos="9914"/>
              </w:tabs>
              <w:spacing w:line="276" w:lineRule="auto"/>
              <w:rPr>
                <w:rFonts w:asciiTheme="minorHAnsi" w:hAnsiTheme="minorHAnsi"/>
              </w:rPr>
            </w:pPr>
            <w:r>
              <w:rPr>
                <w:rFonts w:asciiTheme="minorHAnsi" w:hAnsiTheme="minorHAnsi"/>
              </w:rPr>
              <w:t>2,5</w:t>
            </w:r>
          </w:p>
        </w:tc>
        <w:tc>
          <w:tcPr>
            <w:tcW w:w="1814" w:type="dxa"/>
            <w:tcBorders>
              <w:top w:val="single" w:sz="8" w:space="0" w:color="000000"/>
              <w:left w:val="single" w:sz="8"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0,5</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2,0</w:t>
            </w:r>
          </w:p>
          <w:p w:rsidR="002412CC" w:rsidRDefault="002412CC">
            <w:pPr>
              <w:tabs>
                <w:tab w:val="left" w:pos="9914"/>
              </w:tabs>
              <w:spacing w:line="276" w:lineRule="auto"/>
              <w:rPr>
                <w:rFonts w:asciiTheme="minorHAnsi" w:hAnsiTheme="minorHAnsi"/>
              </w:rPr>
            </w:pPr>
            <w:r>
              <w:rPr>
                <w:rFonts w:asciiTheme="minorHAnsi" w:hAnsiTheme="minorHAnsi"/>
              </w:rPr>
              <w:t>2,5</w:t>
            </w:r>
          </w:p>
          <w:p w:rsidR="002412CC" w:rsidRDefault="002412CC">
            <w:pPr>
              <w:tabs>
                <w:tab w:val="left" w:pos="9914"/>
              </w:tabs>
              <w:spacing w:line="276" w:lineRule="auto"/>
              <w:rPr>
                <w:rFonts w:asciiTheme="minorHAnsi" w:hAnsiTheme="minorHAnsi"/>
              </w:rPr>
            </w:pPr>
            <w:r>
              <w:rPr>
                <w:rFonts w:asciiTheme="minorHAnsi" w:hAnsiTheme="minorHAnsi"/>
              </w:rPr>
              <w:t>3,0</w:t>
            </w:r>
          </w:p>
          <w:p w:rsidR="002412CC" w:rsidRDefault="002412CC">
            <w:pPr>
              <w:widowControl w:val="0"/>
              <w:tabs>
                <w:tab w:val="left" w:pos="9914"/>
              </w:tabs>
              <w:spacing w:line="276" w:lineRule="auto"/>
              <w:rPr>
                <w:rFonts w:asciiTheme="minorHAnsi" w:hAnsiTheme="minorHAnsi"/>
              </w:rPr>
            </w:pPr>
            <w:r>
              <w:rPr>
                <w:rFonts w:asciiTheme="minorHAnsi" w:hAnsiTheme="minorHAnsi"/>
              </w:rPr>
              <w:t>3,5</w:t>
            </w:r>
          </w:p>
        </w:tc>
        <w:tc>
          <w:tcPr>
            <w:tcW w:w="1814" w:type="dxa"/>
            <w:tcBorders>
              <w:top w:val="single" w:sz="8" w:space="0" w:color="000000"/>
              <w:left w:val="single" w:sz="8"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0,5</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2,0</w:t>
            </w:r>
          </w:p>
          <w:p w:rsidR="002412CC" w:rsidRDefault="002412CC">
            <w:pPr>
              <w:tabs>
                <w:tab w:val="left" w:pos="9914"/>
              </w:tabs>
              <w:spacing w:line="276" w:lineRule="auto"/>
              <w:rPr>
                <w:rFonts w:asciiTheme="minorHAnsi" w:hAnsiTheme="minorHAnsi"/>
              </w:rPr>
            </w:pPr>
            <w:r>
              <w:rPr>
                <w:rFonts w:asciiTheme="minorHAnsi" w:hAnsiTheme="minorHAnsi"/>
              </w:rPr>
              <w:t>3,0</w:t>
            </w:r>
          </w:p>
          <w:p w:rsidR="002412CC" w:rsidRDefault="002412CC">
            <w:pPr>
              <w:tabs>
                <w:tab w:val="left" w:pos="9914"/>
              </w:tabs>
              <w:spacing w:line="276" w:lineRule="auto"/>
              <w:rPr>
                <w:rFonts w:asciiTheme="minorHAnsi" w:hAnsiTheme="minorHAnsi"/>
              </w:rPr>
            </w:pPr>
            <w:r>
              <w:rPr>
                <w:rFonts w:asciiTheme="minorHAnsi" w:hAnsiTheme="minorHAnsi"/>
              </w:rPr>
              <w:t>3,5</w:t>
            </w:r>
          </w:p>
          <w:p w:rsidR="002412CC" w:rsidRDefault="002412CC">
            <w:pPr>
              <w:tabs>
                <w:tab w:val="left" w:pos="9914"/>
              </w:tabs>
              <w:spacing w:line="276" w:lineRule="auto"/>
              <w:rPr>
                <w:rFonts w:asciiTheme="minorHAnsi" w:hAnsiTheme="minorHAnsi"/>
              </w:rPr>
            </w:pPr>
            <w:r>
              <w:rPr>
                <w:rFonts w:asciiTheme="minorHAnsi" w:hAnsiTheme="minorHAnsi"/>
              </w:rPr>
              <w:t>4,0</w:t>
            </w:r>
          </w:p>
          <w:p w:rsidR="002412CC" w:rsidRDefault="002412CC">
            <w:pPr>
              <w:widowControl w:val="0"/>
              <w:tabs>
                <w:tab w:val="left" w:pos="9914"/>
              </w:tabs>
              <w:spacing w:line="276" w:lineRule="auto"/>
              <w:rPr>
                <w:rFonts w:asciiTheme="minorHAnsi" w:hAnsiTheme="minorHAnsi"/>
              </w:rPr>
            </w:pPr>
            <w:r>
              <w:rPr>
                <w:rFonts w:asciiTheme="minorHAnsi" w:hAnsiTheme="minorHAnsi"/>
              </w:rPr>
              <w:t>5,0</w:t>
            </w:r>
          </w:p>
        </w:tc>
        <w:tc>
          <w:tcPr>
            <w:tcW w:w="1814" w:type="dxa"/>
            <w:tcBorders>
              <w:top w:val="single" w:sz="8" w:space="0" w:color="000000"/>
              <w:left w:val="single" w:sz="8" w:space="0" w:color="000000"/>
              <w:bottom w:val="double" w:sz="4" w:space="0" w:color="000000"/>
              <w:right w:val="double" w:sz="4"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1,0</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1,5</w:t>
            </w:r>
          </w:p>
          <w:p w:rsidR="002412CC" w:rsidRDefault="002412CC">
            <w:pPr>
              <w:tabs>
                <w:tab w:val="left" w:pos="9914"/>
              </w:tabs>
              <w:spacing w:line="276" w:lineRule="auto"/>
              <w:rPr>
                <w:rFonts w:asciiTheme="minorHAnsi" w:hAnsiTheme="minorHAnsi"/>
              </w:rPr>
            </w:pPr>
            <w:r>
              <w:rPr>
                <w:rFonts w:asciiTheme="minorHAnsi" w:hAnsiTheme="minorHAnsi"/>
              </w:rPr>
              <w:t>2,0</w:t>
            </w:r>
          </w:p>
          <w:p w:rsidR="002412CC" w:rsidRDefault="002412CC">
            <w:pPr>
              <w:tabs>
                <w:tab w:val="left" w:pos="9914"/>
              </w:tabs>
              <w:spacing w:line="276" w:lineRule="auto"/>
              <w:rPr>
                <w:rFonts w:asciiTheme="minorHAnsi" w:hAnsiTheme="minorHAnsi"/>
              </w:rPr>
            </w:pPr>
            <w:r>
              <w:rPr>
                <w:rFonts w:asciiTheme="minorHAnsi" w:hAnsiTheme="minorHAnsi"/>
              </w:rPr>
              <w:t>2,5</w:t>
            </w:r>
          </w:p>
          <w:p w:rsidR="002412CC" w:rsidRDefault="002412CC">
            <w:pPr>
              <w:tabs>
                <w:tab w:val="left" w:pos="9914"/>
              </w:tabs>
              <w:spacing w:line="276" w:lineRule="auto"/>
              <w:rPr>
                <w:rFonts w:asciiTheme="minorHAnsi" w:hAnsiTheme="minorHAnsi"/>
              </w:rPr>
            </w:pPr>
            <w:r>
              <w:rPr>
                <w:rFonts w:asciiTheme="minorHAnsi" w:hAnsiTheme="minorHAnsi"/>
              </w:rPr>
              <w:t>3,0</w:t>
            </w:r>
          </w:p>
          <w:p w:rsidR="002412CC" w:rsidRDefault="002412CC">
            <w:pPr>
              <w:tabs>
                <w:tab w:val="left" w:pos="9914"/>
              </w:tabs>
              <w:spacing w:line="276" w:lineRule="auto"/>
              <w:rPr>
                <w:rFonts w:asciiTheme="minorHAnsi" w:hAnsiTheme="minorHAnsi"/>
              </w:rPr>
            </w:pPr>
            <w:r>
              <w:rPr>
                <w:rFonts w:asciiTheme="minorHAnsi" w:hAnsiTheme="minorHAnsi"/>
              </w:rPr>
              <w:t>4,0</w:t>
            </w:r>
          </w:p>
          <w:p w:rsidR="002412CC" w:rsidRDefault="002412CC">
            <w:pPr>
              <w:tabs>
                <w:tab w:val="left" w:pos="9914"/>
              </w:tabs>
              <w:spacing w:line="276" w:lineRule="auto"/>
              <w:rPr>
                <w:rFonts w:asciiTheme="minorHAnsi" w:hAnsiTheme="minorHAnsi"/>
              </w:rPr>
            </w:pPr>
            <w:r>
              <w:rPr>
                <w:rFonts w:asciiTheme="minorHAnsi" w:hAnsiTheme="minorHAnsi"/>
              </w:rPr>
              <w:t>4,5</w:t>
            </w:r>
          </w:p>
          <w:p w:rsidR="002412CC" w:rsidRDefault="002412CC">
            <w:pPr>
              <w:tabs>
                <w:tab w:val="left" w:pos="9914"/>
              </w:tabs>
              <w:spacing w:line="276" w:lineRule="auto"/>
              <w:rPr>
                <w:rFonts w:asciiTheme="minorHAnsi" w:hAnsiTheme="minorHAnsi"/>
              </w:rPr>
            </w:pPr>
            <w:r>
              <w:rPr>
                <w:rFonts w:asciiTheme="minorHAnsi" w:hAnsiTheme="minorHAnsi"/>
              </w:rPr>
              <w:t>5,0</w:t>
            </w:r>
          </w:p>
          <w:p w:rsidR="002412CC" w:rsidRDefault="002412CC">
            <w:pPr>
              <w:widowControl w:val="0"/>
              <w:tabs>
                <w:tab w:val="left" w:pos="9914"/>
              </w:tabs>
              <w:spacing w:line="276" w:lineRule="auto"/>
              <w:rPr>
                <w:rFonts w:asciiTheme="minorHAnsi" w:hAnsiTheme="minorHAnsi"/>
              </w:rPr>
            </w:pPr>
            <w:r>
              <w:rPr>
                <w:rFonts w:asciiTheme="minorHAnsi" w:hAnsiTheme="minorHAnsi"/>
              </w:rPr>
              <w:t>6,0</w:t>
            </w:r>
          </w:p>
        </w:tc>
      </w:tr>
    </w:tbl>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Minimalne średnice trzpieni używane przy wykonywaniu haków zbrojenia</w:t>
      </w:r>
    </w:p>
    <w:tbl>
      <w:tblPr>
        <w:tblW w:w="0" w:type="auto"/>
        <w:tblInd w:w="156" w:type="dxa"/>
        <w:tblLayout w:type="fixed"/>
        <w:tblCellMar>
          <w:left w:w="156" w:type="dxa"/>
          <w:right w:w="156" w:type="dxa"/>
        </w:tblCellMar>
        <w:tblLook w:val="04A0"/>
      </w:tblPr>
      <w:tblGrid>
        <w:gridCol w:w="1790"/>
        <w:gridCol w:w="1814"/>
        <w:gridCol w:w="1814"/>
        <w:gridCol w:w="1870"/>
        <w:gridCol w:w="1758"/>
      </w:tblGrid>
      <w:tr w:rsidR="002412CC" w:rsidTr="002412CC">
        <w:trPr>
          <w:cantSplit/>
        </w:trPr>
        <w:tc>
          <w:tcPr>
            <w:tcW w:w="1790" w:type="dxa"/>
            <w:vMerge w:val="restart"/>
            <w:tcBorders>
              <w:top w:val="double" w:sz="4" w:space="0" w:color="000000"/>
              <w:left w:val="double" w:sz="4" w:space="0" w:color="000000"/>
              <w:bottom w:val="single" w:sz="6" w:space="0" w:color="FFFFFF"/>
              <w:right w:val="single" w:sz="8"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Średnica pręta zaginanego  [mm]</w:t>
            </w:r>
          </w:p>
        </w:tc>
        <w:tc>
          <w:tcPr>
            <w:tcW w:w="1814" w:type="dxa"/>
            <w:vMerge w:val="restart"/>
            <w:tcBorders>
              <w:top w:val="double" w:sz="4" w:space="0" w:color="000000"/>
              <w:left w:val="single" w:sz="8" w:space="0" w:color="000000"/>
              <w:bottom w:val="single" w:sz="6" w:space="0" w:color="FFFFFF"/>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Stal gładka miękka</w:t>
            </w:r>
          </w:p>
          <w:p w:rsidR="002412CC" w:rsidRDefault="002412CC">
            <w:pPr>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ak</w:t>
            </w:r>
            <w:r>
              <w:rPr>
                <w:rFonts w:asciiTheme="minorHAnsi" w:hAnsiTheme="minorHAnsi"/>
              </w:rPr>
              <w:t xml:space="preserve"> = 240</w:t>
            </w:r>
          </w:p>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[MPa] </w:t>
            </w:r>
          </w:p>
        </w:tc>
        <w:tc>
          <w:tcPr>
            <w:tcW w:w="5442" w:type="dxa"/>
            <w:gridSpan w:val="3"/>
            <w:tcBorders>
              <w:top w:val="double" w:sz="4" w:space="0" w:color="000000"/>
              <w:left w:val="single" w:sz="8" w:space="0" w:color="000000"/>
              <w:bottom w:val="single" w:sz="6" w:space="0" w:color="FFFFFF"/>
              <w:right w:val="double" w:sz="4" w:space="0" w:color="000000"/>
            </w:tcBorders>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Stal żebrowana</w:t>
            </w:r>
          </w:p>
        </w:tc>
      </w:tr>
      <w:tr w:rsidR="002412CC" w:rsidTr="002412CC">
        <w:trPr>
          <w:cantSplit/>
        </w:trPr>
        <w:tc>
          <w:tcPr>
            <w:tcW w:w="1790" w:type="dxa"/>
            <w:vMerge/>
            <w:tcBorders>
              <w:top w:val="double" w:sz="4" w:space="0" w:color="000000"/>
              <w:left w:val="double" w:sz="4" w:space="0" w:color="000000"/>
              <w:bottom w:val="single" w:sz="6" w:space="0" w:color="FFFFFF"/>
              <w:right w:val="single" w:sz="8" w:space="0" w:color="000000"/>
            </w:tcBorders>
            <w:vAlign w:val="center"/>
            <w:hideMark/>
          </w:tcPr>
          <w:p w:rsidR="002412CC" w:rsidRDefault="002412CC">
            <w:pPr>
              <w:autoSpaceDE/>
              <w:autoSpaceDN/>
              <w:adjustRightInd/>
              <w:rPr>
                <w:rFonts w:asciiTheme="minorHAnsi" w:hAnsiTheme="minorHAnsi"/>
              </w:rPr>
            </w:pPr>
          </w:p>
        </w:tc>
        <w:tc>
          <w:tcPr>
            <w:tcW w:w="1814" w:type="dxa"/>
            <w:vMerge/>
            <w:tcBorders>
              <w:top w:val="double" w:sz="4" w:space="0" w:color="000000"/>
              <w:left w:val="single" w:sz="8" w:space="0" w:color="000000"/>
              <w:bottom w:val="single" w:sz="6" w:space="0" w:color="FFFFFF"/>
              <w:right w:val="single" w:sz="8" w:space="0" w:color="000000"/>
            </w:tcBorders>
            <w:vAlign w:val="center"/>
            <w:hideMark/>
          </w:tcPr>
          <w:p w:rsidR="002412CC" w:rsidRDefault="002412CC">
            <w:pPr>
              <w:autoSpaceDE/>
              <w:autoSpaceDN/>
              <w:adjustRightInd/>
              <w:rPr>
                <w:rFonts w:asciiTheme="minorHAnsi" w:hAnsiTheme="minorHAnsi"/>
              </w:rPr>
            </w:pPr>
          </w:p>
        </w:tc>
        <w:tc>
          <w:tcPr>
            <w:tcW w:w="1814" w:type="dxa"/>
            <w:tcBorders>
              <w:top w:val="single" w:sz="8" w:space="0" w:color="000000"/>
              <w:left w:val="single" w:sz="8" w:space="0" w:color="000000"/>
              <w:bottom w:val="single" w:sz="6" w:space="0" w:color="FFFFFF"/>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ak</w:t>
            </w:r>
            <w:r>
              <w:rPr>
                <w:rFonts w:asciiTheme="minorHAnsi" w:hAnsiTheme="minorHAnsi" w:cs="Calibri"/>
              </w:rPr>
              <w:sym w:font="Times New Roman" w:char="F023"/>
            </w:r>
            <w:r>
              <w:rPr>
                <w:rFonts w:asciiTheme="minorHAnsi" w:hAnsiTheme="minorHAnsi" w:cs="Calibri"/>
              </w:rPr>
              <w:t xml:space="preserve"> 400</w:t>
            </w:r>
          </w:p>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[MPa] </w:t>
            </w:r>
          </w:p>
        </w:tc>
        <w:tc>
          <w:tcPr>
            <w:tcW w:w="1870" w:type="dxa"/>
            <w:tcBorders>
              <w:top w:val="single" w:sz="8" w:space="0" w:color="000000"/>
              <w:left w:val="single" w:sz="8" w:space="0" w:color="000000"/>
              <w:bottom w:val="single" w:sz="6" w:space="0" w:color="FFFFFF"/>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400 &lt; R</w:t>
            </w:r>
            <w:r>
              <w:rPr>
                <w:rFonts w:asciiTheme="minorHAnsi" w:hAnsiTheme="minorHAnsi"/>
                <w:vertAlign w:val="subscript"/>
              </w:rPr>
              <w:t>ak</w:t>
            </w:r>
            <w:r>
              <w:rPr>
                <w:rFonts w:asciiTheme="minorHAnsi" w:hAnsiTheme="minorHAnsi" w:cs="Calibri"/>
              </w:rPr>
              <w:sym w:font="Times New Roman" w:char="F023"/>
            </w:r>
            <w:r>
              <w:rPr>
                <w:rFonts w:asciiTheme="minorHAnsi" w:hAnsiTheme="minorHAnsi" w:cs="Calibri"/>
              </w:rPr>
              <w:t xml:space="preserve"> 500 </w:t>
            </w:r>
          </w:p>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[MPa] </w:t>
            </w:r>
          </w:p>
        </w:tc>
        <w:tc>
          <w:tcPr>
            <w:tcW w:w="1758" w:type="dxa"/>
            <w:tcBorders>
              <w:top w:val="single" w:sz="8" w:space="0" w:color="000000"/>
              <w:left w:val="single" w:sz="8" w:space="0" w:color="000000"/>
              <w:bottom w:val="single" w:sz="6" w:space="0" w:color="FFFFFF"/>
              <w:right w:val="double" w:sz="4"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R</w:t>
            </w:r>
            <w:r>
              <w:rPr>
                <w:rFonts w:asciiTheme="minorHAnsi" w:hAnsiTheme="minorHAnsi"/>
                <w:vertAlign w:val="subscript"/>
              </w:rPr>
              <w:t>ak</w:t>
            </w:r>
            <w:r>
              <w:rPr>
                <w:rFonts w:asciiTheme="minorHAnsi" w:hAnsiTheme="minorHAnsi"/>
              </w:rPr>
              <w:t>&gt; 500</w:t>
            </w:r>
          </w:p>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[MPa] </w:t>
            </w:r>
          </w:p>
        </w:tc>
      </w:tr>
      <w:tr w:rsidR="002412CC" w:rsidTr="002412CC">
        <w:tc>
          <w:tcPr>
            <w:tcW w:w="1790" w:type="dxa"/>
            <w:tcBorders>
              <w:top w:val="single" w:sz="8" w:space="0" w:color="000000"/>
              <w:left w:val="double" w:sz="4"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 xml:space="preserve">        d </w:t>
            </w:r>
            <w:r>
              <w:rPr>
                <w:rFonts w:asciiTheme="minorHAnsi" w:hAnsiTheme="minorHAnsi"/>
              </w:rPr>
              <w:sym w:font="Symbol" w:char="F0A3"/>
            </w:r>
            <w:r>
              <w:rPr>
                <w:rFonts w:asciiTheme="minorHAnsi" w:hAnsiTheme="minorHAnsi"/>
              </w:rPr>
              <w:t xml:space="preserve"> 10</w:t>
            </w:r>
          </w:p>
          <w:p w:rsidR="002412CC" w:rsidRDefault="002412CC">
            <w:pPr>
              <w:tabs>
                <w:tab w:val="left" w:pos="9914"/>
              </w:tabs>
              <w:spacing w:line="276" w:lineRule="auto"/>
              <w:rPr>
                <w:rFonts w:asciiTheme="minorHAnsi" w:hAnsiTheme="minorHAnsi"/>
              </w:rPr>
            </w:pPr>
            <w:r>
              <w:rPr>
                <w:rFonts w:asciiTheme="minorHAnsi" w:hAnsiTheme="minorHAnsi"/>
              </w:rPr>
              <w:t xml:space="preserve">10 &lt; d </w:t>
            </w:r>
            <w:r>
              <w:rPr>
                <w:rFonts w:asciiTheme="minorHAnsi" w:hAnsiTheme="minorHAnsi"/>
              </w:rPr>
              <w:sym w:font="Symbol" w:char="F0A3"/>
            </w:r>
            <w:r>
              <w:rPr>
                <w:rFonts w:asciiTheme="minorHAnsi" w:hAnsiTheme="minorHAnsi"/>
              </w:rPr>
              <w:t xml:space="preserve"> 20</w:t>
            </w:r>
          </w:p>
          <w:p w:rsidR="002412CC" w:rsidRDefault="002412CC">
            <w:pPr>
              <w:tabs>
                <w:tab w:val="left" w:pos="9914"/>
              </w:tabs>
              <w:spacing w:line="276" w:lineRule="auto"/>
              <w:rPr>
                <w:rFonts w:asciiTheme="minorHAnsi" w:hAnsiTheme="minorHAnsi"/>
              </w:rPr>
            </w:pPr>
            <w:r>
              <w:rPr>
                <w:rFonts w:asciiTheme="minorHAnsi" w:hAnsiTheme="minorHAnsi"/>
              </w:rPr>
              <w:t xml:space="preserve">20 &lt; d </w:t>
            </w:r>
            <w:r>
              <w:rPr>
                <w:rFonts w:asciiTheme="minorHAnsi" w:hAnsiTheme="minorHAnsi"/>
              </w:rPr>
              <w:sym w:font="Symbol" w:char="F0A3"/>
            </w:r>
            <w:r>
              <w:rPr>
                <w:rFonts w:asciiTheme="minorHAnsi" w:hAnsiTheme="minorHAnsi"/>
              </w:rPr>
              <w:t xml:space="preserve"> 28</w:t>
            </w:r>
          </w:p>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d &gt; 28</w:t>
            </w:r>
          </w:p>
        </w:tc>
        <w:tc>
          <w:tcPr>
            <w:tcW w:w="1814" w:type="dxa"/>
            <w:tcBorders>
              <w:top w:val="single" w:sz="8" w:space="0" w:color="000000"/>
              <w:left w:val="single" w:sz="8"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 xml:space="preserve">o </w:t>
            </w:r>
            <w:r>
              <w:rPr>
                <w:rFonts w:asciiTheme="minorHAnsi" w:hAnsiTheme="minorHAnsi"/>
              </w:rPr>
              <w:t>= 3d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4d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5d</w:t>
            </w:r>
          </w:p>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14" w:type="dxa"/>
            <w:tcBorders>
              <w:top w:val="single" w:sz="8" w:space="0" w:color="000000"/>
              <w:left w:val="single" w:sz="8"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 xml:space="preserve">o </w:t>
            </w:r>
            <w:r>
              <w:rPr>
                <w:rFonts w:asciiTheme="minorHAnsi" w:hAnsiTheme="minorHAnsi"/>
              </w:rPr>
              <w:t>= 3d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4d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6d</w:t>
            </w:r>
          </w:p>
          <w:p w:rsidR="002412CC" w:rsidRDefault="002412CC">
            <w:pPr>
              <w:widowControl w:val="0"/>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8d</w:t>
            </w:r>
          </w:p>
        </w:tc>
        <w:tc>
          <w:tcPr>
            <w:tcW w:w="1870" w:type="dxa"/>
            <w:tcBorders>
              <w:top w:val="single" w:sz="8" w:space="0" w:color="000000"/>
              <w:left w:val="single" w:sz="8" w:space="0" w:color="000000"/>
              <w:bottom w:val="double" w:sz="4" w:space="0" w:color="000000"/>
              <w:right w:val="single" w:sz="8"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 xml:space="preserve">o </w:t>
            </w:r>
            <w:r>
              <w:rPr>
                <w:rFonts w:asciiTheme="minorHAnsi" w:hAnsiTheme="minorHAnsi"/>
              </w:rPr>
              <w:t>= 4d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5d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7d</w:t>
            </w:r>
          </w:p>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758" w:type="dxa"/>
            <w:tcBorders>
              <w:top w:val="single" w:sz="8" w:space="0" w:color="000000"/>
              <w:left w:val="single" w:sz="8" w:space="0" w:color="000000"/>
              <w:bottom w:val="double" w:sz="4" w:space="0" w:color="000000"/>
              <w:right w:val="double" w:sz="4" w:space="0" w:color="000000"/>
            </w:tcBorders>
            <w:hideMark/>
          </w:tcPr>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 xml:space="preserve">o </w:t>
            </w:r>
            <w:r>
              <w:rPr>
                <w:rFonts w:asciiTheme="minorHAnsi" w:hAnsiTheme="minorHAnsi"/>
              </w:rPr>
              <w:t>= 4d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5d</w:t>
            </w:r>
          </w:p>
          <w:p w:rsidR="002412CC" w:rsidRDefault="002412CC">
            <w:pPr>
              <w:tabs>
                <w:tab w:val="left" w:pos="9914"/>
              </w:tabs>
              <w:spacing w:line="276" w:lineRule="auto"/>
              <w:rPr>
                <w:rFonts w:asciiTheme="minorHAnsi" w:hAnsiTheme="minorHAnsi"/>
              </w:rPr>
            </w:pPr>
            <w:r>
              <w:rPr>
                <w:rFonts w:asciiTheme="minorHAnsi" w:hAnsiTheme="minorHAnsi"/>
              </w:rPr>
              <w:t>d</w:t>
            </w:r>
            <w:r>
              <w:rPr>
                <w:rFonts w:asciiTheme="minorHAnsi" w:hAnsiTheme="minorHAnsi"/>
                <w:vertAlign w:val="subscript"/>
              </w:rPr>
              <w:t>o</w:t>
            </w:r>
            <w:r>
              <w:rPr>
                <w:rFonts w:asciiTheme="minorHAnsi" w:hAnsiTheme="minorHAnsi"/>
              </w:rPr>
              <w:t xml:space="preserve"> = 8d</w:t>
            </w:r>
          </w:p>
          <w:p w:rsidR="002412CC" w:rsidRDefault="002412CC">
            <w:pPr>
              <w:widowControl w:val="0"/>
              <w:tabs>
                <w:tab w:val="left" w:pos="9914"/>
              </w:tabs>
              <w:spacing w:line="276" w:lineRule="auto"/>
              <w:rPr>
                <w:rFonts w:asciiTheme="minorHAnsi" w:hAnsiTheme="minorHAnsi"/>
                <w:highlight w:val="yellow"/>
              </w:rPr>
            </w:pPr>
            <w:r>
              <w:rPr>
                <w:rFonts w:asciiTheme="minorHAnsi" w:hAnsiTheme="minorHAnsi"/>
              </w:rPr>
              <w:t>-</w:t>
            </w:r>
          </w:p>
        </w:tc>
      </w:tr>
    </w:tbl>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Wewnętrzna średnica odgięcia prętów zbrojenia głównego, poza odgięciem w obrębie haka powinna być nie mniejsza niż 5d dla stali A-I i nie mniejsza niż 10d dla stali A-II. W miejscach zagięć i załamań elementów konstrukcji, w których zagięciu ulegają jednocześnie wszystkie pręty zbrojenia rozciąganego należy stosować średnicę zagięcia równą co najmniej 20d.</w:t>
      </w:r>
    </w:p>
    <w:p w:rsidR="002412CC" w:rsidRDefault="002412CC" w:rsidP="002412CC">
      <w:pPr>
        <w:tabs>
          <w:tab w:val="left" w:pos="9914"/>
        </w:tabs>
        <w:rPr>
          <w:rFonts w:asciiTheme="minorHAnsi" w:hAnsiTheme="minorHAnsi"/>
        </w:rPr>
      </w:pPr>
      <w:r>
        <w:rPr>
          <w:rFonts w:asciiTheme="minorHAnsi" w:hAnsiTheme="minorHAnsi"/>
        </w:rPr>
        <w:t>Należy zwrócić uwagę przy odbiorze haków i odgięć na ich zewnętrzną stronę. Niedopuszczalne są tam pęknięcia powstałe podczas wyginania.</w:t>
      </w:r>
    </w:p>
    <w:p w:rsidR="002412CC" w:rsidRDefault="002412CC" w:rsidP="002412CC">
      <w:pPr>
        <w:tabs>
          <w:tab w:val="left" w:pos="9914"/>
        </w:tabs>
        <w:rPr>
          <w:rFonts w:asciiTheme="minorHAnsi" w:hAnsiTheme="minorHAnsi"/>
        </w:rPr>
      </w:pPr>
      <w:r>
        <w:rPr>
          <w:rFonts w:asciiTheme="minorHAnsi" w:hAnsiTheme="minorHAnsi"/>
        </w:rPr>
        <w:t>Minimalna odległość od krzywizny pręta do miejsca gdzie można na nim położyć spoinę wynosi 10 d.</w:t>
      </w:r>
    </w:p>
    <w:p w:rsidR="002412CC" w:rsidRDefault="002412CC" w:rsidP="002412CC">
      <w:pPr>
        <w:tabs>
          <w:tab w:val="left" w:pos="9914"/>
        </w:tabs>
        <w:rPr>
          <w:rFonts w:asciiTheme="minorHAnsi" w:hAnsiTheme="minorHAnsi"/>
        </w:rPr>
      </w:pPr>
      <w:r>
        <w:rPr>
          <w:rFonts w:asciiTheme="minorHAnsi" w:hAnsiTheme="minorHAnsi"/>
        </w:rPr>
        <w:t>Łączenie prętów należy wykonywać zgodnie z PN</w:t>
      </w:r>
      <w:r>
        <w:rPr>
          <w:rFonts w:asciiTheme="minorHAnsi" w:hAnsiTheme="minorHAnsi"/>
        </w:rPr>
        <w:noBreakHyphen/>
        <w:t>S</w:t>
      </w:r>
      <w:r>
        <w:rPr>
          <w:rFonts w:asciiTheme="minorHAnsi" w:hAnsiTheme="minorHAnsi"/>
        </w:rPr>
        <w:noBreakHyphen/>
        <w:t xml:space="preserve">10042. Do zgrzewania i spawania prętów mogą być dopuszczeni tylko spawacze mający odpowiednie uprawnienia. Skrzyżowania prętów należy wiązać miękkim drutem lub spawać w ilości min 30% skrzyżowań. </w:t>
      </w:r>
    </w:p>
    <w:p w:rsidR="002412CC" w:rsidRDefault="002412CC" w:rsidP="002412CC">
      <w:pPr>
        <w:tabs>
          <w:tab w:val="left" w:pos="9914"/>
        </w:tabs>
        <w:rPr>
          <w:rFonts w:asciiTheme="minorHAnsi" w:hAnsiTheme="minorHAnsi"/>
        </w:rPr>
      </w:pPr>
      <w:r>
        <w:rPr>
          <w:rFonts w:asciiTheme="minorHAnsi" w:hAnsiTheme="minorHAnsi"/>
        </w:rPr>
        <w:t>Dopuszcza się łączenie na zakład bez spawania (wiązanie drutem) prętów prostych, prętów z hakami oraz zbrojenia wykonanego z drutów w postaci pętlic. Metoda ta może być szczególnie stosowana w przypadku zastosowania stali klasy AIIIN lub AIII. Nie zaleca się łączenia prętów z ww. stali przez spawanie, gdyż bez zastosowania specjalnej technologii spawania złącza takie mogą być kruche.</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5.2.2</w:t>
      </w:r>
      <w:r>
        <w:rPr>
          <w:rFonts w:asciiTheme="minorHAnsi" w:hAnsiTheme="minorHAnsi"/>
        </w:rPr>
        <w:t>. Montaż zbrojenia</w:t>
      </w:r>
    </w:p>
    <w:p w:rsidR="002412CC" w:rsidRDefault="002412CC" w:rsidP="002412CC">
      <w:pPr>
        <w:tabs>
          <w:tab w:val="left" w:pos="9914"/>
        </w:tabs>
        <w:rPr>
          <w:rFonts w:asciiTheme="minorHAnsi" w:hAnsiTheme="minorHAnsi"/>
        </w:rPr>
      </w:pPr>
      <w:r>
        <w:rPr>
          <w:rFonts w:asciiTheme="minorHAnsi" w:hAnsiTheme="minorHAnsi"/>
        </w:rPr>
        <w:t>Zbrojenie przed zabetonowaniem powinno być skontrolowane i odebrane przez Inżyniera.</w:t>
      </w:r>
    </w:p>
    <w:p w:rsidR="002412CC" w:rsidRDefault="002412CC" w:rsidP="002412CC">
      <w:pPr>
        <w:tabs>
          <w:tab w:val="left" w:pos="9914"/>
        </w:tabs>
        <w:rPr>
          <w:rFonts w:asciiTheme="minorHAnsi" w:hAnsiTheme="minorHAnsi"/>
        </w:rPr>
      </w:pPr>
      <w:r>
        <w:rPr>
          <w:rFonts w:asciiTheme="minorHAnsi" w:hAnsiTheme="minorHAnsi"/>
        </w:rPr>
        <w:t>Montaż zbrojenia płyt należy wykonywać bezpośrednio na deskowaniu (blasze stalowej) lub na prefabrykacie wg naznaczonego rozstawu prętów. Montaż zbrojenia fundamentów (przyczółków) wykonać na podbetonie. Dla zachowania właściwej grubości otulenia prętów betonem należy stosować podkładki dystansowe z tworzywa sztucznego, betonu lub zaprawy cementowej. Stosowanie innych sposobów zapewnienia otuliny, a szczególnie podkładek z prętów stalowych jest niedopuszczalne.</w:t>
      </w:r>
    </w:p>
    <w:p w:rsidR="002412CC" w:rsidRDefault="002412CC" w:rsidP="002412CC">
      <w:pPr>
        <w:tabs>
          <w:tab w:val="left" w:pos="9914"/>
        </w:tabs>
        <w:rPr>
          <w:rFonts w:asciiTheme="minorHAnsi" w:hAnsiTheme="minorHAnsi"/>
        </w:rPr>
      </w:pPr>
      <w:r>
        <w:rPr>
          <w:rFonts w:asciiTheme="minorHAnsi" w:hAnsiTheme="minorHAnsi"/>
        </w:rPr>
        <w:lastRenderedPageBreak/>
        <w:t>Na wysokości ścian pionowych utrzymuje się konieczne otulenie za pomocą podkładek plastykowych pierścieniowych. Na dnie form powinny być stosowane podkładki dystansowe typu zatwierdzonego przez Inżyniera.</w:t>
      </w:r>
    </w:p>
    <w:p w:rsidR="002412CC" w:rsidRDefault="002412CC" w:rsidP="002412CC">
      <w:pPr>
        <w:tabs>
          <w:tab w:val="left" w:pos="9914"/>
        </w:tabs>
        <w:rPr>
          <w:rFonts w:asciiTheme="minorHAnsi" w:hAnsiTheme="minorHAnsi"/>
        </w:rPr>
      </w:pPr>
      <w:r>
        <w:rPr>
          <w:rFonts w:asciiTheme="minorHAnsi" w:hAnsiTheme="minorHAnsi"/>
        </w:rPr>
        <w:t>Szkielety zbrojenia powinny być, o ile możliwe, prefabrykowane na zewnątrz. W szkieletach tych węzły na przecięciach prętów powinny być połączone przez spawanie, zgrzewanie lub wiązanie na podwójny krzyż wyżarzonym drutem wiązałkowym o średnicy nie mniejszej niż 1,0 mm (przy średnicy prętów powyżej 12 mm o średnicy nie mniejszej niż 1,5 mm).</w:t>
      </w:r>
    </w:p>
    <w:p w:rsidR="002412CC" w:rsidRDefault="002412CC" w:rsidP="002412CC">
      <w:pPr>
        <w:tabs>
          <w:tab w:val="left" w:pos="9914"/>
        </w:tabs>
        <w:rPr>
          <w:rFonts w:asciiTheme="minorHAnsi" w:hAnsiTheme="minorHAnsi"/>
        </w:rPr>
      </w:pPr>
      <w:r>
        <w:rPr>
          <w:rFonts w:asciiTheme="minorHAnsi" w:hAnsiTheme="minorHAnsi"/>
        </w:rPr>
        <w:t>Do zbrojenia betonu należy stosować stal spawalną. Układ zbrojenia konstrukcji musi umożliwiać jego dokładne otoczenie przez jednorodny beton.</w:t>
      </w:r>
    </w:p>
    <w:p w:rsidR="002412CC" w:rsidRDefault="002412CC" w:rsidP="002412CC">
      <w:pPr>
        <w:tabs>
          <w:tab w:val="left" w:pos="9914"/>
        </w:tabs>
        <w:rPr>
          <w:rFonts w:asciiTheme="minorHAnsi" w:hAnsiTheme="minorHAnsi"/>
        </w:rPr>
      </w:pPr>
      <w:r>
        <w:rPr>
          <w:rFonts w:asciiTheme="minorHAnsi" w:hAnsiTheme="minorHAnsi"/>
        </w:rPr>
        <w:t>Po ułożeniu zbrojenia w deskowaniu, rozmieszczenie prętów względem siebie i względem deskowania nie może ulec zmianie.</w:t>
      </w:r>
    </w:p>
    <w:p w:rsidR="002412CC" w:rsidRDefault="002412CC" w:rsidP="002412CC">
      <w:pPr>
        <w:tabs>
          <w:tab w:val="left" w:pos="9914"/>
        </w:tabs>
        <w:rPr>
          <w:rFonts w:asciiTheme="minorHAnsi" w:hAnsiTheme="minorHAnsi"/>
        </w:rPr>
      </w:pPr>
      <w:r>
        <w:rPr>
          <w:rFonts w:asciiTheme="minorHAnsi" w:hAnsiTheme="minorHAnsi"/>
        </w:rPr>
        <w:t>Stal wbudowywana w zbrojenie powinna spełniać wymagania punktu 2 i punktu 5.2.1. niniejszej specyfikacji. Stan powierzchni wkładek stalowych ma być zadawalający bezpośrednio przed wbudowaniem.</w:t>
      </w:r>
    </w:p>
    <w:p w:rsidR="002412CC" w:rsidRDefault="002412CC" w:rsidP="002412CC">
      <w:pPr>
        <w:tabs>
          <w:tab w:val="left" w:pos="9914"/>
        </w:tabs>
        <w:rPr>
          <w:rFonts w:asciiTheme="minorHAnsi" w:hAnsiTheme="minorHAnsi"/>
        </w:rPr>
      </w:pPr>
      <w:r>
        <w:rPr>
          <w:rFonts w:asciiTheme="minorHAnsi" w:hAnsiTheme="minorHAnsi"/>
        </w:rPr>
        <w:t>Możliwe jest wykonanie zbrojenia z prętów o innej średnicy niż przewidziane w Dokumentacji Projektowej jak i zastosowanie innego gatunku stali. Zmiany te wymagają pisemnej zgody Inżyniera.</w:t>
      </w:r>
    </w:p>
    <w:p w:rsidR="002412CC" w:rsidRDefault="002412CC" w:rsidP="002412CC">
      <w:pPr>
        <w:tabs>
          <w:tab w:val="left" w:pos="9914"/>
        </w:tabs>
        <w:rPr>
          <w:rFonts w:asciiTheme="minorHAnsi" w:hAnsiTheme="minorHAnsi"/>
        </w:rPr>
      </w:pPr>
      <w:r>
        <w:rPr>
          <w:rFonts w:asciiTheme="minorHAnsi" w:hAnsiTheme="minorHAnsi"/>
        </w:rPr>
        <w:t>Rozstaw zbrojenia i średnice powinny być zgodne z PN-S-10042.</w:t>
      </w:r>
    </w:p>
    <w:p w:rsidR="002412CC" w:rsidRDefault="002412CC" w:rsidP="002412CC">
      <w:pPr>
        <w:tabs>
          <w:tab w:val="left" w:pos="9914"/>
        </w:tabs>
        <w:rPr>
          <w:rFonts w:asciiTheme="minorHAnsi" w:hAnsiTheme="minorHAnsi"/>
        </w:rPr>
      </w:pPr>
      <w:r>
        <w:rPr>
          <w:rFonts w:asciiTheme="minorHAnsi" w:hAnsiTheme="minorHAnsi"/>
        </w:rPr>
        <w:t>Minimalna grubość otuliny zewnętrznej w świetle prętów i powierzchni przekroju elementu żelbetowego powinna wynosić co najmniej:</w:t>
      </w:r>
    </w:p>
    <w:p w:rsidR="002412CC" w:rsidRDefault="002412CC" w:rsidP="002412CC">
      <w:pPr>
        <w:tabs>
          <w:tab w:val="left" w:pos="9914"/>
        </w:tabs>
        <w:rPr>
          <w:rFonts w:asciiTheme="minorHAnsi" w:hAnsiTheme="minorHAnsi"/>
        </w:rPr>
      </w:pPr>
      <w:r>
        <w:rPr>
          <w:rFonts w:asciiTheme="minorHAnsi" w:hAnsiTheme="minorHAnsi"/>
        </w:rPr>
        <w:t>0,07 m - dla zbrojenia głównego fundamentów i podpór masywnych,</w:t>
      </w:r>
    </w:p>
    <w:p w:rsidR="002412CC" w:rsidRDefault="002412CC" w:rsidP="002412CC">
      <w:pPr>
        <w:tabs>
          <w:tab w:val="left" w:pos="9914"/>
        </w:tabs>
        <w:rPr>
          <w:rFonts w:asciiTheme="minorHAnsi" w:hAnsiTheme="minorHAnsi"/>
        </w:rPr>
      </w:pPr>
      <w:r>
        <w:rPr>
          <w:rFonts w:asciiTheme="minorHAnsi" w:hAnsiTheme="minorHAnsi"/>
        </w:rPr>
        <w:t>0,055 m - dla strzemion fundamentów i podpór masywnych,</w:t>
      </w:r>
    </w:p>
    <w:p w:rsidR="002412CC" w:rsidRDefault="002412CC" w:rsidP="002412CC">
      <w:pPr>
        <w:tabs>
          <w:tab w:val="left" w:pos="9914"/>
        </w:tabs>
        <w:rPr>
          <w:rFonts w:asciiTheme="minorHAnsi" w:hAnsiTheme="minorHAnsi"/>
        </w:rPr>
      </w:pPr>
      <w:r>
        <w:rPr>
          <w:rFonts w:asciiTheme="minorHAnsi" w:hAnsiTheme="minorHAnsi"/>
        </w:rPr>
        <w:t>0,05 m - dla zbrojenia głównego lekkich podpór i pali,</w:t>
      </w:r>
    </w:p>
    <w:p w:rsidR="002412CC" w:rsidRDefault="002412CC" w:rsidP="002412CC">
      <w:pPr>
        <w:tabs>
          <w:tab w:val="left" w:pos="9914"/>
        </w:tabs>
        <w:rPr>
          <w:rFonts w:asciiTheme="minorHAnsi" w:hAnsiTheme="minorHAnsi"/>
        </w:rPr>
      </w:pPr>
      <w:r>
        <w:rPr>
          <w:rFonts w:asciiTheme="minorHAnsi" w:hAnsiTheme="minorHAnsi"/>
        </w:rPr>
        <w:t>0,04 m - dla strzemion lekkich podpór i pali,</w:t>
      </w:r>
    </w:p>
    <w:p w:rsidR="002412CC" w:rsidRDefault="002412CC" w:rsidP="002412CC">
      <w:pPr>
        <w:tabs>
          <w:tab w:val="left" w:pos="9914"/>
        </w:tabs>
        <w:rPr>
          <w:rFonts w:asciiTheme="minorHAnsi" w:hAnsiTheme="minorHAnsi"/>
        </w:rPr>
      </w:pPr>
      <w:r>
        <w:rPr>
          <w:rFonts w:asciiTheme="minorHAnsi" w:hAnsiTheme="minorHAnsi"/>
        </w:rPr>
        <w:t>0,03 m – dla zbrojenia głównego dźwigarów,</w:t>
      </w:r>
    </w:p>
    <w:p w:rsidR="002412CC" w:rsidRDefault="002412CC" w:rsidP="002412CC">
      <w:pPr>
        <w:tabs>
          <w:tab w:val="left" w:pos="9914"/>
        </w:tabs>
        <w:rPr>
          <w:rFonts w:asciiTheme="minorHAnsi" w:hAnsiTheme="minorHAnsi"/>
        </w:rPr>
      </w:pPr>
      <w:r>
        <w:rPr>
          <w:rFonts w:asciiTheme="minorHAnsi" w:hAnsiTheme="minorHAnsi"/>
        </w:rPr>
        <w:t>0,025 m - dla strzemion dźwigarów głównych i zbrojenia płyt pomostów.</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Układanie zbrojenia bezpośrednio na podłożu (deskowaniu) i podnoszenie na odpowiednią wysokość w trakcie betonowania jest niedopuszczalne.</w:t>
      </w:r>
    </w:p>
    <w:p w:rsidR="002412CC" w:rsidRDefault="002412CC" w:rsidP="002412CC">
      <w:pPr>
        <w:tabs>
          <w:tab w:val="left" w:pos="9914"/>
        </w:tabs>
        <w:rPr>
          <w:rFonts w:asciiTheme="minorHAnsi" w:hAnsiTheme="minorHAnsi"/>
        </w:rPr>
      </w:pPr>
      <w:r>
        <w:rPr>
          <w:rFonts w:asciiTheme="minorHAnsi" w:hAnsiTheme="minorHAnsi"/>
        </w:rPr>
        <w:t>Chodzenie i transportowanie materiałów po wykonanym szkielecie zbrojeniowym jest niedopuszczalne.</w:t>
      </w:r>
    </w:p>
    <w:p w:rsidR="002412CC" w:rsidRDefault="002412CC" w:rsidP="002412CC">
      <w:pPr>
        <w:tabs>
          <w:tab w:val="left" w:pos="9914"/>
        </w:tabs>
        <w:rPr>
          <w:rFonts w:asciiTheme="minorHAnsi" w:hAnsiTheme="minorHAnsi"/>
        </w:rPr>
      </w:pPr>
      <w:r>
        <w:rPr>
          <w:rFonts w:asciiTheme="minorHAnsi" w:hAnsiTheme="minorHAnsi"/>
        </w:rPr>
        <w:t>5.2.2.1. Łączenie prętów za pomocą spawania.</w:t>
      </w:r>
    </w:p>
    <w:p w:rsidR="002412CC" w:rsidRDefault="002412CC" w:rsidP="002412CC">
      <w:pPr>
        <w:tabs>
          <w:tab w:val="left" w:pos="9914"/>
        </w:tabs>
        <w:rPr>
          <w:rFonts w:asciiTheme="minorHAnsi" w:hAnsiTheme="minorHAnsi"/>
        </w:rPr>
      </w:pPr>
      <w:r>
        <w:rPr>
          <w:rFonts w:asciiTheme="minorHAnsi" w:hAnsiTheme="minorHAnsi"/>
        </w:rPr>
        <w:t>Dopuszcza się następujące rodzaje spawanych połączeń prętów:</w:t>
      </w:r>
    </w:p>
    <w:p w:rsidR="002412CC" w:rsidRDefault="002412CC" w:rsidP="002412CC">
      <w:pPr>
        <w:tabs>
          <w:tab w:val="left" w:pos="9914"/>
        </w:tabs>
        <w:rPr>
          <w:rStyle w:val="minus"/>
        </w:rPr>
      </w:pPr>
      <w:r>
        <w:rPr>
          <w:rFonts w:asciiTheme="minorHAnsi" w:hAnsiTheme="minorHAnsi"/>
        </w:rPr>
        <w:t xml:space="preserve">czołowe, elektryczne, oporowe, </w:t>
      </w:r>
      <w:r>
        <w:rPr>
          <w:rStyle w:val="minus"/>
          <w:rFonts w:asciiTheme="minorHAnsi" w:hAnsiTheme="minorHAnsi"/>
        </w:rPr>
        <w:t>nakładkowe spoiny dwustronne</w:t>
      </w:r>
    </w:p>
    <w:p w:rsidR="002412CC" w:rsidRDefault="002412CC" w:rsidP="002412CC">
      <w:pPr>
        <w:tabs>
          <w:tab w:val="left" w:pos="9914"/>
        </w:tabs>
        <w:rPr>
          <w:rStyle w:val="minus"/>
          <w:rFonts w:asciiTheme="minorHAnsi" w:hAnsiTheme="minorHAnsi"/>
        </w:rPr>
      </w:pPr>
      <w:r>
        <w:rPr>
          <w:rStyle w:val="minus"/>
          <w:rFonts w:asciiTheme="minorHAnsi" w:hAnsiTheme="minorHAnsi"/>
        </w:rPr>
        <w:t>- łukiem elektrycznym, nakładkowe spoiny jednostronne</w:t>
      </w:r>
    </w:p>
    <w:p w:rsidR="002412CC" w:rsidRDefault="002412CC" w:rsidP="002412CC">
      <w:pPr>
        <w:tabs>
          <w:tab w:val="left" w:pos="9914"/>
        </w:tabs>
        <w:rPr>
          <w:rStyle w:val="minus"/>
          <w:rFonts w:asciiTheme="minorHAnsi" w:hAnsiTheme="minorHAnsi"/>
        </w:rPr>
      </w:pPr>
      <w:r>
        <w:rPr>
          <w:rStyle w:val="minus"/>
          <w:rFonts w:asciiTheme="minorHAnsi" w:hAnsiTheme="minorHAnsi"/>
        </w:rPr>
        <w:t>- łukiem elektrycznym, zakładkowe spoiny dwustronne</w:t>
      </w:r>
    </w:p>
    <w:p w:rsidR="002412CC" w:rsidRDefault="002412CC" w:rsidP="002412CC">
      <w:pPr>
        <w:tabs>
          <w:tab w:val="left" w:pos="9914"/>
        </w:tabs>
        <w:rPr>
          <w:rStyle w:val="minus"/>
          <w:rFonts w:asciiTheme="minorHAnsi" w:hAnsiTheme="minorHAnsi"/>
        </w:rPr>
      </w:pPr>
      <w:r>
        <w:rPr>
          <w:rStyle w:val="minus"/>
          <w:rFonts w:asciiTheme="minorHAnsi" w:hAnsiTheme="minorHAnsi"/>
        </w:rPr>
        <w:t>- łukiem elektrycznym, zakładkowe spoiny jednostronne</w:t>
      </w:r>
    </w:p>
    <w:p w:rsidR="002412CC" w:rsidRDefault="002412CC" w:rsidP="002412CC">
      <w:pPr>
        <w:tabs>
          <w:tab w:val="left" w:pos="9914"/>
        </w:tabs>
      </w:pPr>
      <w:r>
        <w:rPr>
          <w:rStyle w:val="minus"/>
          <w:rFonts w:asciiTheme="minorHAnsi" w:hAnsiTheme="minorHAnsi"/>
        </w:rPr>
        <w:t>- łukiem elektrycznym, czołowe wzmocnione spoinami bocznymi z blachą półkolistą, czołowe wzmocnione jednostronną spoiną z płaskownikiem, czołowe wzmocnione dwustronną spoiną z płaskownikiem, zakładkowe wzmocnione jednostronną spoiną z płaskownikiem,</w:t>
      </w:r>
    </w:p>
    <w:p w:rsidR="002412CC" w:rsidRDefault="002412CC" w:rsidP="002412CC">
      <w:pPr>
        <w:tabs>
          <w:tab w:val="left" w:pos="9914"/>
        </w:tabs>
        <w:rPr>
          <w:rFonts w:asciiTheme="minorHAnsi" w:hAnsiTheme="minorHAnsi"/>
        </w:rPr>
      </w:pPr>
      <w:r>
        <w:rPr>
          <w:rFonts w:asciiTheme="minorHAnsi" w:hAnsiTheme="minorHAnsi"/>
        </w:rPr>
        <w:t>Nie należy spawać prętów zbrojeniowych w temperaturze niższej niż –5ºC.</w:t>
      </w:r>
    </w:p>
    <w:p w:rsidR="002412CC" w:rsidRDefault="002412CC" w:rsidP="002412CC">
      <w:pPr>
        <w:tabs>
          <w:tab w:val="left" w:pos="9914"/>
        </w:tabs>
        <w:rPr>
          <w:rFonts w:asciiTheme="minorHAnsi" w:hAnsiTheme="minorHAnsi"/>
        </w:rPr>
      </w:pPr>
      <w:r>
        <w:rPr>
          <w:rFonts w:asciiTheme="minorHAnsi" w:hAnsiTheme="minorHAnsi"/>
        </w:rPr>
        <w:t>Po uzyskaniu akceptacji Projektanta i Inżyniera dopuszcza się zastosowanie stali o wyższej wytrzymałości np. klasy AIII lub A-IIIN. Nie zaleca się łączenia prętów z ww. stali przez spawanie, gdyż bez zastosowania specjalnej technologii spawania złącza takie są kruche.</w:t>
      </w:r>
    </w:p>
    <w:p w:rsidR="002412CC" w:rsidRDefault="002412CC" w:rsidP="002412CC">
      <w:pPr>
        <w:tabs>
          <w:tab w:val="left" w:pos="9914"/>
        </w:tabs>
        <w:rPr>
          <w:rFonts w:asciiTheme="minorHAnsi" w:hAnsiTheme="minorHAnsi"/>
          <w:b/>
          <w:i/>
          <w:u w:val="single"/>
        </w:rPr>
      </w:pPr>
    </w:p>
    <w:p w:rsidR="002412CC" w:rsidRDefault="002412CC" w:rsidP="002412CC">
      <w:pPr>
        <w:tabs>
          <w:tab w:val="left" w:pos="9914"/>
        </w:tabs>
        <w:rPr>
          <w:rFonts w:asciiTheme="minorHAnsi" w:hAnsiTheme="minorHAnsi"/>
        </w:rPr>
      </w:pPr>
      <w:r>
        <w:rPr>
          <w:rFonts w:asciiTheme="minorHAnsi" w:hAnsiTheme="minorHAnsi"/>
        </w:rPr>
        <w:t>5.2.2.2. Łączenie prętów na zakład bez spawania.</w:t>
      </w:r>
    </w:p>
    <w:p w:rsidR="002412CC" w:rsidRDefault="002412CC" w:rsidP="002412CC">
      <w:pPr>
        <w:tabs>
          <w:tab w:val="left" w:pos="9914"/>
        </w:tabs>
        <w:rPr>
          <w:rFonts w:asciiTheme="minorHAnsi" w:hAnsiTheme="minorHAnsi"/>
        </w:rPr>
      </w:pPr>
      <w:r>
        <w:rPr>
          <w:rFonts w:asciiTheme="minorHAnsi" w:hAnsiTheme="minorHAnsi"/>
        </w:rPr>
        <w:t xml:space="preserve">Dopuszcza się łączenie na zakład bez spawania (wiązanie drutem) pojedynczych prętów prostych, prętów z hakami oraz zbrojenia wykonanego z drutów w postaci pętlic. Długości zakładów w połączeniach zbrojenia należy obliczać w zależności od ilości łączonych prętów w przekroju oraz ich wymaganej długości kotwienia wg normy PN-S-10042 p.12.8.. </w:t>
      </w:r>
    </w:p>
    <w:p w:rsidR="002412CC" w:rsidRDefault="002412CC" w:rsidP="002412CC">
      <w:pPr>
        <w:tabs>
          <w:tab w:val="left" w:pos="9914"/>
        </w:tabs>
        <w:rPr>
          <w:rFonts w:asciiTheme="minorHAnsi" w:hAnsiTheme="minorHAnsi"/>
        </w:rPr>
      </w:pPr>
      <w:r>
        <w:rPr>
          <w:rFonts w:asciiTheme="minorHAnsi" w:hAnsiTheme="minorHAnsi"/>
        </w:rPr>
        <w:t>Dopuszczalny procent prętów łączonych na zakład w jednym przekroju nie może być większy niż:</w:t>
      </w:r>
    </w:p>
    <w:p w:rsidR="002412CC" w:rsidRDefault="002412CC" w:rsidP="002412CC">
      <w:pPr>
        <w:tabs>
          <w:tab w:val="left" w:pos="9914"/>
        </w:tabs>
        <w:rPr>
          <w:rFonts w:asciiTheme="minorHAnsi" w:hAnsiTheme="minorHAnsi"/>
        </w:rPr>
      </w:pPr>
      <w:r>
        <w:rPr>
          <w:rFonts w:asciiTheme="minorHAnsi" w:hAnsiTheme="minorHAnsi"/>
        </w:rPr>
        <w:t>dla prętów żebrowanych  50%,</w:t>
      </w:r>
    </w:p>
    <w:p w:rsidR="002412CC" w:rsidRDefault="002412CC" w:rsidP="002412CC">
      <w:pPr>
        <w:tabs>
          <w:tab w:val="left" w:pos="9914"/>
        </w:tabs>
        <w:rPr>
          <w:rFonts w:asciiTheme="minorHAnsi" w:hAnsiTheme="minorHAnsi"/>
        </w:rPr>
      </w:pPr>
      <w:r>
        <w:rPr>
          <w:rFonts w:asciiTheme="minorHAnsi" w:hAnsiTheme="minorHAnsi"/>
        </w:rPr>
        <w:t>dla prętów gładkich  25%.</w:t>
      </w:r>
    </w:p>
    <w:p w:rsidR="002412CC" w:rsidRDefault="002412CC" w:rsidP="002412CC">
      <w:pPr>
        <w:tabs>
          <w:tab w:val="left" w:pos="9914"/>
        </w:tabs>
        <w:rPr>
          <w:rFonts w:asciiTheme="minorHAnsi" w:hAnsiTheme="minorHAnsi"/>
        </w:rPr>
      </w:pPr>
      <w:r>
        <w:rPr>
          <w:rFonts w:asciiTheme="minorHAnsi" w:hAnsiTheme="minorHAnsi"/>
        </w:rPr>
        <w:t>W jednym przekroju można łączyć na zakład bez spawania 100% dodatkowego zbrojenia poprzecznego, niepracującego. Odległość w świetle prętów łączonych w jednym przekroju nie powinna być mniejsza niż 2d i niż 20mm.</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lastRenderedPageBreak/>
        <w:t>5.2.2.3. Kotwienie prętów.</w:t>
      </w:r>
    </w:p>
    <w:p w:rsidR="002412CC" w:rsidRDefault="002412CC" w:rsidP="002412CC">
      <w:pPr>
        <w:tabs>
          <w:tab w:val="left" w:pos="9914"/>
        </w:tabs>
        <w:rPr>
          <w:rFonts w:asciiTheme="minorHAnsi" w:hAnsiTheme="minorHAnsi"/>
        </w:rPr>
      </w:pPr>
      <w:r>
        <w:rPr>
          <w:rFonts w:asciiTheme="minorHAnsi" w:hAnsiTheme="minorHAnsi"/>
        </w:rPr>
        <w:t xml:space="preserve">Rodzaje i długości kotwienia prętów w betonie w zależności od rodzaju stali i klasy betonu należy obliczać wg normy PN-S-10042  p. 12.6. </w:t>
      </w:r>
    </w:p>
    <w:p w:rsidR="002412CC" w:rsidRDefault="002412CC" w:rsidP="002412CC">
      <w:pPr>
        <w:tabs>
          <w:tab w:val="left" w:pos="9914"/>
        </w:tabs>
        <w:rPr>
          <w:rFonts w:asciiTheme="minorHAnsi" w:hAnsiTheme="minorHAnsi"/>
        </w:rPr>
      </w:pPr>
      <w:r>
        <w:rPr>
          <w:rFonts w:asciiTheme="minorHAnsi" w:hAnsiTheme="minorHAnsi"/>
        </w:rPr>
        <w:t>Minimalne długości kotwienia prętów prostych bez haków przyjmuje się:</w:t>
      </w:r>
    </w:p>
    <w:p w:rsidR="002412CC" w:rsidRDefault="002412CC" w:rsidP="002412CC">
      <w:pPr>
        <w:tabs>
          <w:tab w:val="left" w:pos="9914"/>
        </w:tabs>
        <w:rPr>
          <w:rFonts w:asciiTheme="minorHAnsi" w:hAnsiTheme="minorHAnsi"/>
        </w:rPr>
      </w:pPr>
      <w:r>
        <w:rPr>
          <w:rFonts w:asciiTheme="minorHAnsi" w:hAnsiTheme="minorHAnsi"/>
        </w:rPr>
        <w:t>dla prętów gładkich ściskanych – 30 d</w:t>
      </w:r>
    </w:p>
    <w:p w:rsidR="002412CC" w:rsidRDefault="002412CC" w:rsidP="002412CC">
      <w:pPr>
        <w:tabs>
          <w:tab w:val="left" w:pos="9914"/>
        </w:tabs>
        <w:rPr>
          <w:rFonts w:asciiTheme="minorHAnsi" w:hAnsiTheme="minorHAnsi"/>
        </w:rPr>
      </w:pPr>
      <w:r>
        <w:rPr>
          <w:rFonts w:asciiTheme="minorHAnsi" w:hAnsiTheme="minorHAnsi"/>
        </w:rPr>
        <w:t>dla prętów żebrowanych ściskanych – 25 d</w:t>
      </w:r>
    </w:p>
    <w:p w:rsidR="002412CC" w:rsidRDefault="002412CC" w:rsidP="002412CC">
      <w:pPr>
        <w:tabs>
          <w:tab w:val="left" w:pos="9914"/>
        </w:tabs>
        <w:rPr>
          <w:rFonts w:asciiTheme="minorHAnsi" w:hAnsiTheme="minorHAnsi"/>
        </w:rPr>
      </w:pPr>
      <w:r>
        <w:rPr>
          <w:rFonts w:asciiTheme="minorHAnsi" w:hAnsiTheme="minorHAnsi"/>
        </w:rPr>
        <w:t>dla prętów gładkich rozciąganych – 50 d</w:t>
      </w:r>
    </w:p>
    <w:p w:rsidR="002412CC" w:rsidRDefault="002412CC" w:rsidP="002412CC">
      <w:pPr>
        <w:tabs>
          <w:tab w:val="left" w:pos="9914"/>
        </w:tabs>
        <w:rPr>
          <w:rFonts w:asciiTheme="minorHAnsi" w:hAnsiTheme="minorHAnsi"/>
        </w:rPr>
      </w:pPr>
      <w:r>
        <w:rPr>
          <w:rFonts w:asciiTheme="minorHAnsi" w:hAnsiTheme="minorHAnsi"/>
        </w:rPr>
        <w:t>dla prętów żebrowanych rozciąganych – 40 d</w:t>
      </w:r>
    </w:p>
    <w:p w:rsidR="002412CC" w:rsidRDefault="002412CC" w:rsidP="002412CC">
      <w:pPr>
        <w:tabs>
          <w:tab w:val="left" w:pos="9914"/>
        </w:tabs>
        <w:rPr>
          <w:rFonts w:asciiTheme="minorHAnsi" w:hAnsiTheme="minorHAnsi"/>
        </w:rPr>
      </w:pPr>
      <w:r>
        <w:rPr>
          <w:rFonts w:asciiTheme="minorHAnsi" w:hAnsiTheme="minorHAnsi"/>
        </w:rPr>
        <w:t>Minimalne długości kotwienia prętów klasy A-I przed hakami i odgięciami przyjmuje się:</w:t>
      </w:r>
    </w:p>
    <w:p w:rsidR="002412CC" w:rsidRDefault="002412CC" w:rsidP="002412CC">
      <w:pPr>
        <w:tabs>
          <w:tab w:val="left" w:pos="9914"/>
        </w:tabs>
        <w:rPr>
          <w:rFonts w:asciiTheme="minorHAnsi" w:hAnsiTheme="minorHAnsi"/>
        </w:rPr>
      </w:pPr>
      <w:r>
        <w:rPr>
          <w:rFonts w:asciiTheme="minorHAnsi" w:hAnsiTheme="minorHAnsi"/>
        </w:rPr>
        <w:t>dla prętów ściskanych – 20 d</w:t>
      </w:r>
    </w:p>
    <w:p w:rsidR="002412CC" w:rsidRDefault="002412CC" w:rsidP="002412CC">
      <w:pPr>
        <w:tabs>
          <w:tab w:val="left" w:pos="9914"/>
        </w:tabs>
        <w:rPr>
          <w:rFonts w:asciiTheme="minorHAnsi" w:hAnsiTheme="minorHAnsi"/>
        </w:rPr>
      </w:pPr>
      <w:r>
        <w:rPr>
          <w:rFonts w:asciiTheme="minorHAnsi" w:hAnsiTheme="minorHAnsi"/>
        </w:rPr>
        <w:t>dla prętów rozciąganych ze stali kl. AI – 30 d</w:t>
      </w:r>
    </w:p>
    <w:p w:rsidR="002412CC" w:rsidRDefault="002412CC" w:rsidP="002412CC">
      <w:pPr>
        <w:tabs>
          <w:tab w:val="left" w:pos="9914"/>
        </w:tabs>
        <w:rPr>
          <w:rFonts w:asciiTheme="minorHAnsi" w:hAnsiTheme="minorHAnsi"/>
        </w:rPr>
      </w:pPr>
      <w:r>
        <w:rPr>
          <w:rFonts w:asciiTheme="minorHAnsi" w:hAnsiTheme="minorHAnsi"/>
        </w:rPr>
        <w:t>Minimalne długości kotwienia prętów klasy A-II przed hakami i odgięciami przyjmuje się:</w:t>
      </w:r>
    </w:p>
    <w:p w:rsidR="002412CC" w:rsidRDefault="002412CC" w:rsidP="002412CC">
      <w:pPr>
        <w:tabs>
          <w:tab w:val="left" w:pos="9914"/>
        </w:tabs>
        <w:rPr>
          <w:rFonts w:asciiTheme="minorHAnsi" w:hAnsiTheme="minorHAnsi"/>
        </w:rPr>
      </w:pPr>
      <w:r>
        <w:rPr>
          <w:rFonts w:asciiTheme="minorHAnsi" w:hAnsiTheme="minorHAnsi"/>
        </w:rPr>
        <w:t>dla prętów ściskanych – 20 d</w:t>
      </w:r>
    </w:p>
    <w:p w:rsidR="002412CC" w:rsidRDefault="002412CC" w:rsidP="002412CC">
      <w:pPr>
        <w:tabs>
          <w:tab w:val="left" w:pos="9914"/>
        </w:tabs>
        <w:rPr>
          <w:rFonts w:asciiTheme="minorHAnsi" w:hAnsiTheme="minorHAnsi"/>
        </w:rPr>
      </w:pPr>
      <w:r>
        <w:rPr>
          <w:rFonts w:asciiTheme="minorHAnsi" w:hAnsiTheme="minorHAnsi"/>
        </w:rPr>
        <w:t>dla prętów rozciąganych – 25 d</w:t>
      </w:r>
    </w:p>
    <w:p w:rsidR="002412CC" w:rsidRDefault="002412CC" w:rsidP="002412CC">
      <w:pPr>
        <w:tabs>
          <w:tab w:val="left" w:pos="9914"/>
        </w:tabs>
        <w:rPr>
          <w:rFonts w:asciiTheme="minorHAnsi" w:hAnsiTheme="minorHAnsi"/>
        </w:rPr>
      </w:pPr>
      <w:r>
        <w:rPr>
          <w:rFonts w:asciiTheme="minorHAnsi" w:hAnsiTheme="minorHAnsi"/>
        </w:rPr>
        <w:t xml:space="preserve">Przy połączeniach prętów z istniejącym murem stosować metodę wklejania w wykonany otwór poprzez nawiert. Pręty zgodnie z dokumentacją projektową kotwić w murze na głębokość min. 20cm. Do wklejania prętów stosaować zaczyn cementowy . </w:t>
      </w:r>
    </w:p>
    <w:p w:rsidR="002412CC" w:rsidRDefault="002412CC" w:rsidP="002412CC">
      <w:pPr>
        <w:pStyle w:val="Nagwek4"/>
        <w:tabs>
          <w:tab w:val="left" w:pos="9914"/>
        </w:tabs>
        <w:rPr>
          <w:rFonts w:asciiTheme="minorHAnsi" w:hAnsiTheme="minorHAnsi"/>
        </w:rPr>
      </w:pPr>
      <w:r>
        <w:t>5.3. Kotwy talerzowe</w:t>
      </w:r>
    </w:p>
    <w:p w:rsidR="002412CC" w:rsidRDefault="002412CC" w:rsidP="002412CC">
      <w:pPr>
        <w:tabs>
          <w:tab w:val="left" w:pos="9914"/>
        </w:tabs>
        <w:rPr>
          <w:rFonts w:asciiTheme="minorHAnsi" w:hAnsiTheme="minorHAnsi"/>
        </w:rPr>
      </w:pPr>
      <w:r>
        <w:rPr>
          <w:rFonts w:asciiTheme="minorHAnsi" w:hAnsiTheme="minorHAnsi"/>
        </w:rPr>
        <w:t>W celu zwiększenia stabiliności kap chodnikowych należy w deskowaniu płyty osadzić dolne części kotew talerzowych, Górne części kotew wkręcić przed montażem zbrojenia kap.</w:t>
      </w:r>
    </w:p>
    <w:p w:rsidR="002412CC" w:rsidRPr="00E5206A" w:rsidRDefault="002412CC" w:rsidP="00E5206A">
      <w:pPr>
        <w:pStyle w:val="Nagwek3"/>
      </w:pPr>
      <w:r w:rsidRPr="00E5206A">
        <w:t>6. Kontrola jakości robót</w:t>
      </w:r>
    </w:p>
    <w:p w:rsidR="002412CC" w:rsidRDefault="002412CC" w:rsidP="002412CC">
      <w:pPr>
        <w:tabs>
          <w:tab w:val="left" w:pos="9914"/>
        </w:tabs>
        <w:rPr>
          <w:rFonts w:asciiTheme="minorHAnsi" w:hAnsiTheme="minorHAnsi"/>
        </w:rPr>
      </w:pPr>
      <w:r>
        <w:rPr>
          <w:rFonts w:asciiTheme="minorHAnsi" w:hAnsiTheme="minorHAnsi"/>
        </w:rPr>
        <w:t>Ogólne zasady kontroli jakości robót podano w STWiORB D-M.00.00.00 "Wymagania ogólne" pkt 6.</w:t>
      </w:r>
    </w:p>
    <w:p w:rsidR="002412CC" w:rsidRDefault="002412CC" w:rsidP="002412CC">
      <w:pPr>
        <w:pStyle w:val="Nagwek4"/>
        <w:tabs>
          <w:tab w:val="left" w:pos="9914"/>
        </w:tabs>
        <w:rPr>
          <w:rFonts w:asciiTheme="minorHAnsi" w:hAnsiTheme="minorHAnsi"/>
        </w:rPr>
      </w:pPr>
      <w:r>
        <w:t>6.1. Kontrola zbrojenia, przed przystąpieniem do betonowania.</w:t>
      </w:r>
    </w:p>
    <w:p w:rsidR="002412CC" w:rsidRDefault="002412CC" w:rsidP="002412CC">
      <w:pPr>
        <w:tabs>
          <w:tab w:val="left" w:pos="9914"/>
        </w:tabs>
        <w:rPr>
          <w:rFonts w:asciiTheme="minorHAnsi" w:hAnsiTheme="minorHAnsi"/>
        </w:rPr>
      </w:pPr>
      <w:r>
        <w:rPr>
          <w:rFonts w:asciiTheme="minorHAnsi" w:hAnsiTheme="minorHAnsi"/>
        </w:rPr>
        <w:t>Kontrola zbrojenia, przed przystąpieniem do betonowania musi być dokonana przez Inżyniera i fakt ten potwierdzony wpisem do Dziennika Budowy. Inżynier winien stwierdzić zgodność ułożonego zbrojenia z Dokumentacją Projektową i odpowiednimi normami.</w:t>
      </w:r>
    </w:p>
    <w:p w:rsidR="002412CC" w:rsidRDefault="002412CC" w:rsidP="002412CC">
      <w:pPr>
        <w:tabs>
          <w:tab w:val="left" w:pos="9914"/>
        </w:tabs>
        <w:rPr>
          <w:rFonts w:asciiTheme="minorHAnsi" w:hAnsiTheme="minorHAnsi"/>
        </w:rPr>
      </w:pPr>
      <w:r>
        <w:rPr>
          <w:rFonts w:asciiTheme="minorHAnsi" w:hAnsiTheme="minorHAnsi"/>
        </w:rPr>
        <w:t>Przedmiotem sprawdzenia powinny być:</w:t>
      </w:r>
    </w:p>
    <w:p w:rsidR="002412CC" w:rsidRDefault="002412CC" w:rsidP="002412CC">
      <w:pPr>
        <w:tabs>
          <w:tab w:val="left" w:pos="9914"/>
        </w:tabs>
        <w:rPr>
          <w:rFonts w:asciiTheme="minorHAnsi" w:hAnsiTheme="minorHAnsi"/>
        </w:rPr>
      </w:pPr>
      <w:r>
        <w:rPr>
          <w:rFonts w:asciiTheme="minorHAnsi" w:hAnsiTheme="minorHAnsi"/>
        </w:rPr>
        <w:t xml:space="preserve">średnice i ilość prętów, </w:t>
      </w:r>
    </w:p>
    <w:p w:rsidR="002412CC" w:rsidRDefault="002412CC" w:rsidP="002412CC">
      <w:pPr>
        <w:tabs>
          <w:tab w:val="left" w:pos="9914"/>
        </w:tabs>
        <w:rPr>
          <w:rFonts w:asciiTheme="minorHAnsi" w:hAnsiTheme="minorHAnsi"/>
        </w:rPr>
      </w:pPr>
      <w:r>
        <w:rPr>
          <w:rFonts w:asciiTheme="minorHAnsi" w:hAnsiTheme="minorHAnsi"/>
        </w:rPr>
        <w:t>rozstaw prętów,</w:t>
      </w:r>
    </w:p>
    <w:p w:rsidR="002412CC" w:rsidRDefault="002412CC" w:rsidP="002412CC">
      <w:pPr>
        <w:tabs>
          <w:tab w:val="left" w:pos="9914"/>
        </w:tabs>
        <w:rPr>
          <w:rFonts w:asciiTheme="minorHAnsi" w:hAnsiTheme="minorHAnsi"/>
        </w:rPr>
      </w:pPr>
      <w:r>
        <w:rPr>
          <w:rFonts w:asciiTheme="minorHAnsi" w:hAnsiTheme="minorHAnsi"/>
        </w:rPr>
        <w:t>rozstaw strzemion,</w:t>
      </w:r>
    </w:p>
    <w:p w:rsidR="002412CC" w:rsidRDefault="002412CC" w:rsidP="002412CC">
      <w:pPr>
        <w:tabs>
          <w:tab w:val="left" w:pos="9914"/>
        </w:tabs>
        <w:rPr>
          <w:rFonts w:asciiTheme="minorHAnsi" w:hAnsiTheme="minorHAnsi"/>
        </w:rPr>
      </w:pPr>
      <w:r>
        <w:rPr>
          <w:rFonts w:asciiTheme="minorHAnsi" w:hAnsiTheme="minorHAnsi"/>
        </w:rPr>
        <w:t>odchylenie od przewidzianego projektem nachylenia,</w:t>
      </w:r>
    </w:p>
    <w:p w:rsidR="002412CC" w:rsidRDefault="002412CC" w:rsidP="002412CC">
      <w:pPr>
        <w:tabs>
          <w:tab w:val="left" w:pos="9914"/>
        </w:tabs>
        <w:rPr>
          <w:rFonts w:asciiTheme="minorHAnsi" w:hAnsiTheme="minorHAnsi"/>
        </w:rPr>
      </w:pPr>
      <w:r>
        <w:rPr>
          <w:rFonts w:asciiTheme="minorHAnsi" w:hAnsiTheme="minorHAnsi"/>
        </w:rPr>
        <w:t>długość prętów,</w:t>
      </w:r>
    </w:p>
    <w:p w:rsidR="002412CC" w:rsidRDefault="002412CC" w:rsidP="002412CC">
      <w:pPr>
        <w:tabs>
          <w:tab w:val="left" w:pos="9914"/>
        </w:tabs>
        <w:rPr>
          <w:rFonts w:asciiTheme="minorHAnsi" w:hAnsiTheme="minorHAnsi"/>
        </w:rPr>
      </w:pPr>
      <w:r>
        <w:rPr>
          <w:rFonts w:asciiTheme="minorHAnsi" w:hAnsiTheme="minorHAnsi"/>
        </w:rPr>
        <w:t>położenie miejsc zakończeń lub odgięć oraz zakotwień prętów,</w:t>
      </w:r>
    </w:p>
    <w:p w:rsidR="002412CC" w:rsidRDefault="002412CC" w:rsidP="002412CC">
      <w:pPr>
        <w:tabs>
          <w:tab w:val="left" w:pos="9914"/>
        </w:tabs>
        <w:rPr>
          <w:rFonts w:asciiTheme="minorHAnsi" w:hAnsiTheme="minorHAnsi"/>
        </w:rPr>
      </w:pPr>
      <w:r>
        <w:rPr>
          <w:rFonts w:asciiTheme="minorHAnsi" w:hAnsiTheme="minorHAnsi"/>
        </w:rPr>
        <w:t>wielkość otulin zewnętrznych,</w:t>
      </w:r>
    </w:p>
    <w:p w:rsidR="002412CC" w:rsidRDefault="002412CC" w:rsidP="002412CC">
      <w:pPr>
        <w:tabs>
          <w:tab w:val="left" w:pos="9914"/>
        </w:tabs>
        <w:rPr>
          <w:rFonts w:asciiTheme="minorHAnsi" w:hAnsiTheme="minorHAnsi"/>
        </w:rPr>
      </w:pPr>
      <w:r>
        <w:rPr>
          <w:rFonts w:asciiTheme="minorHAnsi" w:hAnsiTheme="minorHAnsi"/>
        </w:rPr>
        <w:t>gatunek stali,</w:t>
      </w:r>
    </w:p>
    <w:p w:rsidR="002412CC" w:rsidRDefault="002412CC" w:rsidP="002412CC">
      <w:pPr>
        <w:tabs>
          <w:tab w:val="left" w:pos="9914"/>
        </w:tabs>
        <w:rPr>
          <w:rFonts w:asciiTheme="minorHAnsi" w:hAnsiTheme="minorHAnsi"/>
        </w:rPr>
      </w:pPr>
      <w:r>
        <w:rPr>
          <w:rFonts w:asciiTheme="minorHAnsi" w:hAnsiTheme="minorHAnsi"/>
        </w:rPr>
        <w:t xml:space="preserve">powiązanie (połączenia) zbrojenia między sobą, </w:t>
      </w:r>
    </w:p>
    <w:p w:rsidR="002412CC" w:rsidRDefault="002412CC" w:rsidP="002412CC">
      <w:pPr>
        <w:tabs>
          <w:tab w:val="left" w:pos="9914"/>
        </w:tabs>
        <w:rPr>
          <w:rFonts w:asciiTheme="minorHAnsi" w:hAnsiTheme="minorHAnsi"/>
        </w:rPr>
      </w:pPr>
      <w:r>
        <w:rPr>
          <w:rFonts w:asciiTheme="minorHAnsi" w:hAnsiTheme="minorHAnsi"/>
        </w:rPr>
        <w:t xml:space="preserve">pewności utrzymania położenia prętów w trakcie betonowania. </w:t>
      </w:r>
    </w:p>
    <w:p w:rsidR="002412CC" w:rsidRDefault="002412CC" w:rsidP="002412CC">
      <w:pPr>
        <w:tabs>
          <w:tab w:val="left" w:pos="9914"/>
        </w:tabs>
        <w:rPr>
          <w:rFonts w:asciiTheme="minorHAnsi" w:hAnsiTheme="minorHAnsi"/>
        </w:rPr>
      </w:pPr>
      <w:r>
        <w:rPr>
          <w:rFonts w:asciiTheme="minorHAnsi" w:hAnsiTheme="minorHAnsi"/>
        </w:rPr>
        <w:t>Sprawdzenie grubości otuliny może być dokonywane przez Inżyniera również po betonowaniu przy użyciu przyrządów magnetycznych.</w:t>
      </w:r>
    </w:p>
    <w:p w:rsidR="002412CC" w:rsidRDefault="002412CC" w:rsidP="002412CC">
      <w:pPr>
        <w:tabs>
          <w:tab w:val="left" w:pos="9914"/>
        </w:tabs>
        <w:rPr>
          <w:rFonts w:asciiTheme="minorHAnsi" w:hAnsiTheme="minorHAnsi"/>
        </w:rPr>
      </w:pPr>
      <w:r>
        <w:rPr>
          <w:rFonts w:asciiTheme="minorHAnsi" w:hAnsiTheme="minorHAnsi"/>
        </w:rPr>
        <w:t>Dopuszczalne tolerancje:</w:t>
      </w:r>
    </w:p>
    <w:p w:rsidR="002412CC" w:rsidRDefault="002412CC" w:rsidP="002412CC">
      <w:pPr>
        <w:tabs>
          <w:tab w:val="left" w:pos="9914"/>
        </w:tabs>
        <w:rPr>
          <w:rFonts w:asciiTheme="minorHAnsi" w:hAnsiTheme="minorHAnsi"/>
        </w:rPr>
      </w:pPr>
      <w:r>
        <w:rPr>
          <w:rFonts w:asciiTheme="minorHAnsi" w:hAnsiTheme="minorHAnsi"/>
        </w:rPr>
        <w:t>różnice w rozstawie między prętami głównymi w belkach nie powinny przekraczać ± 0,5 cm,</w:t>
      </w:r>
    </w:p>
    <w:p w:rsidR="002412CC" w:rsidRDefault="002412CC" w:rsidP="002412CC">
      <w:pPr>
        <w:tabs>
          <w:tab w:val="left" w:pos="9914"/>
        </w:tabs>
        <w:rPr>
          <w:rFonts w:asciiTheme="minorHAnsi" w:hAnsiTheme="minorHAnsi"/>
        </w:rPr>
      </w:pPr>
      <w:r>
        <w:rPr>
          <w:rFonts w:asciiTheme="minorHAnsi" w:hAnsiTheme="minorHAnsi"/>
        </w:rPr>
        <w:t>różnice w rozstawie między prętami głównymi w płytach nie powinny przekraczać ± 1,0 cm,</w:t>
      </w:r>
    </w:p>
    <w:p w:rsidR="002412CC" w:rsidRDefault="002412CC" w:rsidP="002412CC">
      <w:pPr>
        <w:tabs>
          <w:tab w:val="left" w:pos="9914"/>
        </w:tabs>
        <w:rPr>
          <w:rFonts w:asciiTheme="minorHAnsi" w:hAnsiTheme="minorHAnsi"/>
        </w:rPr>
      </w:pPr>
      <w:r>
        <w:rPr>
          <w:rFonts w:asciiTheme="minorHAnsi" w:hAnsiTheme="minorHAnsi"/>
        </w:rPr>
        <w:t>rozstaw strzemion wzdłuż belek nie powinien różnić się więcej niż ± 2,0 cm,</w:t>
      </w:r>
    </w:p>
    <w:p w:rsidR="002412CC" w:rsidRDefault="002412CC" w:rsidP="002412CC">
      <w:pPr>
        <w:tabs>
          <w:tab w:val="left" w:pos="9914"/>
        </w:tabs>
        <w:rPr>
          <w:rFonts w:asciiTheme="minorHAnsi" w:hAnsiTheme="minorHAnsi"/>
        </w:rPr>
      </w:pPr>
      <w:r>
        <w:rPr>
          <w:rFonts w:asciiTheme="minorHAnsi" w:hAnsiTheme="minorHAnsi"/>
        </w:rPr>
        <w:t>odchylenie od przewidzianego nachylenia względem poziomu nie powinno przekraczać 3%,</w:t>
      </w:r>
    </w:p>
    <w:p w:rsidR="002412CC" w:rsidRDefault="002412CC" w:rsidP="002412CC">
      <w:pPr>
        <w:tabs>
          <w:tab w:val="left" w:pos="9914"/>
        </w:tabs>
        <w:rPr>
          <w:rFonts w:asciiTheme="minorHAnsi" w:hAnsiTheme="minorHAnsi"/>
        </w:rPr>
      </w:pPr>
      <w:r>
        <w:rPr>
          <w:rFonts w:asciiTheme="minorHAnsi" w:hAnsiTheme="minorHAnsi"/>
        </w:rPr>
        <w:t>różnice długości prętów, położenie miejsc kończenia prętów lub odgięć nie mogą przekraczać ± 5,0 cm.</w:t>
      </w:r>
    </w:p>
    <w:p w:rsidR="002412CC" w:rsidRDefault="002412CC" w:rsidP="002412CC">
      <w:pPr>
        <w:tabs>
          <w:tab w:val="left" w:pos="9914"/>
        </w:tabs>
        <w:rPr>
          <w:rFonts w:asciiTheme="minorHAnsi" w:hAnsiTheme="minorHAnsi"/>
        </w:rPr>
      </w:pPr>
      <w:r>
        <w:rPr>
          <w:rFonts w:asciiTheme="minorHAnsi" w:hAnsiTheme="minorHAnsi"/>
        </w:rPr>
        <w:t>różnica w wymiarach oczek siatki nie więcej niż ± 0,5 cm,</w:t>
      </w:r>
    </w:p>
    <w:p w:rsidR="002412CC" w:rsidRDefault="002412CC" w:rsidP="002412CC">
      <w:pPr>
        <w:tabs>
          <w:tab w:val="left" w:pos="9914"/>
        </w:tabs>
        <w:rPr>
          <w:rFonts w:asciiTheme="minorHAnsi" w:hAnsiTheme="minorHAnsi"/>
        </w:rPr>
      </w:pPr>
      <w:r>
        <w:rPr>
          <w:rFonts w:asciiTheme="minorHAnsi" w:hAnsiTheme="minorHAnsi"/>
        </w:rPr>
        <w:t>otuliny zewnętrzne powinny być utrzymane w granicach wymagań projektowych z tolerancją dodatnią 0,5 cm,</w:t>
      </w:r>
    </w:p>
    <w:p w:rsidR="002412CC" w:rsidRDefault="002412CC" w:rsidP="002412CC">
      <w:pPr>
        <w:tabs>
          <w:tab w:val="left" w:pos="9914"/>
        </w:tabs>
        <w:rPr>
          <w:rFonts w:asciiTheme="minorHAnsi" w:hAnsiTheme="minorHAnsi"/>
        </w:rPr>
      </w:pPr>
      <w:r>
        <w:rPr>
          <w:rFonts w:asciiTheme="minorHAnsi" w:hAnsiTheme="minorHAnsi"/>
        </w:rPr>
        <w:t>liczba uszkodzonych skrzyżowań w dostarczonych na budowę siatkach nie powinna przekraczać 20% wszystkich skrzyżowań (25% na jednym pręcie),</w:t>
      </w:r>
    </w:p>
    <w:p w:rsidR="002412CC" w:rsidRDefault="002412CC" w:rsidP="002412CC">
      <w:pPr>
        <w:tabs>
          <w:tab w:val="left" w:pos="9914"/>
        </w:tabs>
        <w:rPr>
          <w:rFonts w:asciiTheme="minorHAnsi" w:hAnsiTheme="minorHAnsi"/>
        </w:rPr>
      </w:pPr>
      <w:r>
        <w:rPr>
          <w:rFonts w:asciiTheme="minorHAnsi" w:hAnsiTheme="minorHAnsi"/>
        </w:rPr>
        <w:lastRenderedPageBreak/>
        <w:t>Wykrycie w wykonanym elemencie ewentualnych nieprawidłowości obciąża Wykonawcę robót, niezależnie od dokonanych uprzednio odbiorów</w:t>
      </w:r>
    </w:p>
    <w:p w:rsidR="002412CC" w:rsidRPr="00E5206A" w:rsidRDefault="002412CC" w:rsidP="00E5206A">
      <w:pPr>
        <w:pStyle w:val="Nagwek3"/>
      </w:pPr>
      <w:r w:rsidRPr="00E5206A">
        <w:t>7. Obmiar robót</w:t>
      </w:r>
    </w:p>
    <w:p w:rsidR="002412CC" w:rsidRDefault="002412CC" w:rsidP="002412CC">
      <w:pPr>
        <w:tabs>
          <w:tab w:val="left" w:pos="9914"/>
        </w:tabs>
        <w:rPr>
          <w:rFonts w:asciiTheme="minorHAnsi" w:hAnsiTheme="minorHAnsi"/>
        </w:rPr>
      </w:pPr>
      <w:r>
        <w:rPr>
          <w:rFonts w:asciiTheme="minorHAnsi" w:hAnsiTheme="minorHAnsi"/>
        </w:rPr>
        <w:t>Ogólne wymagania dotyczące obmiaru robót podano w STWiORB D-M.00.00.00 „Wymagania Ogólne” pkt 7.</w:t>
      </w:r>
    </w:p>
    <w:p w:rsidR="002412CC" w:rsidRDefault="002412CC" w:rsidP="002412CC">
      <w:pPr>
        <w:tabs>
          <w:tab w:val="left" w:pos="9914"/>
        </w:tabs>
        <w:rPr>
          <w:rFonts w:asciiTheme="minorHAnsi" w:hAnsiTheme="minorHAnsi"/>
        </w:rPr>
      </w:pPr>
      <w:r>
        <w:rPr>
          <w:rFonts w:asciiTheme="minorHAnsi" w:hAnsiTheme="minorHAnsi"/>
        </w:rPr>
        <w:t>Jednostk</w:t>
      </w:r>
      <w:r w:rsidR="00D109A9">
        <w:rPr>
          <w:rFonts w:asciiTheme="minorHAnsi" w:hAnsiTheme="minorHAnsi"/>
        </w:rPr>
        <w:t>ą</w:t>
      </w:r>
      <w:r>
        <w:rPr>
          <w:rFonts w:asciiTheme="minorHAnsi" w:hAnsiTheme="minorHAnsi"/>
        </w:rPr>
        <w:t xml:space="preserve"> obmiarową jest Mg (megagram)</w:t>
      </w:r>
    </w:p>
    <w:p w:rsidR="002412CC" w:rsidRPr="00E5206A" w:rsidRDefault="002412CC" w:rsidP="00E5206A">
      <w:pPr>
        <w:pStyle w:val="Nagwek3"/>
      </w:pPr>
      <w:r w:rsidRPr="00E5206A">
        <w:t>8. Odbiór robót</w:t>
      </w:r>
    </w:p>
    <w:p w:rsidR="002412CC" w:rsidRDefault="002412CC" w:rsidP="002412CC">
      <w:pPr>
        <w:tabs>
          <w:tab w:val="left" w:pos="9914"/>
        </w:tabs>
        <w:rPr>
          <w:rFonts w:asciiTheme="minorHAnsi" w:hAnsiTheme="minorHAnsi"/>
        </w:rPr>
      </w:pPr>
      <w:r>
        <w:rPr>
          <w:rFonts w:asciiTheme="minorHAnsi" w:hAnsiTheme="minorHAnsi"/>
        </w:rPr>
        <w:t>Ogólne zasady odbioru robót podano w STWiORB D-M.00.00.00 "Wymagania ogólne" pkt 8</w:t>
      </w:r>
    </w:p>
    <w:p w:rsidR="002412CC" w:rsidRDefault="002412CC" w:rsidP="002412CC">
      <w:pPr>
        <w:pStyle w:val="tekstost"/>
        <w:tabs>
          <w:tab w:val="left" w:pos="9914"/>
        </w:tabs>
        <w:rPr>
          <w:rFonts w:asciiTheme="minorHAnsi" w:hAnsiTheme="minorHAnsi"/>
        </w:rPr>
      </w:pPr>
      <w:r>
        <w:rPr>
          <w:rFonts w:asciiTheme="minorHAnsi" w:hAnsiTheme="minorHAnsi"/>
        </w:rPr>
        <w:t>Roboty uznaje się za odebrane, gdy wszystkie wyniki badań wykonanych wg pkt 6 dały wyniki pozytywne</w:t>
      </w:r>
    </w:p>
    <w:p w:rsidR="002412CC" w:rsidRPr="00E5206A" w:rsidRDefault="002412CC" w:rsidP="00E5206A">
      <w:pPr>
        <w:pStyle w:val="Nagwek3"/>
      </w:pPr>
      <w:r w:rsidRPr="00E5206A">
        <w:t>9. Podstawa płatności</w:t>
      </w:r>
    </w:p>
    <w:p w:rsidR="002412CC" w:rsidRDefault="002412CC" w:rsidP="002412CC">
      <w:pPr>
        <w:tabs>
          <w:tab w:val="left" w:pos="9914"/>
        </w:tabs>
        <w:rPr>
          <w:rFonts w:asciiTheme="minorHAnsi" w:hAnsiTheme="minorHAnsi"/>
        </w:rPr>
      </w:pPr>
      <w:r>
        <w:rPr>
          <w:rFonts w:asciiTheme="minorHAnsi" w:hAnsiTheme="minorHAnsi"/>
        </w:rPr>
        <w:t>Ogólne wymagania dotyczące płatności podano w STWiORB D-M.00.00.0 "Wymagania ogólne" pkt 9.</w:t>
      </w:r>
    </w:p>
    <w:p w:rsidR="002412CC" w:rsidRDefault="002412CC" w:rsidP="002412CC">
      <w:pPr>
        <w:tabs>
          <w:tab w:val="left" w:pos="9914"/>
        </w:tabs>
        <w:rPr>
          <w:rFonts w:asciiTheme="minorHAnsi" w:hAnsiTheme="minorHAnsi"/>
        </w:rPr>
      </w:pPr>
      <w:r>
        <w:rPr>
          <w:rFonts w:asciiTheme="minorHAnsi" w:hAnsiTheme="minorHAnsi"/>
        </w:rPr>
        <w:t>Cena wykonania robót obejmuje w szczególności:</w:t>
      </w:r>
    </w:p>
    <w:p w:rsidR="002412CC" w:rsidRDefault="002412CC" w:rsidP="002412CC">
      <w:pPr>
        <w:tabs>
          <w:tab w:val="left" w:pos="9914"/>
        </w:tabs>
        <w:rPr>
          <w:rFonts w:asciiTheme="minorHAnsi" w:hAnsiTheme="minorHAnsi"/>
        </w:rPr>
      </w:pPr>
      <w:r>
        <w:rPr>
          <w:rFonts w:asciiTheme="minorHAnsi" w:hAnsiTheme="minorHAnsi"/>
        </w:rPr>
        <w:t>prace pomiarowe i przygotowawcze,</w:t>
      </w:r>
    </w:p>
    <w:p w:rsidR="002412CC" w:rsidRDefault="002412CC" w:rsidP="002412CC">
      <w:pPr>
        <w:tabs>
          <w:tab w:val="left" w:pos="9914"/>
        </w:tabs>
        <w:rPr>
          <w:rFonts w:asciiTheme="minorHAnsi" w:hAnsiTheme="minorHAnsi"/>
        </w:rPr>
      </w:pPr>
      <w:r>
        <w:rPr>
          <w:rFonts w:asciiTheme="minorHAnsi" w:hAnsiTheme="minorHAnsi"/>
        </w:rPr>
        <w:t>transport i składowanie materiałów,</w:t>
      </w:r>
    </w:p>
    <w:p w:rsidR="002412CC" w:rsidRDefault="002412CC" w:rsidP="002412CC">
      <w:pPr>
        <w:tabs>
          <w:tab w:val="left" w:pos="9914"/>
        </w:tabs>
        <w:rPr>
          <w:rFonts w:asciiTheme="minorHAnsi" w:hAnsiTheme="minorHAnsi"/>
        </w:rPr>
      </w:pPr>
      <w:r>
        <w:rPr>
          <w:rFonts w:asciiTheme="minorHAnsi" w:hAnsiTheme="minorHAnsi"/>
        </w:rPr>
        <w:t>oczyszczenie i wyprostowanie prętów,</w:t>
      </w:r>
    </w:p>
    <w:p w:rsidR="002412CC" w:rsidRDefault="002412CC" w:rsidP="002412CC">
      <w:pPr>
        <w:tabs>
          <w:tab w:val="left" w:pos="9914"/>
        </w:tabs>
        <w:rPr>
          <w:rFonts w:asciiTheme="minorHAnsi" w:hAnsiTheme="minorHAnsi"/>
        </w:rPr>
      </w:pPr>
      <w:r>
        <w:rPr>
          <w:rFonts w:asciiTheme="minorHAnsi" w:hAnsiTheme="minorHAnsi"/>
        </w:rPr>
        <w:t>wygięcie, przycięcie i łączenie prętów (na styk lub na zakład),</w:t>
      </w:r>
    </w:p>
    <w:p w:rsidR="002412CC" w:rsidRDefault="002412CC" w:rsidP="002412CC">
      <w:pPr>
        <w:tabs>
          <w:tab w:val="left" w:pos="9914"/>
        </w:tabs>
        <w:rPr>
          <w:rFonts w:asciiTheme="minorHAnsi" w:hAnsiTheme="minorHAnsi"/>
        </w:rPr>
      </w:pPr>
      <w:r>
        <w:rPr>
          <w:rFonts w:asciiTheme="minorHAnsi" w:hAnsiTheme="minorHAnsi"/>
        </w:rPr>
        <w:t>montaż zbrojenia przy pomocy drutu wiązałkowego lub spawania wraz z jego stabilizacją oraz zabezpieczeniem odpowiednich otulin zewnętrznych betonu,</w:t>
      </w:r>
    </w:p>
    <w:p w:rsidR="002412CC" w:rsidRDefault="002412CC" w:rsidP="002412CC">
      <w:pPr>
        <w:tabs>
          <w:tab w:val="left" w:pos="9914"/>
        </w:tabs>
        <w:rPr>
          <w:rFonts w:asciiTheme="minorHAnsi" w:hAnsiTheme="minorHAnsi"/>
        </w:rPr>
      </w:pPr>
      <w:r>
        <w:rPr>
          <w:rFonts w:asciiTheme="minorHAnsi" w:hAnsiTheme="minorHAnsi"/>
        </w:rPr>
        <w:t>oczyszczenie terenu robót,</w:t>
      </w:r>
    </w:p>
    <w:p w:rsidR="002412CC" w:rsidRDefault="002412CC" w:rsidP="002412CC">
      <w:pPr>
        <w:tabs>
          <w:tab w:val="left" w:pos="9914"/>
        </w:tabs>
        <w:rPr>
          <w:rFonts w:asciiTheme="minorHAnsi" w:hAnsiTheme="minorHAnsi"/>
        </w:rPr>
      </w:pPr>
      <w:r>
        <w:rPr>
          <w:rFonts w:asciiTheme="minorHAnsi" w:hAnsiTheme="minorHAnsi"/>
        </w:rPr>
        <w:t>usunięcie niepotrzebnych materiałów poza Plac Budowy,</w:t>
      </w:r>
    </w:p>
    <w:p w:rsidR="002412CC" w:rsidRDefault="002412CC" w:rsidP="002412CC">
      <w:pPr>
        <w:tabs>
          <w:tab w:val="left" w:pos="9914"/>
        </w:tabs>
        <w:rPr>
          <w:rFonts w:asciiTheme="minorHAnsi" w:hAnsiTheme="minorHAnsi"/>
        </w:rPr>
      </w:pPr>
      <w:r>
        <w:rPr>
          <w:rFonts w:asciiTheme="minorHAnsi" w:hAnsiTheme="minorHAnsi"/>
        </w:rPr>
        <w:t>wykonanie niezbędnych badań laboratoryjnych i pomiarów wymaganych w Specyfikacji.</w:t>
      </w:r>
    </w:p>
    <w:p w:rsidR="002412CC" w:rsidRPr="00E5206A" w:rsidRDefault="002412CC" w:rsidP="00E5206A">
      <w:pPr>
        <w:pStyle w:val="Nagwek3"/>
      </w:pPr>
      <w:r w:rsidRPr="00E5206A">
        <w:t>10. Przepisy związane</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S</w:t>
      </w:r>
      <w:r>
        <w:rPr>
          <w:rFonts w:asciiTheme="minorHAnsi" w:hAnsiTheme="minorHAnsi"/>
        </w:rPr>
        <w:noBreakHyphen/>
        <w:t>10040:1999 Obiekty mostowe. Konstrukcje betonowe, żelbetowe i sprężone. Wymagania i badania.</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91/S</w:t>
      </w:r>
      <w:r>
        <w:rPr>
          <w:rFonts w:asciiTheme="minorHAnsi" w:hAnsiTheme="minorHAnsi"/>
        </w:rPr>
        <w:noBreakHyphen/>
        <w:t>10042 Obiekty mostowe. Konstrukcje betonowe, żelbetowe i sprężone. Projektowanie.</w:t>
      </w:r>
    </w:p>
    <w:p w:rsidR="002412CC" w:rsidRDefault="002412CC" w:rsidP="002412CC">
      <w:pPr>
        <w:tabs>
          <w:tab w:val="left" w:pos="9914"/>
        </w:tabs>
        <w:rPr>
          <w:rFonts w:asciiTheme="minorHAnsi" w:hAnsiTheme="minorHAnsi"/>
        </w:rPr>
      </w:pPr>
      <w:r>
        <w:rPr>
          <w:rFonts w:asciiTheme="minorHAnsi" w:hAnsiTheme="minorHAnsi"/>
        </w:rPr>
        <w:t>PN-H-01103 Stal. Półwyroby i wyroby hutnicze. Cechowanie barwne.</w:t>
      </w:r>
    </w:p>
    <w:p w:rsidR="002412CC" w:rsidRDefault="002412CC" w:rsidP="002412CC">
      <w:pPr>
        <w:tabs>
          <w:tab w:val="left" w:pos="9914"/>
        </w:tabs>
        <w:rPr>
          <w:rFonts w:asciiTheme="minorHAnsi" w:hAnsiTheme="minorHAnsi"/>
        </w:rPr>
      </w:pPr>
      <w:r>
        <w:rPr>
          <w:rFonts w:asciiTheme="minorHAnsi" w:hAnsiTheme="minorHAnsi"/>
        </w:rPr>
        <w:t>PN-H-01104 Stal. Półwyroby i wyroby hutnicze. Cechowanie.</w:t>
      </w:r>
    </w:p>
    <w:p w:rsidR="002412CC" w:rsidRDefault="002412CC" w:rsidP="002412CC">
      <w:pPr>
        <w:tabs>
          <w:tab w:val="left" w:pos="9914"/>
        </w:tabs>
        <w:rPr>
          <w:rFonts w:asciiTheme="minorHAnsi" w:hAnsiTheme="minorHAnsi"/>
        </w:rPr>
      </w:pPr>
      <w:r>
        <w:rPr>
          <w:rFonts w:asciiTheme="minorHAnsi" w:hAnsiTheme="minorHAnsi"/>
        </w:rPr>
        <w:t>PN-H-01105 Stal. Półwyroby i wyroby hutnicze. Pakowanie, przechowywanie i transport.</w:t>
      </w:r>
    </w:p>
    <w:p w:rsidR="002412CC" w:rsidRDefault="002412CC" w:rsidP="002412CC">
      <w:pPr>
        <w:tabs>
          <w:tab w:val="left" w:pos="9914"/>
        </w:tabs>
        <w:rPr>
          <w:rFonts w:asciiTheme="minorHAnsi" w:hAnsiTheme="minorHAnsi"/>
        </w:rPr>
      </w:pPr>
      <w:r>
        <w:rPr>
          <w:rFonts w:asciiTheme="minorHAnsi" w:hAnsiTheme="minorHAnsi"/>
        </w:rPr>
        <w:t>PN-H-84018 Stal niskostopowa o podwyższonej wytrzymałości. Gatunki.</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H</w:t>
      </w:r>
      <w:r>
        <w:rPr>
          <w:rFonts w:asciiTheme="minorHAnsi" w:hAnsiTheme="minorHAnsi"/>
        </w:rPr>
        <w:noBreakHyphen/>
        <w:t>84023/01 Stal określonego zastosowania. Wymagania ogólne. Gatunki.</w:t>
      </w:r>
    </w:p>
    <w:p w:rsidR="002412CC" w:rsidRDefault="002412CC" w:rsidP="002412CC">
      <w:pPr>
        <w:tabs>
          <w:tab w:val="left" w:pos="9914"/>
        </w:tabs>
        <w:rPr>
          <w:rFonts w:asciiTheme="minorHAnsi" w:hAnsiTheme="minorHAnsi"/>
        </w:rPr>
      </w:pPr>
      <w:r>
        <w:rPr>
          <w:rFonts w:asciiTheme="minorHAnsi" w:hAnsiTheme="minorHAnsi"/>
        </w:rPr>
        <w:t>PN-H-84023/06 Stal określonego stosowania. Stal do zbrojenia betonu. Gatunki.</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H</w:t>
      </w:r>
      <w:r>
        <w:rPr>
          <w:rFonts w:asciiTheme="minorHAnsi" w:hAnsiTheme="minorHAnsi"/>
        </w:rPr>
        <w:noBreakHyphen/>
        <w:t>93000 Stal węglowa niskostopowa. Walcówka i pręty wykonane na gorąco.</w:t>
      </w:r>
    </w:p>
    <w:p w:rsidR="002412CC" w:rsidRDefault="002412CC" w:rsidP="002412CC">
      <w:pPr>
        <w:tabs>
          <w:tab w:val="left" w:pos="9914"/>
        </w:tabs>
        <w:rPr>
          <w:rFonts w:asciiTheme="minorHAnsi" w:hAnsiTheme="minorHAnsi"/>
        </w:rPr>
      </w:pPr>
      <w:r>
        <w:rPr>
          <w:rFonts w:asciiTheme="minorHAnsi" w:hAnsiTheme="minorHAnsi"/>
        </w:rPr>
        <w:t>PN-H-93200/00 Walcówka i pręty stalowe walcowane na gorąco. Wymiary.</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H</w:t>
      </w:r>
      <w:r>
        <w:rPr>
          <w:rFonts w:asciiTheme="minorHAnsi" w:hAnsiTheme="minorHAnsi"/>
        </w:rPr>
        <w:noBreakHyphen/>
        <w:t xml:space="preserve">93215 Walcówka i pręty stalowe do zbrojenia betonu. </w:t>
      </w:r>
    </w:p>
    <w:p w:rsidR="002412CC" w:rsidRDefault="002412CC" w:rsidP="002412CC">
      <w:pPr>
        <w:tabs>
          <w:tab w:val="left" w:pos="9914"/>
        </w:tabs>
        <w:rPr>
          <w:rFonts w:asciiTheme="minorHAnsi" w:hAnsiTheme="minorHAnsi"/>
        </w:rPr>
      </w:pPr>
      <w:r>
        <w:rPr>
          <w:rFonts w:asciiTheme="minorHAnsi" w:hAnsiTheme="minorHAnsi"/>
          <w:w w:val="98"/>
        </w:rPr>
        <w:t xml:space="preserve">PN-EN 10002-1:2004 </w:t>
      </w:r>
      <w:r>
        <w:rPr>
          <w:rFonts w:asciiTheme="minorHAnsi" w:hAnsiTheme="minorHAnsi"/>
        </w:rPr>
        <w:t>Metale. Próba rozciągania. Metoda badania w temperaturze otoczenia.</w:t>
      </w:r>
    </w:p>
    <w:p w:rsidR="002412CC" w:rsidRDefault="002412CC" w:rsidP="002412CC">
      <w:pPr>
        <w:tabs>
          <w:tab w:val="left" w:pos="9914"/>
        </w:tabs>
        <w:rPr>
          <w:rFonts w:asciiTheme="minorHAnsi" w:hAnsiTheme="minorHAnsi"/>
        </w:rPr>
      </w:pPr>
      <w:r>
        <w:rPr>
          <w:rFonts w:asciiTheme="minorHAnsi" w:hAnsiTheme="minorHAnsi"/>
        </w:rPr>
        <w:t>PN-EN 10020:2003 Definicja i klasyfikacja gatunków stali</w:t>
      </w:r>
    </w:p>
    <w:p w:rsidR="002412CC" w:rsidRDefault="002412CC" w:rsidP="002412CC">
      <w:pPr>
        <w:tabs>
          <w:tab w:val="left" w:pos="9914"/>
        </w:tabs>
        <w:rPr>
          <w:rFonts w:asciiTheme="minorHAnsi" w:hAnsiTheme="minorHAnsi"/>
        </w:rPr>
      </w:pPr>
      <w:r>
        <w:rPr>
          <w:rFonts w:asciiTheme="minorHAnsi" w:hAnsiTheme="minorHAnsi"/>
        </w:rPr>
        <w:t>PN-EN 10021:1997 Ogólne techniczne warunki dostaw stali i wyrobów stalowych.</w:t>
      </w:r>
    </w:p>
    <w:p w:rsidR="002412CC" w:rsidRDefault="002412CC" w:rsidP="002412CC">
      <w:pPr>
        <w:tabs>
          <w:tab w:val="left" w:pos="9914"/>
        </w:tabs>
        <w:rPr>
          <w:rFonts w:asciiTheme="minorHAnsi" w:hAnsiTheme="minorHAnsi"/>
        </w:rPr>
      </w:pPr>
      <w:r>
        <w:rPr>
          <w:rFonts w:asciiTheme="minorHAnsi" w:hAnsiTheme="minorHAnsi"/>
          <w:spacing w:val="-14"/>
          <w:w w:val="98"/>
        </w:rPr>
        <w:t>PN-EN 10025-1:2005(U)</w:t>
      </w:r>
      <w:r>
        <w:rPr>
          <w:rFonts w:asciiTheme="minorHAnsi" w:hAnsiTheme="minorHAnsi"/>
        </w:rPr>
        <w:t>Wyroby walcowane na gorąco ze stali konstrukcyjnych. Część 1: Ogólne warunki techniczne dostawy</w:t>
      </w:r>
    </w:p>
    <w:p w:rsidR="002412CC" w:rsidRDefault="002412CC" w:rsidP="002412CC">
      <w:pPr>
        <w:tabs>
          <w:tab w:val="left" w:pos="9914"/>
        </w:tabs>
        <w:rPr>
          <w:rFonts w:asciiTheme="minorHAnsi" w:hAnsiTheme="minorHAnsi"/>
        </w:rPr>
      </w:pPr>
      <w:r>
        <w:rPr>
          <w:rFonts w:asciiTheme="minorHAnsi" w:hAnsiTheme="minorHAnsi"/>
          <w:spacing w:val="-14"/>
          <w:w w:val="98"/>
        </w:rPr>
        <w:t>PN-EN 10025-2:2005(U</w:t>
      </w:r>
      <w:r>
        <w:rPr>
          <w:rFonts w:asciiTheme="minorHAnsi" w:hAnsiTheme="minorHAnsi"/>
          <w:w w:val="98"/>
        </w:rPr>
        <w:t xml:space="preserve">) </w:t>
      </w:r>
      <w:r>
        <w:rPr>
          <w:rFonts w:asciiTheme="minorHAnsi" w:hAnsiTheme="minorHAnsi"/>
        </w:rPr>
        <w:t>Wyroby walcowane na gorąco ze stali konstrukcyjnych. Część 2: Warunki techniczne dostawy stali konstrukcyjnych niestopowych</w:t>
      </w:r>
    </w:p>
    <w:p w:rsidR="002412CC" w:rsidRDefault="002412CC" w:rsidP="002412CC">
      <w:pPr>
        <w:tabs>
          <w:tab w:val="left" w:pos="9914"/>
        </w:tabs>
        <w:rPr>
          <w:rFonts w:asciiTheme="minorHAnsi" w:hAnsiTheme="minorHAnsi"/>
        </w:rPr>
      </w:pPr>
      <w:r>
        <w:rPr>
          <w:rFonts w:asciiTheme="minorHAnsi" w:hAnsiTheme="minorHAnsi"/>
          <w:spacing w:val="-10"/>
          <w:w w:val="98"/>
        </w:rPr>
        <w:t xml:space="preserve">PN-EN 10080:2005 (U)     </w:t>
      </w:r>
      <w:r>
        <w:rPr>
          <w:rFonts w:asciiTheme="minorHAnsi" w:hAnsiTheme="minorHAnsi"/>
        </w:rPr>
        <w:t>Stal do zbrojenia betonu. Spajalna stal zbrojeniowa. Postanowienia ogólne.</w:t>
      </w:r>
    </w:p>
    <w:p w:rsidR="002412CC" w:rsidRDefault="002412CC" w:rsidP="002412CC">
      <w:pPr>
        <w:tabs>
          <w:tab w:val="left" w:pos="9914"/>
        </w:tabs>
        <w:rPr>
          <w:rFonts w:asciiTheme="minorHAnsi" w:hAnsiTheme="minorHAnsi"/>
        </w:rPr>
      </w:pPr>
      <w:r>
        <w:rPr>
          <w:rFonts w:asciiTheme="minorHAnsi" w:hAnsiTheme="minorHAnsi"/>
        </w:rPr>
        <w:t>PN-ISO 6935-1:1998 Stal do zbrojenia betonu. Pręty gładkie.</w:t>
      </w:r>
    </w:p>
    <w:p w:rsidR="002412CC" w:rsidRDefault="002412CC" w:rsidP="002412CC">
      <w:pPr>
        <w:tabs>
          <w:tab w:val="left" w:pos="9914"/>
        </w:tabs>
        <w:rPr>
          <w:rFonts w:asciiTheme="minorHAnsi" w:hAnsiTheme="minorHAnsi"/>
        </w:rPr>
      </w:pPr>
      <w:r>
        <w:rPr>
          <w:rFonts w:asciiTheme="minorHAnsi" w:hAnsiTheme="minorHAnsi"/>
          <w:spacing w:val="-14"/>
          <w:w w:val="98"/>
        </w:rPr>
        <w:t xml:space="preserve">PN-ISO 6935-1/Ak:1998 </w:t>
      </w:r>
      <w:r>
        <w:rPr>
          <w:rFonts w:asciiTheme="minorHAnsi" w:hAnsiTheme="minorHAnsi"/>
        </w:rPr>
        <w:t>Stal do zbrojenia betonu. Pręty gładkie. Dodatkowe wymagania stosowane w kraju.</w:t>
      </w:r>
    </w:p>
    <w:p w:rsidR="002412CC" w:rsidRDefault="002412CC" w:rsidP="002412CC">
      <w:pPr>
        <w:tabs>
          <w:tab w:val="left" w:pos="9914"/>
        </w:tabs>
        <w:rPr>
          <w:rFonts w:asciiTheme="minorHAnsi" w:hAnsiTheme="minorHAnsi"/>
        </w:rPr>
      </w:pPr>
      <w:r>
        <w:rPr>
          <w:rFonts w:asciiTheme="minorHAnsi" w:hAnsiTheme="minorHAnsi"/>
        </w:rPr>
        <w:t>PN-ISO 6935-2:1998 Stal do zbrojenia betonu. Pręty żebrowane.</w:t>
      </w:r>
    </w:p>
    <w:p w:rsidR="002412CC" w:rsidRDefault="002412CC" w:rsidP="002412CC">
      <w:pPr>
        <w:tabs>
          <w:tab w:val="left" w:pos="9914"/>
        </w:tabs>
        <w:rPr>
          <w:rFonts w:asciiTheme="minorHAnsi" w:hAnsiTheme="minorHAnsi"/>
        </w:rPr>
      </w:pPr>
      <w:r>
        <w:rPr>
          <w:rFonts w:asciiTheme="minorHAnsi" w:hAnsiTheme="minorHAnsi"/>
          <w:spacing w:val="-14"/>
          <w:w w:val="98"/>
        </w:rPr>
        <w:t xml:space="preserve">PN-ISO 6935-2/Ak:1998    </w:t>
      </w:r>
      <w:r>
        <w:rPr>
          <w:rFonts w:asciiTheme="minorHAnsi" w:hAnsiTheme="minorHAnsi"/>
        </w:rPr>
        <w:t>Stal do zbrojenia betonu. Pręty żebrowane. Dodatkowe wymagania stosowane w kraju.</w:t>
      </w:r>
    </w:p>
    <w:p w:rsidR="002412CC" w:rsidRDefault="002412CC" w:rsidP="002412CC">
      <w:pPr>
        <w:tabs>
          <w:tab w:val="left" w:pos="9914"/>
        </w:tabs>
        <w:rPr>
          <w:rFonts w:asciiTheme="minorHAnsi" w:hAnsiTheme="minorHAnsi"/>
        </w:rPr>
      </w:pPr>
      <w:r>
        <w:rPr>
          <w:rFonts w:asciiTheme="minorHAnsi" w:hAnsiTheme="minorHAnsi"/>
        </w:rPr>
        <w:t>PN-ISO 6935-2/Ak:1998/Ap1:1999 PN-EN ISO 7438:2002 Metale Próba zginania.</w:t>
      </w:r>
    </w:p>
    <w:p w:rsidR="002412CC" w:rsidRDefault="002412CC" w:rsidP="002412CC">
      <w:pPr>
        <w:tabs>
          <w:tab w:val="left" w:pos="9914"/>
        </w:tabs>
        <w:rPr>
          <w:rFonts w:asciiTheme="minorHAnsi" w:hAnsiTheme="minorHAnsi"/>
        </w:rPr>
      </w:pPr>
      <w:r>
        <w:rPr>
          <w:rFonts w:asciiTheme="minorHAnsi" w:hAnsiTheme="minorHAnsi"/>
          <w:spacing w:val="-20"/>
        </w:rPr>
        <w:t xml:space="preserve">PN-EN ISO 15630-1:2004 </w:t>
      </w:r>
      <w:r>
        <w:rPr>
          <w:rFonts w:asciiTheme="minorHAnsi" w:hAnsiTheme="minorHAnsi"/>
        </w:rPr>
        <w:t xml:space="preserve">Stal do zbrojenia i sprężania betonu -- Metody badań - Część 1: Pręty, walcówka i drut do zbrojenia betonu </w:t>
      </w:r>
    </w:p>
    <w:p w:rsidR="002412CC" w:rsidRDefault="002412CC" w:rsidP="002412CC">
      <w:pPr>
        <w:tabs>
          <w:tab w:val="left" w:pos="9914"/>
        </w:tabs>
        <w:rPr>
          <w:rFonts w:asciiTheme="minorHAnsi" w:hAnsiTheme="minorHAnsi"/>
        </w:rPr>
      </w:pPr>
      <w:r>
        <w:rPr>
          <w:rFonts w:asciiTheme="minorHAnsi" w:hAnsiTheme="minorHAnsi"/>
          <w:spacing w:val="-20"/>
        </w:rPr>
        <w:t xml:space="preserve">PN-EN ISO 15630-2:2004 </w:t>
      </w:r>
      <w:r>
        <w:rPr>
          <w:rFonts w:asciiTheme="minorHAnsi" w:hAnsiTheme="minorHAnsi"/>
        </w:rPr>
        <w:t xml:space="preserve">Stal do zbrojenia i sprężania betonu - Metody badań - Część 2: Zgrzewane siatki do zbrojenia </w:t>
      </w:r>
    </w:p>
    <w:p w:rsidR="002412CC" w:rsidRDefault="002412CC" w:rsidP="002412CC">
      <w:pPr>
        <w:tabs>
          <w:tab w:val="left" w:pos="9914"/>
        </w:tabs>
        <w:rPr>
          <w:rFonts w:asciiTheme="minorHAnsi" w:hAnsiTheme="minorHAnsi"/>
        </w:rPr>
      </w:pPr>
      <w:r>
        <w:rPr>
          <w:rFonts w:asciiTheme="minorHAnsi" w:hAnsiTheme="minorHAnsi"/>
        </w:rPr>
        <w:lastRenderedPageBreak/>
        <w:t xml:space="preserve">ROZPORZĄDZENIE MINISTRA TRANSPORTU I GOSPODARKI MORSKIEJ z dnia 30 maja 2000 r. w sprawie warunków technicznych, jakim powinny odpowiadać drogowe obiekty inżynierskie i ich usytuowanie. (Dz. U. Nr 63 poz. 735 - z dnia 3.08 2000 r.) </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E5206A" w:rsidRDefault="00E5206A" w:rsidP="002412CC">
      <w:pPr>
        <w:jc w:val="center"/>
        <w:rPr>
          <w:rFonts w:asciiTheme="minorHAnsi" w:hAnsiTheme="minorHAnsi"/>
          <w:b/>
          <w:sz w:val="24"/>
          <w:szCs w:val="24"/>
        </w:rPr>
      </w:pPr>
    </w:p>
    <w:p w:rsidR="002412CC" w:rsidRDefault="002412CC" w:rsidP="00E5206A">
      <w:pPr>
        <w:pStyle w:val="Nagwek2"/>
      </w:pPr>
      <w:r>
        <w:lastRenderedPageBreak/>
        <w:t>SZCZEGÓŁOWA SPECYFIKACJA TECHNICZNA WYKONANIA I ODBIORU ROBÓT BUDOWLANYCH</w:t>
      </w:r>
    </w:p>
    <w:p w:rsidR="002412CC" w:rsidRPr="00E5206A" w:rsidRDefault="002412CC" w:rsidP="00E5206A">
      <w:pPr>
        <w:pStyle w:val="Nagwek1"/>
      </w:pPr>
      <w:bookmarkStart w:id="1368" w:name="_Toc406569812"/>
      <w:bookmarkStart w:id="1369" w:name="_Toc406563005"/>
      <w:bookmarkStart w:id="1370" w:name="_Toc334095457"/>
      <w:bookmarkStart w:id="1371" w:name="_Toc333657271"/>
      <w:bookmarkStart w:id="1372" w:name="_Toc425766146"/>
      <w:bookmarkStart w:id="1373" w:name="_Toc427178303"/>
      <w:bookmarkStart w:id="1374" w:name="_Toc459929688"/>
      <w:r w:rsidRPr="00E5206A">
        <w:t xml:space="preserve">ST.03.  BETON KONSTRUKCYJNY W OBIEKCIE </w:t>
      </w:r>
      <w:bookmarkEnd w:id="1368"/>
      <w:bookmarkEnd w:id="1369"/>
      <w:bookmarkEnd w:id="1370"/>
      <w:bookmarkEnd w:id="1371"/>
      <w:r w:rsidRPr="00E5206A">
        <w:t>INŻYNIERSKIM</w:t>
      </w:r>
      <w:bookmarkEnd w:id="1372"/>
      <w:bookmarkEnd w:id="1373"/>
      <w:bookmarkEnd w:id="1374"/>
    </w:p>
    <w:p w:rsidR="002412CC" w:rsidRPr="00E5206A" w:rsidRDefault="002412CC" w:rsidP="00E5206A">
      <w:pPr>
        <w:pStyle w:val="Nagwek3"/>
      </w:pPr>
      <w:r w:rsidRPr="00E5206A">
        <w:t>1. Wstęp</w:t>
      </w:r>
    </w:p>
    <w:p w:rsidR="002412CC" w:rsidRDefault="002412CC" w:rsidP="002412CC">
      <w:pPr>
        <w:pStyle w:val="Nagwek4"/>
        <w:tabs>
          <w:tab w:val="left" w:pos="9914"/>
        </w:tabs>
        <w:rPr>
          <w:rFonts w:asciiTheme="minorHAnsi" w:hAnsiTheme="minorHAnsi"/>
        </w:rPr>
      </w:pPr>
      <w:r>
        <w:t>1.1. Przedmiot ST</w:t>
      </w:r>
      <w:r w:rsidR="00D109A9">
        <w:t>WiORB</w:t>
      </w:r>
    </w:p>
    <w:p w:rsidR="002412CC" w:rsidRDefault="002412CC" w:rsidP="002412CC">
      <w:pPr>
        <w:tabs>
          <w:tab w:val="left" w:pos="9914"/>
        </w:tabs>
        <w:rPr>
          <w:rFonts w:asciiTheme="minorHAnsi" w:hAnsiTheme="minorHAnsi"/>
        </w:rPr>
      </w:pPr>
      <w:r>
        <w:rPr>
          <w:rFonts w:asciiTheme="minorHAnsi" w:hAnsiTheme="minorHAnsi"/>
        </w:rPr>
        <w:t xml:space="preserve">Przedmiotem niniejszej specyfikacji technicznej wykonania i odbioru Robót budowlanych (STWiORB)są wymagania dotyczące wykonania i odbioru robót budowlanych związanych z wykonaniem oraz ułożeniem betonu konstrukcyjnego w monolitycznych drogowych obiektach inżynierskich. </w:t>
      </w:r>
    </w:p>
    <w:p w:rsidR="002412CC" w:rsidRDefault="002412CC" w:rsidP="002412CC">
      <w:pPr>
        <w:pStyle w:val="Nagwek4"/>
        <w:tabs>
          <w:tab w:val="left" w:pos="9914"/>
        </w:tabs>
        <w:rPr>
          <w:rFonts w:asciiTheme="minorHAnsi" w:hAnsiTheme="minorHAnsi"/>
        </w:rPr>
      </w:pPr>
      <w:r>
        <w:t>1.2. Zakres stosowania STWiORB</w:t>
      </w:r>
    </w:p>
    <w:p w:rsidR="002412CC" w:rsidRDefault="002412CC" w:rsidP="002412CC">
      <w:pPr>
        <w:pStyle w:val="Nagwek7"/>
        <w:tabs>
          <w:tab w:val="left" w:pos="9914"/>
        </w:tabs>
        <w:rPr>
          <w:rFonts w:asciiTheme="minorHAnsi" w:hAnsiTheme="minorHAnsi"/>
        </w:rPr>
      </w:pPr>
      <w:r>
        <w:rPr>
          <w:rFonts w:asciiTheme="minorHAnsi" w:hAnsiTheme="minorHAnsi"/>
        </w:rPr>
        <w:t>Specyfikacja techniczna stanowi dokument przetargowy i kontraktowy przy realizacji  zadania  pn.</w:t>
      </w:r>
      <w:r w:rsidR="0030095A" w:rsidRPr="0030095A">
        <w:rPr>
          <w:rFonts w:ascii="Calibri" w:hAnsi="Calibri" w:cs="Calibri"/>
        </w:rPr>
        <w:t xml:space="preserve">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r>
        <w:rPr>
          <w:rFonts w:ascii="Calibri" w:hAnsi="Calibri" w:cs="Calibri"/>
          <w:b/>
          <w:bCs/>
          <w:color w:val="000000"/>
        </w:rPr>
        <w:t xml:space="preserve">  </w:t>
      </w:r>
      <w:r>
        <w:rPr>
          <w:rFonts w:asciiTheme="minorHAnsi" w:hAnsiTheme="minorHAnsi"/>
          <w:color w:val="000000"/>
          <w:spacing w:val="-1"/>
        </w:rPr>
        <w:t xml:space="preserve"> </w:t>
      </w:r>
      <w:r>
        <w:rPr>
          <w:rFonts w:asciiTheme="minorHAnsi" w:hAnsiTheme="minorHAnsi" w:cs="Arial"/>
          <w:b/>
          <w:bCs/>
        </w:rPr>
        <w:t xml:space="preserve"> </w:t>
      </w:r>
      <w:r>
        <w:rPr>
          <w:rFonts w:asciiTheme="minorHAnsi" w:hAnsiTheme="minorHAnsi"/>
          <w:color w:val="000000"/>
          <w:spacing w:val="-1"/>
        </w:rPr>
        <w:t xml:space="preserve"> </w:t>
      </w:r>
      <w:r>
        <w:rPr>
          <w:rFonts w:asciiTheme="minorHAnsi" w:hAnsiTheme="minorHAnsi" w:cs="Arial"/>
          <w:b/>
          <w:bCs/>
        </w:rPr>
        <w:t xml:space="preserve"> </w:t>
      </w:r>
      <w:r>
        <w:rPr>
          <w:rFonts w:asciiTheme="minorHAnsi" w:hAnsiTheme="minorHAnsi"/>
          <w:color w:val="000000"/>
          <w:spacing w:val="-1"/>
        </w:rPr>
        <w:t xml:space="preserve"> </w:t>
      </w:r>
      <w:r>
        <w:rPr>
          <w:rFonts w:asciiTheme="minorHAnsi" w:hAnsiTheme="minorHAnsi" w:cs="Arial"/>
          <w:b/>
          <w:bCs/>
        </w:rPr>
        <w:t xml:space="preserve"> </w:t>
      </w:r>
      <w:r>
        <w:rPr>
          <w:rFonts w:asciiTheme="minorHAnsi" w:hAnsiTheme="minorHAnsi"/>
          <w:color w:val="000000"/>
          <w:spacing w:val="-1"/>
        </w:rPr>
        <w:t xml:space="preserve">   </w:t>
      </w:r>
      <w:r>
        <w:rPr>
          <w:rFonts w:asciiTheme="minorHAnsi" w:hAnsiTheme="minorHAnsi" w:cs="Arial"/>
          <w:b/>
          <w:bCs/>
        </w:rPr>
        <w:t xml:space="preserve"> </w:t>
      </w:r>
      <w:r>
        <w:rPr>
          <w:rFonts w:asciiTheme="minorHAnsi" w:hAnsiTheme="minorHAnsi"/>
          <w:b/>
          <w:spacing w:val="-1"/>
        </w:rPr>
        <w:t xml:space="preserve"> </w:t>
      </w:r>
    </w:p>
    <w:p w:rsidR="002412CC" w:rsidRDefault="002412CC" w:rsidP="002412CC">
      <w:pPr>
        <w:pStyle w:val="Nagwek4"/>
        <w:tabs>
          <w:tab w:val="left" w:pos="9914"/>
        </w:tabs>
        <w:rPr>
          <w:rFonts w:asciiTheme="minorHAnsi" w:hAnsiTheme="minorHAnsi"/>
        </w:rPr>
      </w:pPr>
      <w:r>
        <w:t>1.3. Zakres robót objętych ST</w:t>
      </w:r>
      <w:r w:rsidR="00CF2816">
        <w:t>WiORB</w:t>
      </w:r>
      <w:r>
        <w:t xml:space="preserve"> </w:t>
      </w:r>
    </w:p>
    <w:p w:rsidR="002412CC" w:rsidRDefault="002412CC" w:rsidP="002412CC">
      <w:pPr>
        <w:tabs>
          <w:tab w:val="left" w:pos="9914"/>
        </w:tabs>
        <w:rPr>
          <w:rFonts w:asciiTheme="minorHAnsi" w:hAnsiTheme="minorHAnsi"/>
        </w:rPr>
      </w:pPr>
      <w:r>
        <w:rPr>
          <w:rFonts w:asciiTheme="minorHAnsi" w:hAnsiTheme="minorHAnsi"/>
        </w:rPr>
        <w:t xml:space="preserve">Ustalenia zawarte w niniejszej specyfikacji dotyczą zasad prowadzenia robót związanych z wykonaniem i odbiorem betonu konstrukcyjnego oraz ułożeniu go podczas wykonywania muru </w:t>
      </w:r>
      <w:r w:rsidR="00CF2816">
        <w:rPr>
          <w:rFonts w:asciiTheme="minorHAnsi" w:hAnsiTheme="minorHAnsi"/>
        </w:rPr>
        <w:t>oporowego</w:t>
      </w:r>
      <w:r>
        <w:rPr>
          <w:rFonts w:asciiTheme="minorHAnsi" w:hAnsiTheme="minorHAnsi"/>
        </w:rPr>
        <w:t xml:space="preserve">. </w:t>
      </w:r>
    </w:p>
    <w:p w:rsidR="002412CC" w:rsidRDefault="002412CC" w:rsidP="002412CC">
      <w:pPr>
        <w:tabs>
          <w:tab w:val="left" w:pos="9914"/>
        </w:tabs>
        <w:rPr>
          <w:b/>
        </w:rPr>
      </w:pPr>
      <w:r>
        <w:rPr>
          <w:rFonts w:asciiTheme="minorHAnsi" w:hAnsiTheme="minorHAnsi"/>
          <w:b/>
        </w:rPr>
        <w:t xml:space="preserve"> </w:t>
      </w:r>
      <w:r>
        <w:rPr>
          <w:b/>
        </w:rPr>
        <w:t xml:space="preserve">1.4. Określenia podstawowe </w:t>
      </w:r>
    </w:p>
    <w:p w:rsidR="002412CC" w:rsidRDefault="002412CC" w:rsidP="002412CC">
      <w:pPr>
        <w:tabs>
          <w:tab w:val="left" w:pos="9914"/>
        </w:tabs>
        <w:rPr>
          <w:rFonts w:asciiTheme="minorHAnsi" w:hAnsiTheme="minorHAnsi"/>
          <w:bCs/>
        </w:rPr>
      </w:pPr>
      <w:r>
        <w:rPr>
          <w:rFonts w:asciiTheme="minorHAnsi" w:hAnsiTheme="minorHAnsi"/>
          <w:b/>
          <w:bCs/>
        </w:rPr>
        <w:t>1.4.1</w:t>
      </w:r>
      <w:r>
        <w:rPr>
          <w:rFonts w:asciiTheme="minorHAnsi" w:hAnsiTheme="minorHAnsi"/>
          <w:bCs/>
        </w:rPr>
        <w:t>. Beton konstrukcyjny – beton w monolitycznych elementach obiektu mostowego o wytrzymałości nie mniejszej niż wytrzymałość betonu klasy C20/25.</w:t>
      </w:r>
    </w:p>
    <w:p w:rsidR="002412CC" w:rsidRDefault="002412CC" w:rsidP="002412CC">
      <w:pPr>
        <w:tabs>
          <w:tab w:val="left" w:pos="9914"/>
        </w:tabs>
        <w:rPr>
          <w:rFonts w:asciiTheme="minorHAnsi" w:hAnsiTheme="minorHAnsi"/>
        </w:rPr>
      </w:pPr>
      <w:r>
        <w:rPr>
          <w:rFonts w:asciiTheme="minorHAnsi" w:hAnsiTheme="minorHAnsi"/>
          <w:b/>
          <w:bCs/>
        </w:rPr>
        <w:t>1.4.2</w:t>
      </w:r>
      <w:r>
        <w:rPr>
          <w:rFonts w:asciiTheme="minorHAnsi" w:hAnsiTheme="minorHAnsi"/>
          <w:bCs/>
        </w:rPr>
        <w:t>.</w:t>
      </w:r>
      <w:r>
        <w:rPr>
          <w:rFonts w:asciiTheme="minorHAnsi" w:hAnsiTheme="minorHAnsi"/>
          <w:bCs/>
          <w:iCs/>
        </w:rPr>
        <w:t>Beton zwykły</w:t>
      </w:r>
      <w:r>
        <w:rPr>
          <w:rFonts w:asciiTheme="minorHAnsi" w:hAnsiTheme="minorHAnsi"/>
        </w:rPr>
        <w:t xml:space="preserve"> - beton o gęstości powyżej 1,8 kg/dm</w:t>
      </w:r>
      <w:r>
        <w:rPr>
          <w:rFonts w:asciiTheme="minorHAnsi" w:hAnsiTheme="minorHAnsi"/>
          <w:vertAlign w:val="superscript"/>
        </w:rPr>
        <w:t xml:space="preserve">3 </w:t>
      </w:r>
      <w:r>
        <w:rPr>
          <w:rFonts w:asciiTheme="minorHAnsi" w:hAnsiTheme="minorHAnsi"/>
        </w:rPr>
        <w:t>,ale nie przekraczający 2,6 kg/dm</w:t>
      </w:r>
      <w:r>
        <w:rPr>
          <w:rFonts w:asciiTheme="minorHAnsi" w:hAnsiTheme="minorHAnsi"/>
          <w:vertAlign w:val="superscript"/>
        </w:rPr>
        <w:t>3</w:t>
      </w:r>
      <w:r>
        <w:rPr>
          <w:rFonts w:asciiTheme="minorHAnsi" w:hAnsiTheme="minorHAnsi"/>
        </w:rPr>
        <w:t xml:space="preserve"> wykonany z cementu, wody, kruszywa mineralnego o frakcjach piaskowych i grubszych oraz ewentualnych dodatków mineralnych i domieszek chemicznych.</w:t>
      </w:r>
    </w:p>
    <w:p w:rsidR="002412CC" w:rsidRDefault="002412CC" w:rsidP="002412CC">
      <w:pPr>
        <w:tabs>
          <w:tab w:val="left" w:pos="9914"/>
        </w:tabs>
        <w:rPr>
          <w:rFonts w:asciiTheme="minorHAnsi" w:hAnsiTheme="minorHAnsi"/>
        </w:rPr>
      </w:pPr>
      <w:r>
        <w:rPr>
          <w:rFonts w:asciiTheme="minorHAnsi" w:hAnsiTheme="minorHAnsi"/>
          <w:b/>
          <w:bCs/>
        </w:rPr>
        <w:t>1.4.3</w:t>
      </w:r>
      <w:r>
        <w:rPr>
          <w:rFonts w:asciiTheme="minorHAnsi" w:hAnsiTheme="minorHAnsi"/>
          <w:bCs/>
        </w:rPr>
        <w:t>.</w:t>
      </w:r>
      <w:r>
        <w:rPr>
          <w:rFonts w:asciiTheme="minorHAnsi" w:hAnsiTheme="minorHAnsi"/>
          <w:bCs/>
          <w:iCs/>
        </w:rPr>
        <w:t xml:space="preserve">Mieszanka betonowa </w:t>
      </w:r>
      <w:r>
        <w:rPr>
          <w:rFonts w:asciiTheme="minorHAnsi" w:hAnsiTheme="minorHAnsi"/>
        </w:rPr>
        <w:t>- mieszanina wszystkich składników przed związaniem betonu.</w:t>
      </w:r>
    </w:p>
    <w:p w:rsidR="002412CC" w:rsidRDefault="002412CC" w:rsidP="002412CC">
      <w:pPr>
        <w:tabs>
          <w:tab w:val="left" w:pos="9914"/>
        </w:tabs>
        <w:rPr>
          <w:rFonts w:asciiTheme="minorHAnsi" w:hAnsiTheme="minorHAnsi"/>
        </w:rPr>
      </w:pPr>
      <w:r>
        <w:rPr>
          <w:rFonts w:asciiTheme="minorHAnsi" w:hAnsiTheme="minorHAnsi"/>
          <w:b/>
          <w:bCs/>
        </w:rPr>
        <w:t>1.4.4</w:t>
      </w:r>
      <w:r>
        <w:rPr>
          <w:rFonts w:asciiTheme="minorHAnsi" w:hAnsiTheme="minorHAnsi"/>
          <w:bCs/>
        </w:rPr>
        <w:t>.</w:t>
      </w:r>
      <w:r>
        <w:rPr>
          <w:rFonts w:asciiTheme="minorHAnsi" w:hAnsiTheme="minorHAnsi"/>
          <w:bCs/>
          <w:iCs/>
        </w:rPr>
        <w:t>Klasa betonu</w:t>
      </w:r>
      <w:r>
        <w:rPr>
          <w:rFonts w:asciiTheme="minorHAnsi" w:hAnsiTheme="minorHAnsi"/>
        </w:rPr>
        <w:t xml:space="preserve"> - symbol literowo-liczbowy (np. C25/30) klasyfikujący beton pod względem jego wytrzymałości na ściskanie; liczba po literze B oznacza wytrzymałość gwarantowaną R</w:t>
      </w:r>
      <w:r>
        <w:rPr>
          <w:rFonts w:asciiTheme="minorHAnsi" w:hAnsiTheme="minorHAnsi"/>
          <w:vertAlign w:val="subscript"/>
        </w:rPr>
        <w:t>b</w:t>
      </w:r>
      <w:r>
        <w:rPr>
          <w:rFonts w:asciiTheme="minorHAnsi" w:hAnsiTheme="minorHAnsi"/>
          <w:vertAlign w:val="superscript"/>
        </w:rPr>
        <w:t>G</w:t>
      </w:r>
      <w:r>
        <w:rPr>
          <w:rFonts w:asciiTheme="minorHAnsi" w:hAnsiTheme="minorHAnsi"/>
        </w:rPr>
        <w:t xml:space="preserve"> (np. beton klasy B30 przy R</w:t>
      </w:r>
      <w:r>
        <w:rPr>
          <w:rFonts w:asciiTheme="minorHAnsi" w:hAnsiTheme="minorHAnsi"/>
          <w:vertAlign w:val="subscript"/>
        </w:rPr>
        <w:t>b</w:t>
      </w:r>
      <w:r>
        <w:rPr>
          <w:rFonts w:asciiTheme="minorHAnsi" w:hAnsiTheme="minorHAnsi"/>
          <w:vertAlign w:val="superscript"/>
        </w:rPr>
        <w:t>G</w:t>
      </w:r>
      <w:r>
        <w:rPr>
          <w:rFonts w:asciiTheme="minorHAnsi" w:hAnsiTheme="minorHAnsi"/>
        </w:rPr>
        <w:t xml:space="preserve"> = 30 MPa). </w:t>
      </w:r>
    </w:p>
    <w:p w:rsidR="002412CC" w:rsidRDefault="002412CC" w:rsidP="002412CC">
      <w:pPr>
        <w:tabs>
          <w:tab w:val="left" w:pos="9914"/>
        </w:tabs>
        <w:rPr>
          <w:rFonts w:asciiTheme="minorHAnsi" w:hAnsiTheme="minorHAnsi"/>
        </w:rPr>
      </w:pPr>
      <w:r>
        <w:rPr>
          <w:rFonts w:asciiTheme="minorHAnsi" w:hAnsiTheme="minorHAnsi"/>
          <w:b/>
          <w:bCs/>
        </w:rPr>
        <w:t>1.4.5</w:t>
      </w:r>
      <w:r>
        <w:rPr>
          <w:rFonts w:asciiTheme="minorHAnsi" w:hAnsiTheme="minorHAnsi"/>
          <w:bCs/>
        </w:rPr>
        <w:t xml:space="preserve">. </w:t>
      </w:r>
      <w:r>
        <w:rPr>
          <w:rFonts w:asciiTheme="minorHAnsi" w:hAnsiTheme="minorHAnsi"/>
          <w:bCs/>
          <w:iCs/>
        </w:rPr>
        <w:t>Nasiąkliwość betonu</w:t>
      </w:r>
      <w:r>
        <w:rPr>
          <w:rFonts w:asciiTheme="minorHAnsi" w:hAnsiTheme="minorHAnsi"/>
        </w:rPr>
        <w:t xml:space="preserve"> - stosunek masy wody, którą zdolny jest wchłonąć beton do jego masy w stanie suchym.</w:t>
      </w:r>
    </w:p>
    <w:p w:rsidR="002412CC" w:rsidRDefault="002412CC" w:rsidP="002412CC">
      <w:pPr>
        <w:tabs>
          <w:tab w:val="left" w:pos="9914"/>
        </w:tabs>
        <w:rPr>
          <w:rFonts w:asciiTheme="minorHAnsi" w:hAnsiTheme="minorHAnsi"/>
        </w:rPr>
      </w:pPr>
      <w:r>
        <w:rPr>
          <w:rFonts w:asciiTheme="minorHAnsi" w:hAnsiTheme="minorHAnsi"/>
          <w:b/>
          <w:bCs/>
        </w:rPr>
        <w:t>1.4.6.</w:t>
      </w:r>
      <w:r>
        <w:rPr>
          <w:rFonts w:asciiTheme="minorHAnsi" w:hAnsiTheme="minorHAnsi"/>
          <w:bCs/>
          <w:iCs/>
        </w:rPr>
        <w:t>Stopień mrozoodporności</w:t>
      </w:r>
      <w:r>
        <w:rPr>
          <w:rFonts w:asciiTheme="minorHAnsi" w:hAnsiTheme="minorHAnsi"/>
        </w:rPr>
        <w:t xml:space="preserve"> - symbol literowo-liczbowy (np. F50) klasyfikujący beton pod względem jego odporności na działanie mrozu; liczba po literze F oznacza wymaganą liczbę cykli zamrażania i odmrażania próbek betonowych.</w:t>
      </w:r>
    </w:p>
    <w:p w:rsidR="002412CC" w:rsidRDefault="002412CC" w:rsidP="002412CC">
      <w:pPr>
        <w:tabs>
          <w:tab w:val="left" w:pos="9914"/>
        </w:tabs>
        <w:rPr>
          <w:rFonts w:asciiTheme="minorHAnsi" w:hAnsiTheme="minorHAnsi"/>
        </w:rPr>
      </w:pPr>
      <w:r>
        <w:rPr>
          <w:rFonts w:asciiTheme="minorHAnsi" w:hAnsiTheme="minorHAnsi"/>
          <w:b/>
          <w:bCs/>
          <w:iCs/>
        </w:rPr>
        <w:t>1.4.7.</w:t>
      </w:r>
      <w:r>
        <w:rPr>
          <w:rFonts w:asciiTheme="minorHAnsi" w:hAnsiTheme="minorHAnsi"/>
          <w:bCs/>
          <w:iCs/>
        </w:rPr>
        <w:t xml:space="preserve"> Stopień wodoszczelności</w:t>
      </w:r>
      <w:r>
        <w:rPr>
          <w:rFonts w:asciiTheme="minorHAnsi" w:hAnsiTheme="minorHAnsi"/>
        </w:rPr>
        <w:t xml:space="preserve"> – symbol literowo-liczbowy (np. W4) klasyfikujący beton pod względem przepuszczalności wody; liczba po literze W oznacza dziesięciokrotną zwiększoną wartość ciśnienia wody w MPa, działającego na próbki betonowe.</w:t>
      </w:r>
    </w:p>
    <w:p w:rsidR="002412CC" w:rsidRDefault="002412CC" w:rsidP="002412CC">
      <w:pPr>
        <w:tabs>
          <w:tab w:val="left" w:pos="9914"/>
        </w:tabs>
        <w:rPr>
          <w:rFonts w:asciiTheme="minorHAnsi" w:hAnsiTheme="minorHAnsi"/>
        </w:rPr>
      </w:pPr>
      <w:r>
        <w:rPr>
          <w:rFonts w:asciiTheme="minorHAnsi" w:hAnsiTheme="minorHAnsi"/>
          <w:b/>
        </w:rPr>
        <w:t>1.4.8</w:t>
      </w:r>
      <w:r>
        <w:rPr>
          <w:rFonts w:asciiTheme="minorHAnsi" w:hAnsiTheme="minorHAnsi"/>
        </w:rPr>
        <w:t>. Partia betonu – ilość betonu o tych samych wymaganiach, podlegająca oddzielnej ocenie, wyprodukowana w okresie umownym – nie dłuższym niż 1 miesiąc – z takich samych składników, w ten sam sposób i w tych samych warunkach.</w:t>
      </w:r>
    </w:p>
    <w:p w:rsidR="002412CC" w:rsidRDefault="002412CC" w:rsidP="002412CC">
      <w:pPr>
        <w:tabs>
          <w:tab w:val="left" w:pos="9914"/>
        </w:tabs>
        <w:rPr>
          <w:rFonts w:asciiTheme="minorHAnsi" w:hAnsiTheme="minorHAnsi"/>
        </w:rPr>
      </w:pPr>
      <w:r>
        <w:rPr>
          <w:rFonts w:asciiTheme="minorHAnsi" w:hAnsiTheme="minorHAnsi"/>
          <w:b/>
          <w:bCs/>
        </w:rPr>
        <w:t>1.4.9</w:t>
      </w:r>
      <w:r>
        <w:rPr>
          <w:rFonts w:asciiTheme="minorHAnsi" w:hAnsiTheme="minorHAnsi"/>
          <w:bCs/>
        </w:rPr>
        <w:t xml:space="preserve">. </w:t>
      </w:r>
      <w:r>
        <w:rPr>
          <w:rFonts w:asciiTheme="minorHAnsi" w:hAnsiTheme="minorHAnsi"/>
        </w:rPr>
        <w:t xml:space="preserve">Pozostałe określenia podstawowe są zgodne z obowiązującymi, odpowiednimi polskimi normami i z definicjami podanymi w STWiORB D-M-00.00.00 „Wymagania ogólne” pkt 1.4.  </w:t>
      </w:r>
    </w:p>
    <w:p w:rsidR="002412CC" w:rsidRDefault="002412CC" w:rsidP="002412CC">
      <w:pPr>
        <w:pStyle w:val="Nagwek4"/>
        <w:tabs>
          <w:tab w:val="left" w:pos="9914"/>
        </w:tabs>
        <w:rPr>
          <w:rFonts w:asciiTheme="minorHAnsi" w:hAnsiTheme="minorHAnsi"/>
        </w:rPr>
      </w:pPr>
      <w:r>
        <w:t>1.5.Ogólne wymagania dotyczące robót</w:t>
      </w:r>
    </w:p>
    <w:p w:rsidR="002412CC" w:rsidRDefault="002412CC" w:rsidP="002412CC">
      <w:pPr>
        <w:tabs>
          <w:tab w:val="left" w:pos="9914"/>
        </w:tabs>
        <w:rPr>
          <w:rFonts w:asciiTheme="minorHAnsi" w:hAnsiTheme="minorHAnsi"/>
        </w:rPr>
      </w:pPr>
      <w:r>
        <w:rPr>
          <w:rFonts w:asciiTheme="minorHAnsi" w:hAnsiTheme="minorHAnsi"/>
        </w:rPr>
        <w:t>Wykonawca robót jest odpowiedzialny za jakość ich wykonania oraz za zgodność z Dokumentacją Projektową.</w:t>
      </w:r>
    </w:p>
    <w:p w:rsidR="002412CC" w:rsidRDefault="002412CC" w:rsidP="002412CC">
      <w:pPr>
        <w:tabs>
          <w:tab w:val="left" w:pos="9914"/>
        </w:tabs>
        <w:rPr>
          <w:rFonts w:asciiTheme="minorHAnsi" w:hAnsiTheme="minorHAnsi"/>
        </w:rPr>
      </w:pPr>
      <w:r>
        <w:rPr>
          <w:rFonts w:asciiTheme="minorHAnsi" w:hAnsiTheme="minorHAnsi"/>
        </w:rPr>
        <w:t>Ogólne wymagania dotyczące robót podano w STWiORB D-M-00.00.00 „Wymagania ogólne” pkt 1.5.</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 xml:space="preserve">Dla betonu konstrukcyjnego stosowanego w drogowych obiektach inżynierskich powinny być spełnione wymagania podane w Rozporządzeniu Ministra Transportu i Gospodarki Morskiej z dnia 30 maja 2000 r. w sprawie warunków technicznych, jakim powinny odpowiadać drogowe obiekty inżynierskie i ich usytuowanie”, zwanym dalej Rozporządzeniem </w:t>
      </w:r>
    </w:p>
    <w:p w:rsidR="002412CC" w:rsidRPr="00E5206A" w:rsidRDefault="002412CC" w:rsidP="00E5206A">
      <w:pPr>
        <w:pStyle w:val="Nagwek3"/>
      </w:pPr>
      <w:r w:rsidRPr="00E5206A">
        <w:lastRenderedPageBreak/>
        <w:t>2. Materiały</w:t>
      </w:r>
    </w:p>
    <w:p w:rsidR="002412CC" w:rsidRDefault="002412CC" w:rsidP="002412CC">
      <w:pPr>
        <w:pStyle w:val="Nagwek4"/>
        <w:tabs>
          <w:tab w:val="left" w:pos="9914"/>
        </w:tabs>
        <w:rPr>
          <w:rFonts w:asciiTheme="minorHAnsi" w:hAnsiTheme="minorHAnsi"/>
        </w:rPr>
      </w:pPr>
      <w:r>
        <w:t>2.1. Ogólne wymagania dotyczące materiałów</w:t>
      </w:r>
    </w:p>
    <w:p w:rsidR="002412CC" w:rsidRDefault="002412CC" w:rsidP="002412CC">
      <w:pPr>
        <w:tabs>
          <w:tab w:val="left" w:pos="9914"/>
        </w:tabs>
        <w:rPr>
          <w:rFonts w:asciiTheme="minorHAnsi" w:hAnsiTheme="minorHAnsi"/>
        </w:rPr>
      </w:pPr>
      <w:r>
        <w:rPr>
          <w:rFonts w:asciiTheme="minorHAnsi" w:hAnsiTheme="minorHAnsi"/>
        </w:rPr>
        <w:t>Ogólne wymagania dotyczące materiałów, ich pozyskiwania i składowania, podano w STWiORB D-M-00.00.00 „Wymagania ogólne” pkt 2.</w:t>
      </w:r>
    </w:p>
    <w:p w:rsidR="002412CC" w:rsidRDefault="002412CC" w:rsidP="002412CC">
      <w:pPr>
        <w:pStyle w:val="Nagwek4"/>
        <w:tabs>
          <w:tab w:val="left" w:pos="9914"/>
        </w:tabs>
        <w:rPr>
          <w:rFonts w:asciiTheme="minorHAnsi" w:hAnsiTheme="minorHAnsi"/>
        </w:rPr>
      </w:pPr>
      <w:r>
        <w:t>2.2. Wytrzymałość betonu</w:t>
      </w:r>
    </w:p>
    <w:p w:rsidR="002412CC" w:rsidRDefault="002412CC" w:rsidP="002412CC">
      <w:pPr>
        <w:tabs>
          <w:tab w:val="left" w:pos="9914"/>
        </w:tabs>
        <w:rPr>
          <w:rFonts w:asciiTheme="minorHAnsi" w:hAnsiTheme="minorHAnsi"/>
        </w:rPr>
      </w:pPr>
      <w:r>
        <w:rPr>
          <w:rFonts w:asciiTheme="minorHAnsi" w:hAnsiTheme="minorHAnsi"/>
        </w:rPr>
        <w:t>Beton powinien mieć wytrzymałość określoną klasą zgodną z dokumentacją projektową.</w:t>
      </w:r>
    </w:p>
    <w:p w:rsidR="002412CC" w:rsidRDefault="002412CC" w:rsidP="002412CC">
      <w:pPr>
        <w:pStyle w:val="Nagwek4"/>
        <w:tabs>
          <w:tab w:val="left" w:pos="9914"/>
        </w:tabs>
        <w:rPr>
          <w:rFonts w:asciiTheme="minorHAnsi" w:hAnsiTheme="minorHAnsi"/>
        </w:rPr>
      </w:pPr>
      <w:r>
        <w:t>2.3. Składniki mieszanki betonowej</w:t>
      </w:r>
    </w:p>
    <w:p w:rsidR="002412CC" w:rsidRDefault="002412CC" w:rsidP="002412CC">
      <w:pPr>
        <w:tabs>
          <w:tab w:val="left" w:pos="9914"/>
        </w:tabs>
        <w:rPr>
          <w:rFonts w:asciiTheme="minorHAnsi" w:hAnsiTheme="minorHAnsi"/>
        </w:rPr>
      </w:pPr>
      <w:r>
        <w:rPr>
          <w:rFonts w:asciiTheme="minorHAnsi" w:hAnsiTheme="minorHAnsi"/>
          <w:b/>
        </w:rPr>
        <w:t>2.3.1</w:t>
      </w:r>
      <w:r>
        <w:rPr>
          <w:rFonts w:asciiTheme="minorHAnsi" w:hAnsiTheme="minorHAnsi"/>
        </w:rPr>
        <w:t xml:space="preserve">. Cement </w:t>
      </w:r>
    </w:p>
    <w:p w:rsidR="002412CC" w:rsidRDefault="002412CC" w:rsidP="002412CC">
      <w:pPr>
        <w:tabs>
          <w:tab w:val="left" w:pos="9914"/>
        </w:tabs>
        <w:rPr>
          <w:rFonts w:asciiTheme="minorHAnsi" w:hAnsiTheme="minorHAnsi"/>
          <w:color w:val="000000" w:themeColor="text1"/>
        </w:rPr>
      </w:pPr>
      <w:r>
        <w:rPr>
          <w:rFonts w:asciiTheme="minorHAnsi" w:hAnsiTheme="minorHAnsi"/>
          <w:color w:val="000000" w:themeColor="text1"/>
        </w:rPr>
        <w:t>Do wykonania betonu konstrukcyjnego powinien być stosowany cement portlandzki CEM I niskoalkaliczny:</w:t>
      </w:r>
    </w:p>
    <w:p w:rsidR="002412CC" w:rsidRDefault="002412CC" w:rsidP="002412CC">
      <w:pPr>
        <w:tabs>
          <w:tab w:val="left" w:pos="9914"/>
        </w:tabs>
        <w:rPr>
          <w:rFonts w:asciiTheme="minorHAnsi" w:hAnsiTheme="minorHAnsi"/>
          <w:color w:val="FF0000"/>
        </w:rPr>
      </w:pPr>
      <w:r>
        <w:rPr>
          <w:rFonts w:asciiTheme="minorHAnsi" w:hAnsiTheme="minorHAnsi"/>
          <w:color w:val="000000" w:themeColor="text1"/>
        </w:rPr>
        <w:t>do betonu klasy C20/25 – min. klasy 32,5</w:t>
      </w:r>
      <w:r>
        <w:rPr>
          <w:rFonts w:asciiTheme="minorHAnsi" w:hAnsiTheme="minorHAnsi"/>
          <w:color w:val="FF0000"/>
        </w:rPr>
        <w:t xml:space="preserve"> </w:t>
      </w:r>
    </w:p>
    <w:p w:rsidR="002412CC" w:rsidRDefault="002412CC" w:rsidP="002412CC">
      <w:pPr>
        <w:tabs>
          <w:tab w:val="left" w:pos="9914"/>
        </w:tabs>
        <w:rPr>
          <w:rFonts w:asciiTheme="minorHAnsi" w:hAnsiTheme="minorHAnsi"/>
        </w:rPr>
      </w:pPr>
      <w:r>
        <w:rPr>
          <w:rFonts w:asciiTheme="minorHAnsi" w:hAnsiTheme="minorHAnsi"/>
        </w:rPr>
        <w:t xml:space="preserve">do betonu klasy C25/30 i powyżej – min. klasy 42,5 </w:t>
      </w:r>
    </w:p>
    <w:p w:rsidR="002412CC" w:rsidRDefault="002412CC" w:rsidP="002412CC">
      <w:pPr>
        <w:tabs>
          <w:tab w:val="left" w:pos="9914"/>
        </w:tabs>
        <w:rPr>
          <w:rFonts w:asciiTheme="minorHAnsi" w:hAnsiTheme="minorHAnsi"/>
        </w:rPr>
      </w:pPr>
      <w:r>
        <w:rPr>
          <w:rFonts w:asciiTheme="minorHAnsi" w:hAnsiTheme="minorHAnsi"/>
        </w:rPr>
        <w:t>spełniający wymagania normy PN-EN 197-1:2002.</w:t>
      </w:r>
    </w:p>
    <w:p w:rsidR="002412CC" w:rsidRDefault="002412CC" w:rsidP="002412CC">
      <w:pPr>
        <w:tabs>
          <w:tab w:val="left" w:pos="9914"/>
        </w:tabs>
        <w:rPr>
          <w:rFonts w:asciiTheme="minorHAnsi" w:hAnsiTheme="minorHAnsi"/>
        </w:rPr>
      </w:pPr>
      <w:r>
        <w:rPr>
          <w:rFonts w:asciiTheme="minorHAnsi" w:hAnsiTheme="minorHAnsi"/>
        </w:rPr>
        <w:t>Zaleca się stosowanie cementu czystego (bez dodatków).</w:t>
      </w:r>
    </w:p>
    <w:p w:rsidR="002412CC" w:rsidRDefault="002412CC" w:rsidP="002412CC">
      <w:pPr>
        <w:tabs>
          <w:tab w:val="left" w:pos="9914"/>
        </w:tabs>
        <w:rPr>
          <w:rFonts w:asciiTheme="minorHAnsi" w:hAnsiTheme="minorHAnsi"/>
        </w:rPr>
      </w:pPr>
      <w:r>
        <w:rPr>
          <w:rFonts w:asciiTheme="minorHAnsi" w:hAnsiTheme="minorHAnsi"/>
        </w:rPr>
        <w:t>Dopuszcza się w uzasadnionych przypadkach ( konstrukcje masywne, wysokie temperatury w okresie wbudowywania betonu) zastosowanie innych cementów niż CEM I.</w:t>
      </w:r>
    </w:p>
    <w:p w:rsidR="002412CC" w:rsidRDefault="002412CC" w:rsidP="002412CC">
      <w:pPr>
        <w:tabs>
          <w:tab w:val="left" w:pos="9914"/>
        </w:tabs>
        <w:rPr>
          <w:rFonts w:asciiTheme="minorHAnsi" w:hAnsiTheme="minorHAnsi"/>
        </w:rPr>
      </w:pPr>
      <w:r>
        <w:rPr>
          <w:rFonts w:asciiTheme="minorHAnsi" w:hAnsiTheme="minorHAnsi"/>
        </w:rPr>
        <w:t>Stosowane  cementy powinny charakteryzować się następującym składem:</w:t>
      </w:r>
    </w:p>
    <w:p w:rsidR="002412CC" w:rsidRDefault="002412CC" w:rsidP="002412CC">
      <w:pPr>
        <w:tabs>
          <w:tab w:val="left" w:pos="9914"/>
        </w:tabs>
        <w:rPr>
          <w:rFonts w:asciiTheme="minorHAnsi" w:hAnsiTheme="minorHAnsi"/>
        </w:rPr>
      </w:pPr>
      <w:r>
        <w:rPr>
          <w:rFonts w:asciiTheme="minorHAnsi" w:hAnsiTheme="minorHAnsi"/>
        </w:rPr>
        <w:t>zawartość określona ułamkiem masowym krzemianu trójwapniowego (alitu) C</w:t>
      </w:r>
      <w:r>
        <w:rPr>
          <w:rFonts w:asciiTheme="minorHAnsi" w:hAnsiTheme="minorHAnsi"/>
          <w:vertAlign w:val="subscript"/>
        </w:rPr>
        <w:t>3</w:t>
      </w:r>
      <w:r>
        <w:rPr>
          <w:rFonts w:asciiTheme="minorHAnsi" w:hAnsiTheme="minorHAnsi"/>
        </w:rPr>
        <w:t>S – nie większa niż 60%,</w:t>
      </w:r>
    </w:p>
    <w:p w:rsidR="002412CC" w:rsidRDefault="002412CC" w:rsidP="002412CC">
      <w:pPr>
        <w:tabs>
          <w:tab w:val="left" w:pos="9914"/>
        </w:tabs>
        <w:rPr>
          <w:rFonts w:asciiTheme="minorHAnsi" w:hAnsiTheme="minorHAnsi"/>
        </w:rPr>
      </w:pPr>
      <w:r>
        <w:rPr>
          <w:rFonts w:asciiTheme="minorHAnsi" w:hAnsiTheme="minorHAnsi"/>
        </w:rPr>
        <w:t>zawartość określona ułamkiem masowym C</w:t>
      </w:r>
      <w:r>
        <w:rPr>
          <w:rFonts w:asciiTheme="minorHAnsi" w:hAnsiTheme="minorHAnsi"/>
          <w:vertAlign w:val="subscript"/>
        </w:rPr>
        <w:t>4</w:t>
      </w:r>
      <w:r>
        <w:rPr>
          <w:rFonts w:asciiTheme="minorHAnsi" w:hAnsiTheme="minorHAnsi"/>
        </w:rPr>
        <w:t>AF + 2 x C</w:t>
      </w:r>
      <w:r>
        <w:rPr>
          <w:rFonts w:asciiTheme="minorHAnsi" w:hAnsiTheme="minorHAnsi"/>
          <w:vertAlign w:val="subscript"/>
        </w:rPr>
        <w:t>3</w:t>
      </w:r>
      <w:r>
        <w:rPr>
          <w:rFonts w:asciiTheme="minorHAnsi" w:hAnsiTheme="minorHAnsi"/>
        </w:rPr>
        <w:t>A   - nie większa niż 20%,</w:t>
      </w:r>
    </w:p>
    <w:p w:rsidR="002412CC" w:rsidRDefault="002412CC" w:rsidP="002412CC">
      <w:pPr>
        <w:tabs>
          <w:tab w:val="left" w:pos="9914"/>
        </w:tabs>
        <w:rPr>
          <w:rFonts w:asciiTheme="minorHAnsi" w:hAnsiTheme="minorHAnsi"/>
        </w:rPr>
      </w:pPr>
      <w:r>
        <w:rPr>
          <w:rFonts w:asciiTheme="minorHAnsi" w:hAnsiTheme="minorHAnsi"/>
        </w:rPr>
        <w:t>zawartość określona ułamkiem masowym glinianu trójwapniowego C</w:t>
      </w:r>
      <w:r>
        <w:rPr>
          <w:rFonts w:asciiTheme="minorHAnsi" w:hAnsiTheme="minorHAnsi"/>
          <w:vertAlign w:val="subscript"/>
        </w:rPr>
        <w:t>3</w:t>
      </w:r>
      <w:r>
        <w:rPr>
          <w:rFonts w:asciiTheme="minorHAnsi" w:hAnsiTheme="minorHAnsi"/>
        </w:rPr>
        <w:t>A – nie większa niż 7%,</w:t>
      </w:r>
    </w:p>
    <w:p w:rsidR="002412CC" w:rsidRDefault="002412CC" w:rsidP="002412CC">
      <w:pPr>
        <w:tabs>
          <w:tab w:val="left" w:pos="9914"/>
        </w:tabs>
        <w:rPr>
          <w:rFonts w:asciiTheme="minorHAnsi" w:hAnsiTheme="minorHAnsi"/>
        </w:rPr>
      </w:pPr>
      <w:r>
        <w:rPr>
          <w:rFonts w:asciiTheme="minorHAnsi" w:hAnsiTheme="minorHAnsi"/>
        </w:rPr>
        <w:t xml:space="preserve">zawartość alkaliów nie powinna przekraczać 0,6%, w przypadku kruszywa niereaktywnego 0,9%.  </w:t>
      </w:r>
    </w:p>
    <w:p w:rsidR="002412CC" w:rsidRDefault="002412CC" w:rsidP="002412CC">
      <w:pPr>
        <w:tabs>
          <w:tab w:val="left" w:pos="9914"/>
        </w:tabs>
        <w:rPr>
          <w:rFonts w:asciiTheme="minorHAnsi" w:hAnsiTheme="minorHAnsi"/>
        </w:rPr>
      </w:pPr>
      <w:r>
        <w:rPr>
          <w:rFonts w:asciiTheme="minorHAnsi" w:hAnsiTheme="minorHAnsi"/>
        </w:rPr>
        <w:t>Do każdej dziennej dostawy cementu musi być dołączona deklaracja zgodności z normą PN-EN 197-1:2002, PN-EN 196-3:1996 i ST.</w:t>
      </w:r>
    </w:p>
    <w:p w:rsidR="002412CC" w:rsidRDefault="002412CC" w:rsidP="002412CC">
      <w:pPr>
        <w:tabs>
          <w:tab w:val="left" w:pos="9914"/>
        </w:tabs>
        <w:rPr>
          <w:rFonts w:asciiTheme="minorHAnsi" w:hAnsiTheme="minorHAnsi"/>
        </w:rPr>
      </w:pPr>
      <w:r>
        <w:rPr>
          <w:rFonts w:asciiTheme="minorHAnsi" w:hAnsiTheme="minorHAnsi"/>
        </w:rPr>
        <w:t>W wypadkach wątpliwości należy przeprowadzić kontrolę cementu obejmującą:</w:t>
      </w:r>
    </w:p>
    <w:p w:rsidR="002412CC" w:rsidRDefault="002412CC" w:rsidP="002412CC">
      <w:pPr>
        <w:tabs>
          <w:tab w:val="left" w:pos="9914"/>
        </w:tabs>
        <w:rPr>
          <w:rFonts w:asciiTheme="minorHAnsi" w:hAnsiTheme="minorHAnsi"/>
        </w:rPr>
      </w:pPr>
      <w:r>
        <w:rPr>
          <w:rFonts w:asciiTheme="minorHAnsi" w:hAnsiTheme="minorHAnsi"/>
        </w:rPr>
        <w:t>oznaczenie czasu wiązania wg PN-EN 196-3:1996,</w:t>
      </w:r>
    </w:p>
    <w:p w:rsidR="002412CC" w:rsidRDefault="002412CC" w:rsidP="002412CC">
      <w:pPr>
        <w:tabs>
          <w:tab w:val="left" w:pos="9914"/>
        </w:tabs>
        <w:rPr>
          <w:rFonts w:asciiTheme="minorHAnsi" w:hAnsiTheme="minorHAnsi"/>
        </w:rPr>
      </w:pPr>
      <w:r>
        <w:rPr>
          <w:rFonts w:asciiTheme="minorHAnsi" w:hAnsiTheme="minorHAnsi"/>
        </w:rPr>
        <w:t>oznaczenie zmiany objętości wg PN-EN 196-3:1996,</w:t>
      </w:r>
    </w:p>
    <w:p w:rsidR="002412CC" w:rsidRDefault="002412CC" w:rsidP="002412CC">
      <w:pPr>
        <w:tabs>
          <w:tab w:val="left" w:pos="9914"/>
        </w:tabs>
        <w:rPr>
          <w:rFonts w:asciiTheme="minorHAnsi" w:hAnsiTheme="minorHAnsi"/>
        </w:rPr>
      </w:pPr>
      <w:r>
        <w:rPr>
          <w:rFonts w:asciiTheme="minorHAnsi" w:hAnsiTheme="minorHAnsi"/>
        </w:rPr>
        <w:t>oznaczenie wytrzymałości wg PN-EN 196-1:1996.</w:t>
      </w:r>
    </w:p>
    <w:p w:rsidR="002412CC" w:rsidRDefault="002412CC" w:rsidP="002412CC">
      <w:pPr>
        <w:tabs>
          <w:tab w:val="left" w:pos="9914"/>
        </w:tabs>
        <w:rPr>
          <w:rFonts w:asciiTheme="minorHAnsi" w:hAnsiTheme="minorHAnsi"/>
        </w:rPr>
      </w:pPr>
      <w:r>
        <w:rPr>
          <w:rFonts w:asciiTheme="minorHAnsi" w:hAnsiTheme="minorHAnsi"/>
        </w:rPr>
        <w:t>Wyniki badań powinny być zgodne z wymaganiami dla cementu określonej klasy podanymi w normie PN-EN 197-1:2002.</w:t>
      </w:r>
    </w:p>
    <w:p w:rsidR="002412CC" w:rsidRDefault="002412CC" w:rsidP="002412CC">
      <w:pPr>
        <w:tabs>
          <w:tab w:val="left" w:pos="9914"/>
        </w:tabs>
        <w:rPr>
          <w:rFonts w:asciiTheme="minorHAnsi" w:hAnsiTheme="minorHAnsi"/>
        </w:rPr>
      </w:pPr>
      <w:r>
        <w:rPr>
          <w:rFonts w:asciiTheme="minorHAnsi" w:hAnsiTheme="minorHAnsi"/>
        </w:rPr>
        <w:t>Dla żadnej z klas cementów nie dopuszcza się występowania grudek nie dających się rozgnieść w palcach.</w:t>
      </w:r>
    </w:p>
    <w:p w:rsidR="002412CC" w:rsidRDefault="002412CC" w:rsidP="002412CC">
      <w:pPr>
        <w:tabs>
          <w:tab w:val="left" w:pos="9914"/>
        </w:tabs>
        <w:rPr>
          <w:rFonts w:asciiTheme="minorHAnsi" w:hAnsiTheme="minorHAnsi"/>
        </w:rPr>
      </w:pPr>
      <w:r>
        <w:rPr>
          <w:rFonts w:asciiTheme="minorHAnsi" w:hAnsiTheme="minorHAnsi"/>
        </w:rPr>
        <w:t>Cement należy przechowywać w sposób zgodny z postanowieniem BN-88/6731-08.</w:t>
      </w:r>
    </w:p>
    <w:p w:rsidR="002412CC" w:rsidRDefault="002412CC" w:rsidP="002412CC">
      <w:pPr>
        <w:tabs>
          <w:tab w:val="left" w:pos="9914"/>
        </w:tabs>
        <w:rPr>
          <w:rFonts w:asciiTheme="minorHAnsi" w:hAnsiTheme="minorHAnsi"/>
        </w:rPr>
      </w:pPr>
      <w:r>
        <w:rPr>
          <w:rFonts w:asciiTheme="minorHAnsi" w:hAnsiTheme="minorHAnsi"/>
        </w:rPr>
        <w:t>Do każdej partii dostarczonego cementu musi być dołączone świadectwo jakości (atest) wraz z wynikami badań z uwzględnieniem wymagań Rozporządzenia oraz ST. Każda partia cementu przed jej użyciem do betonu musi uzyskać akceptację Inżyniera.</w:t>
      </w:r>
    </w:p>
    <w:p w:rsidR="002412CC" w:rsidRDefault="002412CC" w:rsidP="002412CC">
      <w:pPr>
        <w:tabs>
          <w:tab w:val="left" w:pos="9914"/>
        </w:tabs>
        <w:rPr>
          <w:rFonts w:asciiTheme="minorHAnsi" w:hAnsiTheme="minorHAnsi"/>
        </w:rPr>
      </w:pPr>
      <w:r>
        <w:rPr>
          <w:rFonts w:asciiTheme="minorHAnsi" w:hAnsiTheme="minorHAnsi"/>
          <w:b/>
        </w:rPr>
        <w:t>2.3.2.</w:t>
      </w:r>
      <w:r>
        <w:rPr>
          <w:rFonts w:asciiTheme="minorHAnsi" w:hAnsiTheme="minorHAnsi"/>
        </w:rPr>
        <w:t xml:space="preserve"> Kruszywo</w:t>
      </w:r>
    </w:p>
    <w:p w:rsidR="002412CC" w:rsidRDefault="002412CC" w:rsidP="002412CC">
      <w:pPr>
        <w:tabs>
          <w:tab w:val="left" w:pos="9914"/>
        </w:tabs>
        <w:rPr>
          <w:rFonts w:asciiTheme="minorHAnsi" w:hAnsiTheme="minorHAnsi"/>
        </w:rPr>
      </w:pPr>
      <w:r>
        <w:rPr>
          <w:rFonts w:asciiTheme="minorHAnsi" w:hAnsiTheme="minorHAnsi"/>
        </w:rPr>
        <w:t>Kruszywo do wykonania betonu konstrukcyjnego powinno być marki nie mniejszej niż symbol liczbowy klasy betonu i odpowiadać wymaganiom normy PN-86/B-06712 dla kruszyw mineralnych. Ponadto kruszywo powinno spełniać wymagania określone w punktach 2.3.2.1 i 2.3.2.2.</w:t>
      </w:r>
    </w:p>
    <w:p w:rsidR="002412CC" w:rsidRDefault="002412CC" w:rsidP="002412CC">
      <w:pPr>
        <w:tabs>
          <w:tab w:val="left" w:pos="9914"/>
        </w:tabs>
        <w:rPr>
          <w:rFonts w:asciiTheme="minorHAnsi" w:hAnsiTheme="minorHAnsi"/>
        </w:rPr>
      </w:pPr>
      <w:r>
        <w:rPr>
          <w:rFonts w:asciiTheme="minorHAnsi" w:hAnsiTheme="minorHAnsi"/>
        </w:rPr>
        <w:t xml:space="preserve">2.3.2.1. Kruszywo grube </w:t>
      </w:r>
    </w:p>
    <w:p w:rsidR="002412CC" w:rsidRDefault="002412CC" w:rsidP="002412CC">
      <w:pPr>
        <w:tabs>
          <w:tab w:val="left" w:pos="9914"/>
        </w:tabs>
        <w:rPr>
          <w:rFonts w:asciiTheme="minorHAnsi" w:hAnsiTheme="minorHAnsi"/>
        </w:rPr>
      </w:pPr>
      <w:r>
        <w:rPr>
          <w:rFonts w:asciiTheme="minorHAnsi" w:hAnsiTheme="minorHAnsi"/>
        </w:rPr>
        <w:t>Jako kruszywo grube powinny być stosowane:</w:t>
      </w:r>
    </w:p>
    <w:p w:rsidR="002412CC" w:rsidRDefault="002412CC" w:rsidP="002412CC">
      <w:pPr>
        <w:tabs>
          <w:tab w:val="left" w:pos="9914"/>
        </w:tabs>
        <w:rPr>
          <w:rFonts w:asciiTheme="minorHAnsi" w:hAnsiTheme="minorHAnsi"/>
        </w:rPr>
      </w:pPr>
      <w:r>
        <w:rPr>
          <w:rFonts w:asciiTheme="minorHAnsi" w:hAnsiTheme="minorHAnsi"/>
        </w:rPr>
        <w:t>do betonów klas B30 i wyższych - grysy granitowe, bazaltowe lub z innych skał zbadanych przez uprawnioną jednostkę badawczą, o maksymalnym wymiarze ziarna nie większym niż 16 mm, spełniające następujące wymagania:</w:t>
      </w:r>
    </w:p>
    <w:p w:rsidR="002412CC" w:rsidRDefault="002412CC" w:rsidP="002412CC">
      <w:pPr>
        <w:tabs>
          <w:tab w:val="left" w:pos="9914"/>
        </w:tabs>
        <w:rPr>
          <w:rFonts w:asciiTheme="minorHAnsi" w:hAnsiTheme="minorHAnsi"/>
        </w:rPr>
      </w:pPr>
      <w:r>
        <w:rPr>
          <w:rFonts w:asciiTheme="minorHAnsi" w:hAnsiTheme="minorHAnsi"/>
        </w:rPr>
        <w:t>zawartość określona ułamkiem masowym pyłów mineralnych  nie powinna być większa niż 1%,</w:t>
      </w:r>
    </w:p>
    <w:p w:rsidR="002412CC" w:rsidRDefault="002412CC" w:rsidP="002412CC">
      <w:pPr>
        <w:tabs>
          <w:tab w:val="left" w:pos="9914"/>
        </w:tabs>
        <w:rPr>
          <w:rFonts w:asciiTheme="minorHAnsi" w:hAnsiTheme="minorHAnsi"/>
        </w:rPr>
      </w:pPr>
      <w:r>
        <w:rPr>
          <w:rFonts w:asciiTheme="minorHAnsi" w:hAnsiTheme="minorHAnsi"/>
        </w:rPr>
        <w:t>wskaźnik określony ułamkiem masowym rozkruszenia dla grysów granitowych nie powinien być większy niż 16%, dla grysów  bazaltowych i innych nie powinien być większy niż 8%,</w:t>
      </w:r>
    </w:p>
    <w:p w:rsidR="002412CC" w:rsidRDefault="002412CC" w:rsidP="002412CC">
      <w:pPr>
        <w:tabs>
          <w:tab w:val="left" w:pos="9914"/>
        </w:tabs>
        <w:rPr>
          <w:rFonts w:asciiTheme="minorHAnsi" w:hAnsiTheme="minorHAnsi"/>
        </w:rPr>
      </w:pPr>
      <w:r>
        <w:rPr>
          <w:rFonts w:asciiTheme="minorHAnsi" w:hAnsiTheme="minorHAnsi"/>
        </w:rPr>
        <w:t>nasiąkliwość dla kruszywa marki 30 i marki 50 odmiany II nie powinna być większa niż 1,2%,</w:t>
      </w:r>
    </w:p>
    <w:p w:rsidR="002412CC" w:rsidRDefault="002412CC" w:rsidP="002412CC">
      <w:pPr>
        <w:tabs>
          <w:tab w:val="left" w:pos="9914"/>
        </w:tabs>
        <w:rPr>
          <w:rFonts w:asciiTheme="minorHAnsi" w:hAnsiTheme="minorHAnsi"/>
        </w:rPr>
      </w:pPr>
      <w:r>
        <w:rPr>
          <w:rFonts w:asciiTheme="minorHAnsi" w:hAnsiTheme="minorHAnsi"/>
        </w:rPr>
        <w:t>mrozoodporność dla kruszywa marki 30 wg metody bezpośredniej nie powinna być większa niż 2%, a wg zmodyfikowanej metody bezpośredniej, wg PN-B-11112:1996 nie większa niż 10%,</w:t>
      </w:r>
    </w:p>
    <w:p w:rsidR="002412CC" w:rsidRDefault="002412CC" w:rsidP="002412CC">
      <w:pPr>
        <w:tabs>
          <w:tab w:val="left" w:pos="9914"/>
        </w:tabs>
        <w:rPr>
          <w:rFonts w:asciiTheme="minorHAnsi" w:hAnsiTheme="minorHAnsi"/>
        </w:rPr>
      </w:pPr>
      <w:r>
        <w:rPr>
          <w:rFonts w:asciiTheme="minorHAnsi" w:hAnsiTheme="minorHAnsi"/>
        </w:rPr>
        <w:t>zawartość podziarna, określona ułamkiem masowym, nie powinna być większa niż   5%, a nadziarna nie większa niż 10%, zawartość ziaren nieforemnych nie powinna być wyższa niż 20%, reaktywność alkaliczna z cementem określona wg PN-91/B-06714.34 nie wywołująca zwiększenia wymiarów liniowych ponad 0,1%,</w:t>
      </w:r>
    </w:p>
    <w:p w:rsidR="002412CC" w:rsidRDefault="002412CC" w:rsidP="002412CC">
      <w:pPr>
        <w:tabs>
          <w:tab w:val="left" w:pos="9914"/>
        </w:tabs>
        <w:rPr>
          <w:rFonts w:asciiTheme="minorHAnsi" w:hAnsiTheme="minorHAnsi"/>
        </w:rPr>
      </w:pPr>
      <w:r>
        <w:rPr>
          <w:rFonts w:asciiTheme="minorHAnsi" w:hAnsiTheme="minorHAnsi"/>
        </w:rPr>
        <w:lastRenderedPageBreak/>
        <w:t>zawartość związków siarki nie powinna być wyższa niż 0,1%, zawartość zanieczyszczeń obcych nie powinna być wyższa niż 0,25%, zawartość   zanieczyszczeń   organicznych  nie  powodująca  barwy  ciemniejszej od  wzorcowej, w kruszywie nie dopuszcza się grudek gliny,</w:t>
      </w:r>
    </w:p>
    <w:p w:rsidR="002412CC" w:rsidRDefault="002412CC" w:rsidP="002412CC">
      <w:pPr>
        <w:tabs>
          <w:tab w:val="left" w:pos="9914"/>
        </w:tabs>
        <w:rPr>
          <w:rFonts w:asciiTheme="minorHAnsi" w:hAnsiTheme="minorHAnsi"/>
        </w:rPr>
      </w:pPr>
      <w:r>
        <w:rPr>
          <w:rFonts w:asciiTheme="minorHAnsi" w:hAnsiTheme="minorHAnsi"/>
        </w:rPr>
        <w:t xml:space="preserve">dla betonów klasy C25/30 i klas wyższych uziarnienie kruszywa powinno być ustalone doświadczalnie. </w:t>
      </w:r>
      <w:r>
        <w:rPr>
          <w:noProof/>
        </w:rPr>
        <w:drawing>
          <wp:anchor distT="0" distB="0" distL="114300" distR="114300" simplePos="0" relativeHeight="251665408" behindDoc="0" locked="1" layoutInCell="1" allowOverlap="1">
            <wp:simplePos x="0" y="0"/>
            <wp:positionH relativeFrom="column">
              <wp:posOffset>395605</wp:posOffset>
            </wp:positionH>
            <wp:positionV relativeFrom="paragraph">
              <wp:posOffset>62865</wp:posOffset>
            </wp:positionV>
            <wp:extent cx="5810250" cy="2924175"/>
            <wp:effectExtent l="0" t="0" r="0" b="0"/>
            <wp:wrapTopAndBottom/>
            <wp:docPr id="16" name="Wykres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anchor>
        </w:drawing>
      </w:r>
    </w:p>
    <w:p w:rsidR="002412CC" w:rsidRDefault="002412CC" w:rsidP="002412CC">
      <w:pPr>
        <w:tabs>
          <w:tab w:val="left" w:pos="9914"/>
        </w:tabs>
        <w:rPr>
          <w:rFonts w:asciiTheme="minorHAnsi" w:hAnsiTheme="minorHAnsi"/>
        </w:rPr>
      </w:pPr>
      <w:r>
        <w:rPr>
          <w:rFonts w:asciiTheme="minorHAnsi" w:hAnsiTheme="minorHAnsi"/>
        </w:rPr>
        <w:t>do betonu klasy C20/25 – żwir o maksymalnym wymiarze ziarna nie większym niż 31,5 mm, spełniający następujące wymagania:</w:t>
      </w:r>
    </w:p>
    <w:p w:rsidR="002412CC" w:rsidRDefault="002412CC" w:rsidP="002412CC">
      <w:pPr>
        <w:tabs>
          <w:tab w:val="left" w:pos="9914"/>
        </w:tabs>
        <w:rPr>
          <w:rFonts w:asciiTheme="minorHAnsi" w:hAnsiTheme="minorHAnsi"/>
        </w:rPr>
      </w:pPr>
      <w:r>
        <w:rPr>
          <w:rFonts w:asciiTheme="minorHAnsi" w:hAnsiTheme="minorHAnsi"/>
        </w:rPr>
        <w:t>w zakresie cech fizycznych i chemicznych określone w normie PN-86/B-06712 dla kruszywa marki 30,</w:t>
      </w:r>
    </w:p>
    <w:p w:rsidR="002412CC" w:rsidRDefault="002412CC" w:rsidP="002412CC">
      <w:pPr>
        <w:tabs>
          <w:tab w:val="left" w:pos="9914"/>
        </w:tabs>
        <w:rPr>
          <w:rFonts w:asciiTheme="minorHAnsi" w:hAnsiTheme="minorHAnsi"/>
        </w:rPr>
      </w:pPr>
      <w:r>
        <w:rPr>
          <w:rFonts w:asciiTheme="minorHAnsi" w:hAnsiTheme="minorHAnsi"/>
        </w:rPr>
        <w:t>mrozoodporność wg zmodyfikowanej metody bezpośredniej nie powinna być większa niż 10%,</w:t>
      </w:r>
    </w:p>
    <w:p w:rsidR="002412CC" w:rsidRDefault="002412CC" w:rsidP="002412CC">
      <w:pPr>
        <w:tabs>
          <w:tab w:val="left" w:pos="9914"/>
        </w:tabs>
        <w:rPr>
          <w:rFonts w:asciiTheme="minorHAnsi" w:hAnsiTheme="minorHAnsi"/>
        </w:rPr>
      </w:pPr>
      <w:r>
        <w:rPr>
          <w:rFonts w:asciiTheme="minorHAnsi" w:hAnsiTheme="minorHAnsi"/>
        </w:rPr>
        <w:t>zawartość podziarna, określona ułamkiem masowym, nie powinna być większa niż 5%, a nadziarna nie większa niż 10%,</w:t>
      </w:r>
    </w:p>
    <w:p w:rsidR="002412CC" w:rsidRDefault="002412CC" w:rsidP="002412CC">
      <w:pPr>
        <w:tabs>
          <w:tab w:val="left" w:pos="9914"/>
        </w:tabs>
        <w:rPr>
          <w:rFonts w:asciiTheme="minorHAnsi" w:hAnsiTheme="minorHAnsi"/>
        </w:rPr>
      </w:pPr>
      <w:r>
        <w:rPr>
          <w:rFonts w:asciiTheme="minorHAnsi" w:hAnsiTheme="minorHAnsi"/>
        </w:rPr>
        <w:t xml:space="preserve">nie dopuszcza się grudek gliny, </w:t>
      </w:r>
    </w:p>
    <w:p w:rsidR="002412CC" w:rsidRDefault="002412CC" w:rsidP="002412CC">
      <w:pPr>
        <w:tabs>
          <w:tab w:val="left" w:pos="9914"/>
        </w:tabs>
        <w:rPr>
          <w:rFonts w:asciiTheme="minorHAnsi" w:hAnsiTheme="minorHAnsi"/>
        </w:rPr>
      </w:pPr>
      <w:r>
        <w:rPr>
          <w:noProof/>
        </w:rPr>
        <w:drawing>
          <wp:anchor distT="0" distB="0" distL="114300" distR="114300" simplePos="0" relativeHeight="251666432" behindDoc="0" locked="1" layoutInCell="1" allowOverlap="1">
            <wp:simplePos x="0" y="0"/>
            <wp:positionH relativeFrom="column">
              <wp:posOffset>0</wp:posOffset>
            </wp:positionH>
            <wp:positionV relativeFrom="paragraph">
              <wp:posOffset>48260</wp:posOffset>
            </wp:positionV>
            <wp:extent cx="5676900" cy="2644775"/>
            <wp:effectExtent l="0" t="0" r="0" b="0"/>
            <wp:wrapTopAndBottom/>
            <wp:docPr id="17" name="Wykres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anchor>
        </w:drawing>
      </w:r>
    </w:p>
    <w:p w:rsidR="002412CC" w:rsidRDefault="002412CC" w:rsidP="002412CC">
      <w:pPr>
        <w:tabs>
          <w:tab w:val="left" w:pos="9914"/>
        </w:tabs>
        <w:rPr>
          <w:rFonts w:asciiTheme="minorHAnsi" w:hAnsiTheme="minorHAnsi"/>
        </w:rPr>
      </w:pPr>
      <w:r>
        <w:rPr>
          <w:rFonts w:asciiTheme="minorHAnsi" w:hAnsiTheme="minorHAnsi"/>
        </w:rPr>
        <w:t>2.3.2.2. Kruszywo drobne</w:t>
      </w:r>
    </w:p>
    <w:p w:rsidR="002412CC" w:rsidRDefault="002412CC" w:rsidP="002412CC">
      <w:pPr>
        <w:tabs>
          <w:tab w:val="left" w:pos="9914"/>
        </w:tabs>
        <w:rPr>
          <w:rFonts w:asciiTheme="minorHAnsi" w:hAnsiTheme="minorHAnsi"/>
        </w:rPr>
      </w:pPr>
      <w:r>
        <w:rPr>
          <w:rFonts w:asciiTheme="minorHAnsi" w:hAnsiTheme="minorHAnsi"/>
        </w:rPr>
        <w:t>Jako kruszywo drobne powinny być stosowane piaski o uziarnieniu nie większym niż 2 mm pochodzenia rzecznego lub kompozycja piasku rzecznego i kopalnianego uszlachetnionego, spełniające wymagania:</w:t>
      </w:r>
    </w:p>
    <w:p w:rsidR="002412CC" w:rsidRDefault="002412CC" w:rsidP="002412CC">
      <w:pPr>
        <w:tabs>
          <w:tab w:val="left" w:pos="9914"/>
        </w:tabs>
        <w:rPr>
          <w:rFonts w:asciiTheme="minorHAnsi" w:hAnsiTheme="minorHAnsi"/>
        </w:rPr>
      </w:pPr>
      <w:r>
        <w:rPr>
          <w:rFonts w:asciiTheme="minorHAnsi" w:hAnsiTheme="minorHAnsi"/>
        </w:rPr>
        <w:t>w zakresie zawartości określonych ułamkiem masowym poszczególnych frakcji w stosie okruchowym:</w:t>
      </w:r>
    </w:p>
    <w:p w:rsidR="002412CC" w:rsidRDefault="002412CC" w:rsidP="002412CC">
      <w:pPr>
        <w:tabs>
          <w:tab w:val="left" w:pos="9914"/>
        </w:tabs>
        <w:rPr>
          <w:rFonts w:asciiTheme="minorHAnsi" w:hAnsiTheme="minorHAnsi"/>
        </w:rPr>
      </w:pPr>
      <w:r>
        <w:rPr>
          <w:rFonts w:asciiTheme="minorHAnsi" w:hAnsiTheme="minorHAnsi"/>
        </w:rPr>
        <w:t>ziarna nie większe niż 0,25 mm – (14</w:t>
      </w:r>
      <w:r>
        <w:rPr>
          <w:rFonts w:asciiTheme="minorHAnsi" w:hAnsiTheme="minorHAnsi"/>
        </w:rPr>
        <w:sym w:font="Symbol" w:char="F0B8"/>
      </w:r>
      <w:r>
        <w:rPr>
          <w:rFonts w:asciiTheme="minorHAnsi" w:hAnsiTheme="minorHAnsi"/>
        </w:rPr>
        <w:t>19)%,</w:t>
      </w:r>
    </w:p>
    <w:p w:rsidR="002412CC" w:rsidRDefault="002412CC" w:rsidP="002412CC">
      <w:pPr>
        <w:tabs>
          <w:tab w:val="left" w:pos="9914"/>
        </w:tabs>
        <w:rPr>
          <w:rFonts w:asciiTheme="minorHAnsi" w:hAnsiTheme="minorHAnsi"/>
        </w:rPr>
      </w:pPr>
      <w:r>
        <w:rPr>
          <w:rFonts w:asciiTheme="minorHAnsi" w:hAnsiTheme="minorHAnsi"/>
        </w:rPr>
        <w:t>ziarna nie większe niż 0,5 mm – (33</w:t>
      </w:r>
      <w:r>
        <w:rPr>
          <w:rFonts w:asciiTheme="minorHAnsi" w:hAnsiTheme="minorHAnsi"/>
        </w:rPr>
        <w:sym w:font="Symbol" w:char="F0B8"/>
      </w:r>
      <w:r>
        <w:rPr>
          <w:rFonts w:asciiTheme="minorHAnsi" w:hAnsiTheme="minorHAnsi"/>
        </w:rPr>
        <w:t>48)%,</w:t>
      </w:r>
    </w:p>
    <w:p w:rsidR="002412CC" w:rsidRDefault="002412CC" w:rsidP="002412CC">
      <w:pPr>
        <w:tabs>
          <w:tab w:val="left" w:pos="9914"/>
        </w:tabs>
        <w:rPr>
          <w:rFonts w:asciiTheme="minorHAnsi" w:hAnsiTheme="minorHAnsi"/>
        </w:rPr>
      </w:pPr>
      <w:r>
        <w:rPr>
          <w:rFonts w:asciiTheme="minorHAnsi" w:hAnsiTheme="minorHAnsi"/>
        </w:rPr>
        <w:lastRenderedPageBreak/>
        <w:t>ziarna nie większe niż 1 mm – (57</w:t>
      </w:r>
      <w:r>
        <w:rPr>
          <w:rFonts w:asciiTheme="minorHAnsi" w:hAnsiTheme="minorHAnsi"/>
        </w:rPr>
        <w:sym w:font="Symbol" w:char="F0B8"/>
      </w:r>
      <w:r>
        <w:rPr>
          <w:rFonts w:asciiTheme="minorHAnsi" w:hAnsiTheme="minorHAnsi"/>
        </w:rPr>
        <w:t>76)%,</w:t>
      </w:r>
    </w:p>
    <w:p w:rsidR="002412CC" w:rsidRDefault="002412CC" w:rsidP="002412CC">
      <w:pPr>
        <w:tabs>
          <w:tab w:val="left" w:pos="9914"/>
        </w:tabs>
        <w:rPr>
          <w:rFonts w:asciiTheme="minorHAnsi" w:hAnsiTheme="minorHAnsi"/>
        </w:rPr>
      </w:pPr>
      <w:r>
        <w:rPr>
          <w:rFonts w:asciiTheme="minorHAnsi" w:hAnsiTheme="minorHAnsi"/>
        </w:rPr>
        <w:t>2)  w zakresie cech fizycznych i chemicznych:</w:t>
      </w:r>
    </w:p>
    <w:p w:rsidR="002412CC" w:rsidRDefault="002412CC" w:rsidP="002412CC">
      <w:pPr>
        <w:tabs>
          <w:tab w:val="left" w:pos="9914"/>
        </w:tabs>
        <w:rPr>
          <w:rFonts w:asciiTheme="minorHAnsi" w:hAnsiTheme="minorHAnsi"/>
        </w:rPr>
      </w:pPr>
      <w:r>
        <w:rPr>
          <w:rFonts w:asciiTheme="minorHAnsi" w:hAnsiTheme="minorHAnsi"/>
        </w:rPr>
        <w:t>zawartość określona ułamkiem masowym pyłów mineralnych nie powinna być większa niż 1,5%,</w:t>
      </w:r>
    </w:p>
    <w:p w:rsidR="002412CC" w:rsidRDefault="002412CC" w:rsidP="002412CC">
      <w:pPr>
        <w:tabs>
          <w:tab w:val="left" w:pos="9914"/>
        </w:tabs>
        <w:rPr>
          <w:rFonts w:asciiTheme="minorHAnsi" w:hAnsiTheme="minorHAnsi"/>
        </w:rPr>
      </w:pPr>
      <w:r>
        <w:rPr>
          <w:rFonts w:asciiTheme="minorHAnsi" w:hAnsiTheme="minorHAnsi"/>
        </w:rPr>
        <w:t>zawartość związków siarki nie powinna być wyższa niż 0,2%,</w:t>
      </w:r>
    </w:p>
    <w:p w:rsidR="002412CC" w:rsidRDefault="002412CC" w:rsidP="002412CC">
      <w:pPr>
        <w:tabs>
          <w:tab w:val="left" w:pos="9914"/>
        </w:tabs>
        <w:rPr>
          <w:rFonts w:asciiTheme="minorHAnsi" w:hAnsiTheme="minorHAnsi"/>
        </w:rPr>
      </w:pPr>
      <w:r>
        <w:rPr>
          <w:rFonts w:asciiTheme="minorHAnsi" w:hAnsiTheme="minorHAnsi"/>
        </w:rPr>
        <w:t>zawartość określona ułamkiem masowym zanieczyszczeń obcych – nie większa niż 0,25%,</w:t>
      </w:r>
    </w:p>
    <w:p w:rsidR="002412CC" w:rsidRDefault="002412CC" w:rsidP="002412CC">
      <w:pPr>
        <w:tabs>
          <w:tab w:val="left" w:pos="9914"/>
        </w:tabs>
        <w:rPr>
          <w:rFonts w:asciiTheme="minorHAnsi" w:hAnsiTheme="minorHAnsi"/>
        </w:rPr>
      </w:pPr>
      <w:r>
        <w:rPr>
          <w:rFonts w:asciiTheme="minorHAnsi" w:hAnsiTheme="minorHAnsi"/>
        </w:rPr>
        <w:t>zawartość zanieczyszczeń organicznych nie powodująca barwy ciemniejszej od wzorcowej,</w:t>
      </w:r>
    </w:p>
    <w:p w:rsidR="002412CC" w:rsidRDefault="002412CC" w:rsidP="002412CC">
      <w:pPr>
        <w:tabs>
          <w:tab w:val="left" w:pos="9914"/>
        </w:tabs>
        <w:rPr>
          <w:rFonts w:asciiTheme="minorHAnsi" w:hAnsiTheme="minorHAnsi"/>
        </w:rPr>
      </w:pPr>
      <w:r>
        <w:rPr>
          <w:rFonts w:asciiTheme="minorHAnsi" w:hAnsiTheme="minorHAnsi"/>
        </w:rPr>
        <w:t>reaktywność alkaliczna z cementem określona wg PN-92/B-06714.46 stopień reaktywności - 0,</w:t>
      </w:r>
    </w:p>
    <w:p w:rsidR="002412CC" w:rsidRDefault="002412CC" w:rsidP="002412CC">
      <w:pPr>
        <w:tabs>
          <w:tab w:val="left" w:pos="9914"/>
        </w:tabs>
        <w:rPr>
          <w:rFonts w:asciiTheme="minorHAnsi" w:hAnsiTheme="minorHAnsi"/>
        </w:rPr>
      </w:pPr>
      <w:r>
        <w:rPr>
          <w:rFonts w:asciiTheme="minorHAnsi" w:hAnsiTheme="minorHAnsi"/>
        </w:rPr>
        <w:t xml:space="preserve">nie dopuszcza się grudek gliny. </w:t>
      </w:r>
    </w:p>
    <w:p w:rsidR="002412CC" w:rsidRDefault="002412CC" w:rsidP="002412CC">
      <w:pPr>
        <w:tabs>
          <w:tab w:val="left" w:pos="9914"/>
        </w:tabs>
        <w:rPr>
          <w:rFonts w:asciiTheme="minorHAnsi" w:hAnsiTheme="minorHAnsi"/>
        </w:rPr>
      </w:pPr>
      <w:r>
        <w:rPr>
          <w:rFonts w:asciiTheme="minorHAnsi" w:hAnsiTheme="minorHAnsi"/>
        </w:rPr>
        <w:t>2.3.2.3. Akceptowanie poszczególnych partii kruszywa</w:t>
      </w:r>
    </w:p>
    <w:p w:rsidR="002412CC" w:rsidRDefault="002412CC" w:rsidP="002412CC">
      <w:pPr>
        <w:tabs>
          <w:tab w:val="left" w:pos="9914"/>
        </w:tabs>
        <w:rPr>
          <w:rFonts w:asciiTheme="minorHAnsi" w:hAnsiTheme="minorHAnsi"/>
        </w:rPr>
      </w:pPr>
      <w:r>
        <w:rPr>
          <w:rFonts w:asciiTheme="minorHAnsi" w:hAnsiTheme="minorHAnsi"/>
        </w:rPr>
        <w:t>Przed użyciem poszczególnych partii kruszywa do betonu konieczna jest akceptacja Inżyniera, która powinna być wydana na podstawie:</w:t>
      </w:r>
    </w:p>
    <w:p w:rsidR="002412CC" w:rsidRDefault="002412CC" w:rsidP="002412CC">
      <w:pPr>
        <w:tabs>
          <w:tab w:val="left" w:pos="9914"/>
        </w:tabs>
        <w:rPr>
          <w:rFonts w:asciiTheme="minorHAnsi" w:hAnsiTheme="minorHAnsi"/>
        </w:rPr>
      </w:pPr>
      <w:r>
        <w:rPr>
          <w:rFonts w:asciiTheme="minorHAnsi" w:hAnsiTheme="minorHAnsi"/>
        </w:rPr>
        <w:t>a) świadectwa jakości kruszywa wystawionego przez dostawcę (deklaracji lub certyfikatu zgodności z PN-86/B-06712 i zawierającego wyniki pełnych badań zgodnie z PN-86/B-06712 oraz okresowo wynik badania specjalnego dotyczącego reaktywności alkalicznej,</w:t>
      </w:r>
    </w:p>
    <w:p w:rsidR="002412CC" w:rsidRDefault="002412CC" w:rsidP="002412CC">
      <w:pPr>
        <w:tabs>
          <w:tab w:val="left" w:pos="9914"/>
        </w:tabs>
        <w:rPr>
          <w:rFonts w:asciiTheme="minorHAnsi" w:hAnsiTheme="minorHAnsi"/>
        </w:rPr>
      </w:pPr>
      <w:r>
        <w:rPr>
          <w:rFonts w:asciiTheme="minorHAnsi" w:hAnsiTheme="minorHAnsi"/>
        </w:rPr>
        <w:t>b) przeprowadzonych na budowie badań kruszywa obejmujących:</w:t>
      </w:r>
    </w:p>
    <w:p w:rsidR="002412CC" w:rsidRDefault="002412CC" w:rsidP="002412CC">
      <w:pPr>
        <w:tabs>
          <w:tab w:val="left" w:pos="9914"/>
        </w:tabs>
        <w:rPr>
          <w:rFonts w:asciiTheme="minorHAnsi" w:hAnsiTheme="minorHAnsi"/>
        </w:rPr>
      </w:pPr>
      <w:r>
        <w:rPr>
          <w:rFonts w:asciiTheme="minorHAnsi" w:hAnsiTheme="minorHAnsi"/>
        </w:rPr>
        <w:t>oznaczenie składu ziarnowego wg PN-EN 933-1:2000,</w:t>
      </w:r>
    </w:p>
    <w:p w:rsidR="002412CC" w:rsidRDefault="002412CC" w:rsidP="002412CC">
      <w:pPr>
        <w:tabs>
          <w:tab w:val="left" w:pos="9914"/>
        </w:tabs>
        <w:rPr>
          <w:rFonts w:asciiTheme="minorHAnsi" w:hAnsiTheme="minorHAnsi"/>
        </w:rPr>
      </w:pPr>
      <w:r>
        <w:rPr>
          <w:rFonts w:asciiTheme="minorHAnsi" w:hAnsiTheme="minorHAnsi"/>
        </w:rPr>
        <w:t>oznaczenie kształtu ziarn wg PN-EN 933-4:2001 (dotyczy kruszywa grubego),</w:t>
      </w:r>
    </w:p>
    <w:p w:rsidR="002412CC" w:rsidRDefault="002412CC" w:rsidP="002412CC">
      <w:pPr>
        <w:tabs>
          <w:tab w:val="left" w:pos="9914"/>
        </w:tabs>
        <w:rPr>
          <w:rFonts w:asciiTheme="minorHAnsi" w:hAnsiTheme="minorHAnsi"/>
        </w:rPr>
      </w:pPr>
      <w:r>
        <w:rPr>
          <w:rFonts w:asciiTheme="minorHAnsi" w:hAnsiTheme="minorHAnsi"/>
        </w:rPr>
        <w:t>oznaczenie zawartości zanieczyszczeń obcych wg PN-76/B-06714/12,</w:t>
      </w:r>
    </w:p>
    <w:p w:rsidR="002412CC" w:rsidRDefault="002412CC" w:rsidP="002412CC">
      <w:pPr>
        <w:tabs>
          <w:tab w:val="left" w:pos="9914"/>
        </w:tabs>
        <w:rPr>
          <w:rFonts w:asciiTheme="minorHAnsi" w:hAnsiTheme="minorHAnsi"/>
        </w:rPr>
      </w:pPr>
      <w:r>
        <w:rPr>
          <w:rFonts w:asciiTheme="minorHAnsi" w:hAnsiTheme="minorHAnsi"/>
        </w:rPr>
        <w:t>oznaczenie zawartości grudek gliny (oznaczać jak zawartość zanieczyszczeń obcych),</w:t>
      </w:r>
    </w:p>
    <w:p w:rsidR="002412CC" w:rsidRDefault="002412CC" w:rsidP="002412CC">
      <w:pPr>
        <w:tabs>
          <w:tab w:val="left" w:pos="9914"/>
        </w:tabs>
        <w:rPr>
          <w:rFonts w:asciiTheme="minorHAnsi" w:hAnsiTheme="minorHAnsi"/>
        </w:rPr>
      </w:pPr>
      <w:r>
        <w:rPr>
          <w:rFonts w:asciiTheme="minorHAnsi" w:hAnsiTheme="minorHAnsi"/>
        </w:rPr>
        <w:t>oznaczenie zawartości pyłów mineralnych wg PN-78/B-06714/13,</w:t>
      </w:r>
    </w:p>
    <w:p w:rsidR="002412CC" w:rsidRDefault="002412CC" w:rsidP="002412CC">
      <w:pPr>
        <w:tabs>
          <w:tab w:val="left" w:pos="9914"/>
        </w:tabs>
        <w:rPr>
          <w:rFonts w:asciiTheme="minorHAnsi" w:hAnsiTheme="minorHAnsi"/>
        </w:rPr>
      </w:pPr>
      <w:r>
        <w:rPr>
          <w:rFonts w:asciiTheme="minorHAnsi" w:hAnsiTheme="minorHAnsi"/>
        </w:rPr>
        <w:t>należy prowadzić bieżącą kontrolę wilgotności kruszywa wg PN-EN 1097-6:2002 dla korygowania recepty roboczej betonu.</w:t>
      </w:r>
    </w:p>
    <w:p w:rsidR="002412CC" w:rsidRDefault="002412CC" w:rsidP="002412CC">
      <w:pPr>
        <w:tabs>
          <w:tab w:val="left" w:pos="9914"/>
        </w:tabs>
        <w:rPr>
          <w:rFonts w:asciiTheme="minorHAnsi" w:hAnsiTheme="minorHAnsi"/>
        </w:rPr>
      </w:pPr>
      <w:r>
        <w:rPr>
          <w:rFonts w:asciiTheme="minorHAnsi" w:hAnsiTheme="minorHAnsi"/>
          <w:b/>
        </w:rPr>
        <w:t>2.3.3</w:t>
      </w:r>
      <w:r>
        <w:rPr>
          <w:rFonts w:asciiTheme="minorHAnsi" w:hAnsiTheme="minorHAnsi"/>
        </w:rPr>
        <w:t>. Woda zarobowa do betonu</w:t>
      </w:r>
    </w:p>
    <w:p w:rsidR="002412CC" w:rsidRDefault="002412CC" w:rsidP="002412CC">
      <w:pPr>
        <w:tabs>
          <w:tab w:val="left" w:pos="9914"/>
        </w:tabs>
        <w:rPr>
          <w:rFonts w:asciiTheme="minorHAnsi" w:hAnsiTheme="minorHAnsi"/>
        </w:rPr>
      </w:pPr>
      <w:r>
        <w:rPr>
          <w:rFonts w:asciiTheme="minorHAnsi" w:hAnsiTheme="minorHAnsi"/>
        </w:rPr>
        <w:t xml:space="preserve">Wodę zarobową do betonu zaleca się czerpać z wodociągów miejskich. Stosowanie wody wodociągowej nie wymaga badań. Woda zarobowa dla betonu powinna odpowiadać wymaganiom normy PN-EN 1008:2004 </w:t>
      </w:r>
    </w:p>
    <w:p w:rsidR="002412CC" w:rsidRDefault="002412CC" w:rsidP="002412CC">
      <w:pPr>
        <w:tabs>
          <w:tab w:val="left" w:pos="9914"/>
        </w:tabs>
        <w:rPr>
          <w:rFonts w:asciiTheme="minorHAnsi" w:hAnsiTheme="minorHAnsi"/>
        </w:rPr>
      </w:pPr>
      <w:r>
        <w:rPr>
          <w:rFonts w:asciiTheme="minorHAnsi" w:hAnsiTheme="minorHAnsi"/>
          <w:b/>
        </w:rPr>
        <w:t>2.3.4</w:t>
      </w:r>
      <w:r>
        <w:rPr>
          <w:rFonts w:asciiTheme="minorHAnsi" w:hAnsiTheme="minorHAnsi"/>
        </w:rPr>
        <w:t>. Domieszki i dodatki do betonu</w:t>
      </w:r>
    </w:p>
    <w:p w:rsidR="002412CC" w:rsidRDefault="002412CC" w:rsidP="002412CC">
      <w:pPr>
        <w:tabs>
          <w:tab w:val="left" w:pos="9914"/>
        </w:tabs>
        <w:rPr>
          <w:rFonts w:asciiTheme="minorHAnsi" w:hAnsiTheme="minorHAnsi"/>
        </w:rPr>
      </w:pPr>
      <w:r>
        <w:rPr>
          <w:rFonts w:asciiTheme="minorHAnsi" w:hAnsiTheme="minorHAnsi"/>
        </w:rPr>
        <w:t>Dopuszcza się zastosowanie domieszek i dodatków do betonu, a w szczególności:</w:t>
      </w:r>
    </w:p>
    <w:p w:rsidR="002412CC" w:rsidRDefault="002412CC" w:rsidP="002412CC">
      <w:pPr>
        <w:tabs>
          <w:tab w:val="left" w:pos="9914"/>
        </w:tabs>
        <w:rPr>
          <w:rFonts w:asciiTheme="minorHAnsi" w:hAnsiTheme="minorHAnsi"/>
        </w:rPr>
      </w:pPr>
      <w:r>
        <w:rPr>
          <w:rFonts w:asciiTheme="minorHAnsi" w:hAnsiTheme="minorHAnsi"/>
        </w:rPr>
        <w:t xml:space="preserve">  1) domieszek uplastyczniających,</w:t>
      </w:r>
    </w:p>
    <w:p w:rsidR="002412CC" w:rsidRDefault="002412CC" w:rsidP="002412CC">
      <w:pPr>
        <w:tabs>
          <w:tab w:val="left" w:pos="9914"/>
        </w:tabs>
        <w:rPr>
          <w:rFonts w:asciiTheme="minorHAnsi" w:hAnsiTheme="minorHAnsi"/>
        </w:rPr>
      </w:pPr>
      <w:r>
        <w:rPr>
          <w:rFonts w:asciiTheme="minorHAnsi" w:hAnsiTheme="minorHAnsi"/>
        </w:rPr>
        <w:t xml:space="preserve">  2) domieszek upłynniających,</w:t>
      </w:r>
    </w:p>
    <w:p w:rsidR="002412CC" w:rsidRDefault="002412CC" w:rsidP="002412CC">
      <w:pPr>
        <w:tabs>
          <w:tab w:val="left" w:pos="9914"/>
        </w:tabs>
        <w:rPr>
          <w:rFonts w:asciiTheme="minorHAnsi" w:hAnsiTheme="minorHAnsi"/>
        </w:rPr>
      </w:pPr>
      <w:r>
        <w:rPr>
          <w:rFonts w:asciiTheme="minorHAnsi" w:hAnsiTheme="minorHAnsi"/>
        </w:rPr>
        <w:t xml:space="preserve">  3) domieszek zwiększających wiąźliwość wody,</w:t>
      </w:r>
    </w:p>
    <w:p w:rsidR="002412CC" w:rsidRDefault="002412CC" w:rsidP="002412CC">
      <w:pPr>
        <w:tabs>
          <w:tab w:val="left" w:pos="9914"/>
        </w:tabs>
        <w:rPr>
          <w:rFonts w:asciiTheme="minorHAnsi" w:hAnsiTheme="minorHAnsi"/>
        </w:rPr>
      </w:pPr>
      <w:r>
        <w:rPr>
          <w:rFonts w:asciiTheme="minorHAnsi" w:hAnsiTheme="minorHAnsi"/>
        </w:rPr>
        <w:t xml:space="preserve">  4) domieszek napowietrzających,</w:t>
      </w:r>
    </w:p>
    <w:p w:rsidR="002412CC" w:rsidRDefault="002412CC" w:rsidP="002412CC">
      <w:pPr>
        <w:tabs>
          <w:tab w:val="left" w:pos="9914"/>
        </w:tabs>
        <w:rPr>
          <w:rFonts w:asciiTheme="minorHAnsi" w:hAnsiTheme="minorHAnsi"/>
        </w:rPr>
      </w:pPr>
      <w:r>
        <w:rPr>
          <w:rFonts w:asciiTheme="minorHAnsi" w:hAnsiTheme="minorHAnsi"/>
        </w:rPr>
        <w:t xml:space="preserve">  5) domieszek przyspieszających wiązanie,</w:t>
      </w:r>
    </w:p>
    <w:p w:rsidR="002412CC" w:rsidRDefault="002412CC" w:rsidP="002412CC">
      <w:pPr>
        <w:tabs>
          <w:tab w:val="left" w:pos="9914"/>
        </w:tabs>
        <w:rPr>
          <w:rFonts w:asciiTheme="minorHAnsi" w:hAnsiTheme="minorHAnsi"/>
        </w:rPr>
      </w:pPr>
      <w:r>
        <w:rPr>
          <w:rFonts w:asciiTheme="minorHAnsi" w:hAnsiTheme="minorHAnsi"/>
        </w:rPr>
        <w:t xml:space="preserve">  6) domieszek przyspieszających początkowy przyrost wytrzymałości,</w:t>
      </w:r>
    </w:p>
    <w:p w:rsidR="002412CC" w:rsidRDefault="002412CC" w:rsidP="002412CC">
      <w:pPr>
        <w:tabs>
          <w:tab w:val="left" w:pos="9914"/>
        </w:tabs>
        <w:rPr>
          <w:rFonts w:asciiTheme="minorHAnsi" w:hAnsiTheme="minorHAnsi"/>
        </w:rPr>
      </w:pPr>
      <w:r>
        <w:rPr>
          <w:rFonts w:asciiTheme="minorHAnsi" w:hAnsiTheme="minorHAnsi"/>
        </w:rPr>
        <w:t xml:space="preserve">  7) domieszek opóźniających wiązanie,</w:t>
      </w:r>
    </w:p>
    <w:p w:rsidR="002412CC" w:rsidRDefault="002412CC" w:rsidP="002412CC">
      <w:pPr>
        <w:tabs>
          <w:tab w:val="left" w:pos="9914"/>
        </w:tabs>
        <w:rPr>
          <w:rFonts w:asciiTheme="minorHAnsi" w:hAnsiTheme="minorHAnsi"/>
        </w:rPr>
      </w:pPr>
      <w:r>
        <w:rPr>
          <w:rFonts w:asciiTheme="minorHAnsi" w:hAnsiTheme="minorHAnsi"/>
        </w:rPr>
        <w:t xml:space="preserve">  8) domieszek i dodatków uszlachetniających,</w:t>
      </w:r>
    </w:p>
    <w:p w:rsidR="002412CC" w:rsidRDefault="002412CC" w:rsidP="002412CC">
      <w:pPr>
        <w:tabs>
          <w:tab w:val="left" w:pos="9914"/>
        </w:tabs>
        <w:rPr>
          <w:rFonts w:asciiTheme="minorHAnsi" w:hAnsiTheme="minorHAnsi"/>
        </w:rPr>
      </w:pPr>
      <w:r>
        <w:rPr>
          <w:rFonts w:asciiTheme="minorHAnsi" w:hAnsiTheme="minorHAnsi"/>
        </w:rPr>
        <w:t xml:space="preserve">  9) domieszek i dodatków mineralnych,</w:t>
      </w:r>
    </w:p>
    <w:p w:rsidR="002412CC" w:rsidRDefault="002412CC" w:rsidP="002412CC">
      <w:pPr>
        <w:tabs>
          <w:tab w:val="left" w:pos="9914"/>
        </w:tabs>
        <w:rPr>
          <w:rFonts w:asciiTheme="minorHAnsi" w:hAnsiTheme="minorHAnsi"/>
        </w:rPr>
      </w:pPr>
      <w:r>
        <w:rPr>
          <w:rFonts w:asciiTheme="minorHAnsi" w:hAnsiTheme="minorHAnsi"/>
        </w:rPr>
        <w:t>10) domieszek barwiących w betonach stosowanych do wykończenia powierzchni schodów i pochylni,</w:t>
      </w:r>
    </w:p>
    <w:p w:rsidR="002412CC" w:rsidRDefault="002412CC" w:rsidP="002412CC">
      <w:pPr>
        <w:tabs>
          <w:tab w:val="left" w:pos="9914"/>
        </w:tabs>
        <w:rPr>
          <w:rFonts w:asciiTheme="minorHAnsi" w:hAnsiTheme="minorHAnsi"/>
        </w:rPr>
      </w:pPr>
      <w:r>
        <w:rPr>
          <w:rFonts w:asciiTheme="minorHAnsi" w:hAnsiTheme="minorHAnsi"/>
        </w:rPr>
        <w:t>11) domieszek mrozoochronnych.</w:t>
      </w:r>
    </w:p>
    <w:p w:rsidR="002412CC" w:rsidRDefault="002412CC" w:rsidP="002412CC">
      <w:pPr>
        <w:tabs>
          <w:tab w:val="left" w:pos="9914"/>
        </w:tabs>
        <w:rPr>
          <w:rFonts w:asciiTheme="minorHAnsi" w:hAnsiTheme="minorHAnsi"/>
          <w:b/>
        </w:rPr>
      </w:pPr>
    </w:p>
    <w:p w:rsidR="002412CC" w:rsidRDefault="002412CC" w:rsidP="002412CC">
      <w:pPr>
        <w:tabs>
          <w:tab w:val="left" w:pos="9914"/>
        </w:tabs>
        <w:rPr>
          <w:rFonts w:asciiTheme="minorHAnsi" w:hAnsiTheme="minorHAnsi"/>
          <w:b/>
        </w:rPr>
      </w:pPr>
      <w:r>
        <w:rPr>
          <w:rFonts w:asciiTheme="minorHAnsi" w:hAnsiTheme="minorHAnsi"/>
          <w:b/>
        </w:rPr>
        <w:t>Do produkcji mieszanek betonowych wymaga się stosowania domieszek tylko w uzasadnionych przypadkach i pod warunkiem przeprowadzenia kontroli skutków ubocznych, takich jak: zmniejszenie wytrzymałości, zwiększenie nasiąkliwości i skurczu po stwardnieniu betonu. Należy też ocenić wpływy domieszek na zmniejszenie trwałości betonu.</w:t>
      </w:r>
    </w:p>
    <w:p w:rsidR="002412CC" w:rsidRDefault="002412CC" w:rsidP="002412CC">
      <w:pPr>
        <w:tabs>
          <w:tab w:val="left" w:pos="9914"/>
        </w:tabs>
        <w:rPr>
          <w:rFonts w:asciiTheme="minorHAnsi" w:hAnsiTheme="minorHAnsi"/>
        </w:rPr>
      </w:pPr>
      <w:r>
        <w:rPr>
          <w:rFonts w:asciiTheme="minorHAnsi" w:hAnsiTheme="minorHAnsi"/>
        </w:rPr>
        <w:t>Domieszki do betonu powinny spełniać wymagania PN-EN 934-2:2002 oraz wymagania podane w „Zaleceniach dotyczących stosowania domieszek i dodatków do betonów i zapraw w budownictwie komunikacyjnym”.</w:t>
      </w:r>
    </w:p>
    <w:p w:rsidR="002412CC" w:rsidRDefault="002412CC" w:rsidP="002412CC">
      <w:pPr>
        <w:tabs>
          <w:tab w:val="left" w:pos="9914"/>
        </w:tabs>
        <w:rPr>
          <w:rFonts w:asciiTheme="minorHAnsi" w:hAnsiTheme="minorHAnsi"/>
        </w:rPr>
      </w:pPr>
      <w:r>
        <w:rPr>
          <w:rFonts w:asciiTheme="minorHAnsi" w:hAnsiTheme="minorHAnsi"/>
        </w:rPr>
        <w:t>Dla zastosowanej domieszki Wykonawca powinien przedstawić aprobatę techniczną wydaną przez IBDiM oraz atest producenta.</w:t>
      </w:r>
    </w:p>
    <w:p w:rsidR="002412CC" w:rsidRDefault="002412CC" w:rsidP="002412CC">
      <w:pPr>
        <w:pStyle w:val="Nagwek4"/>
        <w:tabs>
          <w:tab w:val="left" w:pos="9914"/>
        </w:tabs>
        <w:rPr>
          <w:rFonts w:asciiTheme="minorHAnsi" w:hAnsiTheme="minorHAnsi"/>
        </w:rPr>
      </w:pPr>
      <w:r>
        <w:t>2.4. Skład mieszanki betonowej</w:t>
      </w:r>
    </w:p>
    <w:p w:rsidR="002412CC" w:rsidRDefault="002412CC" w:rsidP="002412CC">
      <w:pPr>
        <w:tabs>
          <w:tab w:val="left" w:pos="9914"/>
        </w:tabs>
        <w:rPr>
          <w:rFonts w:asciiTheme="minorHAnsi" w:hAnsiTheme="minorHAnsi"/>
        </w:rPr>
      </w:pPr>
      <w:r>
        <w:rPr>
          <w:rFonts w:asciiTheme="minorHAnsi" w:hAnsiTheme="minorHAnsi"/>
          <w:b/>
        </w:rPr>
        <w:t>2.4.1</w:t>
      </w:r>
      <w:r>
        <w:rPr>
          <w:rFonts w:asciiTheme="minorHAnsi" w:hAnsiTheme="minorHAnsi"/>
        </w:rPr>
        <w:t>. Ustalanie składu mieszanki betonowej</w:t>
      </w:r>
    </w:p>
    <w:p w:rsidR="002412CC" w:rsidRDefault="002412CC" w:rsidP="002412CC">
      <w:pPr>
        <w:tabs>
          <w:tab w:val="left" w:pos="9914"/>
        </w:tabs>
        <w:rPr>
          <w:rFonts w:asciiTheme="minorHAnsi" w:hAnsiTheme="minorHAnsi"/>
        </w:rPr>
      </w:pPr>
      <w:r>
        <w:rPr>
          <w:rFonts w:asciiTheme="minorHAnsi" w:hAnsiTheme="minorHAnsi"/>
        </w:rPr>
        <w:t>Skład mieszanki betonowej powinien być ustalony zgodnie z normą PN-88/B-06250 tak, aby przy najmniejszej ilości wody zapewnić szczelne ułożenie mieszanki w wyniku zagęszczania przez wibrowanie. Skład mieszanki betonowej ustala laboratorium Wykonawcy lub wytwórni betonów i wymaga on zatwierdzenia przez Inżyniera.</w:t>
      </w:r>
    </w:p>
    <w:p w:rsidR="002412CC" w:rsidRDefault="002412CC" w:rsidP="002412CC">
      <w:pPr>
        <w:tabs>
          <w:tab w:val="left" w:pos="9914"/>
        </w:tabs>
        <w:rPr>
          <w:rFonts w:asciiTheme="minorHAnsi" w:hAnsiTheme="minorHAnsi"/>
        </w:rPr>
      </w:pPr>
      <w:r>
        <w:rPr>
          <w:rFonts w:asciiTheme="minorHAnsi" w:hAnsiTheme="minorHAnsi"/>
        </w:rPr>
        <w:t>Skład mieszanki betonowej powinien być ustalony zgodnie z „Rozporządzeniem” i następującymi  zasadami:</w:t>
      </w:r>
    </w:p>
    <w:p w:rsidR="002412CC" w:rsidRDefault="002412CC" w:rsidP="002412CC">
      <w:pPr>
        <w:tabs>
          <w:tab w:val="left" w:pos="9914"/>
        </w:tabs>
        <w:rPr>
          <w:rFonts w:asciiTheme="minorHAnsi" w:hAnsiTheme="minorHAnsi"/>
        </w:rPr>
      </w:pPr>
      <w:r>
        <w:rPr>
          <w:rFonts w:asciiTheme="minorHAnsi" w:hAnsiTheme="minorHAnsi"/>
        </w:rPr>
        <w:lastRenderedPageBreak/>
        <w:t xml:space="preserve">1) skład mieszanki betonowej powinien przy najmniejszej ilości wody zapewnić szczelne ułożenie mieszanki w wyniku zagęszczania przez wibrowanie, </w:t>
      </w:r>
    </w:p>
    <w:p w:rsidR="002412CC" w:rsidRDefault="002412CC" w:rsidP="002412CC">
      <w:pPr>
        <w:tabs>
          <w:tab w:val="left" w:pos="9914"/>
        </w:tabs>
        <w:rPr>
          <w:rFonts w:asciiTheme="minorHAnsi" w:hAnsiTheme="minorHAnsi"/>
        </w:rPr>
      </w:pPr>
      <w:r>
        <w:rPr>
          <w:rFonts w:asciiTheme="minorHAnsi" w:hAnsiTheme="minorHAnsi"/>
        </w:rPr>
        <w:t>2) wartość stosunku c/w nie może być mniejsza od 2 (wartość stosunku w/c nie większa niż 0,5),</w:t>
      </w:r>
    </w:p>
    <w:p w:rsidR="002412CC" w:rsidRDefault="002412CC" w:rsidP="002412CC">
      <w:pPr>
        <w:tabs>
          <w:tab w:val="left" w:pos="9914"/>
        </w:tabs>
        <w:rPr>
          <w:rFonts w:asciiTheme="minorHAnsi" w:hAnsiTheme="minorHAnsi"/>
        </w:rPr>
      </w:pPr>
      <w:r>
        <w:rPr>
          <w:rFonts w:asciiTheme="minorHAnsi" w:hAnsiTheme="minorHAnsi"/>
        </w:rPr>
        <w:t xml:space="preserve">3) konsystencja mieszanki nie może być rzadsza od plastycznej od 7s do 13 s (K-3 wg PN-88/B-06250), sprawdzona aparatem Ve-Be lub od 2 cm do 5 cm wg metody stożka opadowego. Dopuszcza się badanie stożkiem opadowym wyłącznie w warunkach budowy. Różnice między założoną konsystencją mieszanki, a kontrolowaną nie mogą przekroczyć </w:t>
      </w:r>
      <w:r>
        <w:rPr>
          <w:rFonts w:asciiTheme="minorHAnsi" w:hAnsiTheme="minorHAnsi"/>
        </w:rPr>
        <w:sym w:font="Symbol" w:char="F0B1"/>
      </w:r>
      <w:r>
        <w:rPr>
          <w:rFonts w:asciiTheme="minorHAnsi" w:hAnsiTheme="minorHAnsi"/>
        </w:rPr>
        <w:t xml:space="preserve"> 20% wartości wskaźnika Ve-Be i </w:t>
      </w:r>
      <w:r>
        <w:rPr>
          <w:rFonts w:asciiTheme="minorHAnsi" w:hAnsiTheme="minorHAnsi"/>
        </w:rPr>
        <w:sym w:font="Symbol" w:char="F0B1"/>
      </w:r>
      <w:r>
        <w:rPr>
          <w:rFonts w:asciiTheme="minorHAnsi" w:hAnsiTheme="minorHAnsi"/>
        </w:rPr>
        <w:t>10 mm przy pomiarze stożkiem opadowym.</w:t>
      </w:r>
    </w:p>
    <w:p w:rsidR="002412CC" w:rsidRDefault="002412CC" w:rsidP="002412CC">
      <w:pPr>
        <w:tabs>
          <w:tab w:val="left" w:pos="9914"/>
        </w:tabs>
        <w:rPr>
          <w:rFonts w:asciiTheme="minorHAnsi" w:hAnsiTheme="minorHAnsi"/>
        </w:rPr>
      </w:pPr>
      <w:r>
        <w:rPr>
          <w:rFonts w:asciiTheme="minorHAnsi" w:hAnsiTheme="minorHAnsi"/>
        </w:rPr>
        <w:t>4) stosunek poszczególnych frakcji kruszywa grubego ustalany doświadczalnie powinien odpowiadać najmniejszej jamistości. Zawartość powietrza w mieszance betonowej badana metodą ciśnieniową wg PN-88/B-06250 nie powinna przekraczać:</w:t>
      </w:r>
    </w:p>
    <w:p w:rsidR="002412CC" w:rsidRDefault="002412CC" w:rsidP="002412CC">
      <w:pPr>
        <w:tabs>
          <w:tab w:val="left" w:pos="9914"/>
        </w:tabs>
        <w:rPr>
          <w:rFonts w:asciiTheme="minorHAnsi" w:hAnsiTheme="minorHAnsi"/>
        </w:rPr>
      </w:pPr>
      <w:r>
        <w:rPr>
          <w:rFonts w:asciiTheme="minorHAnsi" w:hAnsiTheme="minorHAnsi"/>
        </w:rPr>
        <w:t>wartości 2 % w przypadku niestosowania domieszek napowietrzających,</w:t>
      </w:r>
    </w:p>
    <w:p w:rsidR="002412CC" w:rsidRDefault="002412CC" w:rsidP="002412CC">
      <w:pPr>
        <w:tabs>
          <w:tab w:val="left" w:pos="9914"/>
        </w:tabs>
        <w:rPr>
          <w:rFonts w:asciiTheme="minorHAnsi" w:hAnsiTheme="minorHAnsi"/>
        </w:rPr>
      </w:pPr>
      <w:r>
        <w:rPr>
          <w:rFonts w:asciiTheme="minorHAnsi" w:hAnsiTheme="minorHAnsi"/>
        </w:rPr>
        <w:t>przedziałów wartości podanych w tablicy 1 w przypadku stosowania domieszek napowietrzających.</w:t>
      </w:r>
    </w:p>
    <w:p w:rsidR="002412CC" w:rsidRDefault="002412CC" w:rsidP="002412CC">
      <w:pPr>
        <w:tabs>
          <w:tab w:val="left" w:pos="9914"/>
        </w:tabs>
        <w:rPr>
          <w:rFonts w:asciiTheme="minorHAnsi" w:hAnsiTheme="minorHAnsi"/>
        </w:rPr>
      </w:pPr>
      <w:r>
        <w:rPr>
          <w:rFonts w:asciiTheme="minorHAnsi" w:hAnsiTheme="minorHAnsi"/>
        </w:rPr>
        <w:t>Tablica 1. Zawartość powietrza w mieszance betonowej z domieszkami napowietrzającymi</w:t>
      </w:r>
    </w:p>
    <w:p w:rsidR="002412CC" w:rsidRDefault="002412CC" w:rsidP="002412CC">
      <w:pPr>
        <w:tabs>
          <w:tab w:val="left" w:pos="9914"/>
        </w:tabs>
        <w:rPr>
          <w:rFonts w:asciiTheme="minorHAnsi" w:hAnsiTheme="minorHAnsi"/>
        </w:rPr>
      </w:pPr>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7"/>
        <w:gridCol w:w="3402"/>
        <w:gridCol w:w="2151"/>
        <w:gridCol w:w="2520"/>
      </w:tblGrid>
      <w:tr w:rsidR="002412CC" w:rsidTr="002412CC">
        <w:trPr>
          <w:jc w:val="center"/>
        </w:trPr>
        <w:tc>
          <w:tcPr>
            <w:tcW w:w="567" w:type="dxa"/>
            <w:tcBorders>
              <w:top w:val="single" w:sz="4" w:space="0" w:color="auto"/>
              <w:left w:val="single" w:sz="4" w:space="0" w:color="auto"/>
              <w:bottom w:val="nil"/>
              <w:right w:val="single" w:sz="4" w:space="0" w:color="auto"/>
            </w:tcBorders>
            <w:noWrap/>
          </w:tcPr>
          <w:p w:rsidR="002412CC" w:rsidRDefault="002412CC">
            <w:pPr>
              <w:tabs>
                <w:tab w:val="left" w:pos="9914"/>
              </w:tabs>
              <w:spacing w:line="276" w:lineRule="auto"/>
              <w:rPr>
                <w:rFonts w:asciiTheme="minorHAnsi" w:hAnsiTheme="minorHAnsi"/>
              </w:rPr>
            </w:pPr>
          </w:p>
          <w:p w:rsidR="002412CC" w:rsidRDefault="002412CC">
            <w:pPr>
              <w:widowControl w:val="0"/>
              <w:tabs>
                <w:tab w:val="left" w:pos="9914"/>
              </w:tabs>
              <w:spacing w:line="276" w:lineRule="auto"/>
              <w:rPr>
                <w:rFonts w:asciiTheme="minorHAnsi" w:hAnsiTheme="minorHAnsi"/>
              </w:rPr>
            </w:pPr>
            <w:r>
              <w:rPr>
                <w:rFonts w:asciiTheme="minorHAnsi" w:hAnsiTheme="minorHAnsi"/>
              </w:rPr>
              <w:t>Lp.</w:t>
            </w:r>
          </w:p>
        </w:tc>
        <w:tc>
          <w:tcPr>
            <w:tcW w:w="3402" w:type="dxa"/>
            <w:tcBorders>
              <w:top w:val="single" w:sz="4" w:space="0" w:color="auto"/>
              <w:left w:val="single" w:sz="4" w:space="0" w:color="auto"/>
              <w:bottom w:val="nil"/>
              <w:right w:val="single" w:sz="4" w:space="0" w:color="auto"/>
            </w:tcBorders>
            <w:noWrap/>
          </w:tcPr>
          <w:p w:rsidR="002412CC" w:rsidRDefault="002412CC">
            <w:pPr>
              <w:tabs>
                <w:tab w:val="left" w:pos="9914"/>
              </w:tabs>
              <w:spacing w:line="276" w:lineRule="auto"/>
              <w:rPr>
                <w:rFonts w:asciiTheme="minorHAnsi" w:hAnsiTheme="minorHAnsi"/>
              </w:rPr>
            </w:pPr>
          </w:p>
          <w:p w:rsidR="002412CC" w:rsidRDefault="002412CC">
            <w:pPr>
              <w:widowControl w:val="0"/>
              <w:tabs>
                <w:tab w:val="left" w:pos="9914"/>
              </w:tabs>
              <w:spacing w:line="276" w:lineRule="auto"/>
              <w:rPr>
                <w:rFonts w:asciiTheme="minorHAnsi" w:hAnsiTheme="minorHAnsi"/>
              </w:rPr>
            </w:pPr>
            <w:r>
              <w:rPr>
                <w:rFonts w:asciiTheme="minorHAnsi" w:hAnsiTheme="minorHAnsi"/>
              </w:rPr>
              <w:t>Rodzaj betonu</w:t>
            </w:r>
          </w:p>
        </w:tc>
        <w:tc>
          <w:tcPr>
            <w:tcW w:w="4671" w:type="dxa"/>
            <w:gridSpan w:val="2"/>
            <w:tcBorders>
              <w:top w:val="single" w:sz="4" w:space="0" w:color="auto"/>
              <w:left w:val="single" w:sz="4" w:space="0" w:color="auto"/>
              <w:bottom w:val="single" w:sz="4" w:space="0" w:color="auto"/>
              <w:right w:val="single" w:sz="4" w:space="0" w:color="auto"/>
            </w:tcBorders>
            <w:noWrap/>
            <w:hideMark/>
          </w:tcPr>
          <w:p w:rsidR="002412CC" w:rsidRDefault="002412CC">
            <w:pPr>
              <w:tabs>
                <w:tab w:val="left" w:pos="9914"/>
              </w:tabs>
              <w:spacing w:line="276" w:lineRule="auto"/>
              <w:rPr>
                <w:rFonts w:asciiTheme="minorHAnsi" w:hAnsiTheme="minorHAnsi"/>
              </w:rPr>
            </w:pPr>
            <w:r>
              <w:rPr>
                <w:rFonts w:asciiTheme="minorHAnsi" w:hAnsiTheme="minorHAnsi"/>
              </w:rPr>
              <w:t xml:space="preserve">Zawartość powietrza, w %, </w:t>
            </w:r>
          </w:p>
          <w:p w:rsidR="002412CC" w:rsidRDefault="002412CC">
            <w:pPr>
              <w:widowControl w:val="0"/>
              <w:tabs>
                <w:tab w:val="left" w:pos="9914"/>
              </w:tabs>
              <w:spacing w:line="276" w:lineRule="auto"/>
              <w:rPr>
                <w:rFonts w:asciiTheme="minorHAnsi" w:hAnsiTheme="minorHAnsi"/>
              </w:rPr>
            </w:pPr>
            <w:r>
              <w:rPr>
                <w:rFonts w:asciiTheme="minorHAnsi" w:hAnsiTheme="minorHAnsi"/>
              </w:rPr>
              <w:t>przy uziarnieniu kruszywa</w:t>
            </w:r>
          </w:p>
        </w:tc>
      </w:tr>
      <w:tr w:rsidR="002412CC" w:rsidTr="002412CC">
        <w:trPr>
          <w:jc w:val="center"/>
        </w:trPr>
        <w:tc>
          <w:tcPr>
            <w:tcW w:w="567" w:type="dxa"/>
            <w:tcBorders>
              <w:top w:val="nil"/>
              <w:left w:val="single" w:sz="4" w:space="0" w:color="auto"/>
              <w:bottom w:val="double" w:sz="4" w:space="0" w:color="auto"/>
              <w:right w:val="single" w:sz="4" w:space="0" w:color="auto"/>
            </w:tcBorders>
            <w:noWrap/>
          </w:tcPr>
          <w:p w:rsidR="002412CC" w:rsidRDefault="002412CC">
            <w:pPr>
              <w:widowControl w:val="0"/>
              <w:tabs>
                <w:tab w:val="left" w:pos="9914"/>
              </w:tabs>
              <w:spacing w:line="276" w:lineRule="auto"/>
              <w:rPr>
                <w:rFonts w:asciiTheme="minorHAnsi" w:hAnsiTheme="minorHAnsi"/>
              </w:rPr>
            </w:pPr>
          </w:p>
        </w:tc>
        <w:tc>
          <w:tcPr>
            <w:tcW w:w="3402" w:type="dxa"/>
            <w:tcBorders>
              <w:top w:val="nil"/>
              <w:left w:val="single" w:sz="4" w:space="0" w:color="auto"/>
              <w:bottom w:val="double" w:sz="4" w:space="0" w:color="auto"/>
              <w:right w:val="single" w:sz="4" w:space="0" w:color="auto"/>
            </w:tcBorders>
            <w:noWrap/>
          </w:tcPr>
          <w:p w:rsidR="002412CC" w:rsidRDefault="002412CC">
            <w:pPr>
              <w:widowControl w:val="0"/>
              <w:tabs>
                <w:tab w:val="left" w:pos="9914"/>
              </w:tabs>
              <w:spacing w:line="276" w:lineRule="auto"/>
              <w:rPr>
                <w:rFonts w:asciiTheme="minorHAnsi" w:hAnsiTheme="minorHAnsi"/>
              </w:rPr>
            </w:pPr>
          </w:p>
        </w:tc>
        <w:tc>
          <w:tcPr>
            <w:tcW w:w="215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0 ÷ 31,5 mm</w:t>
            </w:r>
          </w:p>
        </w:tc>
        <w:tc>
          <w:tcPr>
            <w:tcW w:w="252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0 ÷ 16 mm</w:t>
            </w:r>
          </w:p>
        </w:tc>
      </w:tr>
      <w:tr w:rsidR="002412CC" w:rsidTr="002412CC">
        <w:trPr>
          <w:jc w:val="center"/>
        </w:trPr>
        <w:tc>
          <w:tcPr>
            <w:tcW w:w="567"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1</w:t>
            </w:r>
          </w:p>
        </w:tc>
        <w:tc>
          <w:tcPr>
            <w:tcW w:w="3402"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Beton narażony na czynniki atmosferyczne</w:t>
            </w:r>
          </w:p>
        </w:tc>
        <w:tc>
          <w:tcPr>
            <w:tcW w:w="215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3 ÷ 5</w:t>
            </w:r>
          </w:p>
        </w:tc>
        <w:tc>
          <w:tcPr>
            <w:tcW w:w="252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3,5 ÷ 5,5</w:t>
            </w:r>
          </w:p>
        </w:tc>
      </w:tr>
      <w:tr w:rsidR="002412CC" w:rsidTr="002412CC">
        <w:trPr>
          <w:jc w:val="center"/>
        </w:trPr>
        <w:tc>
          <w:tcPr>
            <w:tcW w:w="567"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2</w:t>
            </w:r>
          </w:p>
        </w:tc>
        <w:tc>
          <w:tcPr>
            <w:tcW w:w="3402"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Beton narażony na stały dostęp wody, przed zamarznięciem</w:t>
            </w:r>
          </w:p>
        </w:tc>
        <w:tc>
          <w:tcPr>
            <w:tcW w:w="215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4 ÷ 6</w:t>
            </w:r>
          </w:p>
        </w:tc>
        <w:tc>
          <w:tcPr>
            <w:tcW w:w="252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4,5 ÷ 6,5</w:t>
            </w:r>
          </w:p>
        </w:tc>
      </w:tr>
    </w:tbl>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5) zawartość piasku w stosie okruchowym powinna być jak najmniejsza i jednocześnie zapewniać niezbędną urabialność przy zagęszczeniu przez wibrowanie oraz nie powinna być większa niż 42 % - przy kruszywie grubym do 16 mm i 37 % przy kruszywie grubym do 31,5 mm,</w:t>
      </w:r>
    </w:p>
    <w:p w:rsidR="002412CC" w:rsidRDefault="002412CC" w:rsidP="002412CC">
      <w:pPr>
        <w:tabs>
          <w:tab w:val="left" w:pos="9914"/>
        </w:tabs>
        <w:rPr>
          <w:rFonts w:asciiTheme="minorHAnsi" w:hAnsiTheme="minorHAnsi"/>
        </w:rPr>
      </w:pPr>
      <w:r>
        <w:rPr>
          <w:rFonts w:asciiTheme="minorHAnsi" w:hAnsiTheme="minorHAnsi"/>
        </w:rPr>
        <w:t>6) optymalną zawartość piasku w mieszance betonowej ustala się następująco:</w:t>
      </w:r>
    </w:p>
    <w:p w:rsidR="002412CC" w:rsidRDefault="002412CC" w:rsidP="002412CC">
      <w:pPr>
        <w:tabs>
          <w:tab w:val="left" w:pos="9914"/>
        </w:tabs>
        <w:rPr>
          <w:rFonts w:asciiTheme="minorHAnsi" w:hAnsiTheme="minorHAnsi"/>
        </w:rPr>
      </w:pPr>
      <w:r>
        <w:rPr>
          <w:rFonts w:asciiTheme="minorHAnsi" w:hAnsiTheme="minorHAnsi"/>
        </w:rPr>
        <w:t>z ustalonym optymalnym składem kruszywa grubego wykonuje się kilka (3</w:t>
      </w:r>
      <w:r>
        <w:rPr>
          <w:rFonts w:asciiTheme="minorHAnsi" w:hAnsiTheme="minorHAnsi"/>
        </w:rPr>
        <w:sym w:font="Symbol" w:char="F0B8"/>
      </w:r>
      <w:r>
        <w:rPr>
          <w:rFonts w:asciiTheme="minorHAnsi" w:hAnsiTheme="minorHAnsi"/>
        </w:rPr>
        <w:t>5) mieszanek betonowych o ustalonym teoretycznie stosunku c/w i o wymaganej konsystencji zawierających różną, ale nie większą od dopuszczalnej ilość piasku, za optymalną ilość piasku przyjmuje się taką, przy której mieszanka betonowa zagęszczona przez wibrowanie charakteryzuje się największą masą objętościową,</w:t>
      </w:r>
    </w:p>
    <w:p w:rsidR="002412CC" w:rsidRDefault="002412CC" w:rsidP="002412CC">
      <w:pPr>
        <w:tabs>
          <w:tab w:val="left" w:pos="9914"/>
        </w:tabs>
        <w:rPr>
          <w:rFonts w:asciiTheme="minorHAnsi" w:hAnsiTheme="minorHAnsi"/>
        </w:rPr>
      </w:pPr>
      <w:r>
        <w:rPr>
          <w:rFonts w:asciiTheme="minorHAnsi" w:hAnsiTheme="minorHAnsi"/>
        </w:rPr>
        <w:t>7) maksymalne ilości cementu w zależności od klasy betonu są następujące:</w:t>
      </w:r>
    </w:p>
    <w:p w:rsidR="002412CC" w:rsidRDefault="002412CC" w:rsidP="002412CC">
      <w:pPr>
        <w:tabs>
          <w:tab w:val="left" w:pos="9914"/>
        </w:tabs>
        <w:rPr>
          <w:rFonts w:asciiTheme="minorHAnsi" w:hAnsiTheme="minorHAnsi"/>
        </w:rPr>
      </w:pPr>
      <w:r>
        <w:rPr>
          <w:rFonts w:asciiTheme="minorHAnsi" w:hAnsiTheme="minorHAnsi"/>
        </w:rPr>
        <w:t>400 kg/m</w:t>
      </w:r>
      <w:r>
        <w:rPr>
          <w:rFonts w:asciiTheme="minorHAnsi" w:hAnsiTheme="minorHAnsi"/>
          <w:vertAlign w:val="superscript"/>
        </w:rPr>
        <w:t>3</w:t>
      </w:r>
      <w:r>
        <w:rPr>
          <w:rFonts w:asciiTheme="minorHAnsi" w:hAnsiTheme="minorHAnsi"/>
        </w:rPr>
        <w:t xml:space="preserve"> dla betonu klasy C20/25 i C25/30,</w:t>
      </w:r>
    </w:p>
    <w:p w:rsidR="002412CC" w:rsidRDefault="002412CC" w:rsidP="002412CC">
      <w:pPr>
        <w:tabs>
          <w:tab w:val="left" w:pos="9914"/>
        </w:tabs>
        <w:rPr>
          <w:rFonts w:asciiTheme="minorHAnsi" w:hAnsiTheme="minorHAnsi"/>
        </w:rPr>
      </w:pPr>
      <w:r>
        <w:rPr>
          <w:rFonts w:asciiTheme="minorHAnsi" w:hAnsiTheme="minorHAnsi"/>
        </w:rPr>
        <w:t>450 kg/m</w:t>
      </w:r>
      <w:r>
        <w:rPr>
          <w:rFonts w:asciiTheme="minorHAnsi" w:hAnsiTheme="minorHAnsi"/>
          <w:vertAlign w:val="superscript"/>
        </w:rPr>
        <w:t>3</w:t>
      </w:r>
      <w:r>
        <w:rPr>
          <w:rFonts w:asciiTheme="minorHAnsi" w:hAnsiTheme="minorHAnsi"/>
        </w:rPr>
        <w:t xml:space="preserve"> dla betonu klas C30/37 i wyższych.</w:t>
      </w:r>
    </w:p>
    <w:p w:rsidR="002412CC" w:rsidRDefault="002412CC" w:rsidP="002412CC">
      <w:pPr>
        <w:tabs>
          <w:tab w:val="left" w:pos="9914"/>
        </w:tabs>
        <w:rPr>
          <w:rFonts w:asciiTheme="minorHAnsi" w:hAnsiTheme="minorHAnsi"/>
        </w:rPr>
      </w:pPr>
      <w:r>
        <w:rPr>
          <w:rFonts w:asciiTheme="minorHAnsi" w:hAnsiTheme="minorHAnsi"/>
        </w:rPr>
        <w:t>Dopuszcza się przekraczanie tych ilości o 10 % w uzasadnionych przypadkach za zgodą Inżyniera,</w:t>
      </w:r>
    </w:p>
    <w:p w:rsidR="002412CC" w:rsidRDefault="002412CC" w:rsidP="002412CC">
      <w:pPr>
        <w:tabs>
          <w:tab w:val="left" w:pos="9914"/>
        </w:tabs>
        <w:rPr>
          <w:rFonts w:asciiTheme="minorHAnsi" w:hAnsiTheme="minorHAnsi"/>
        </w:rPr>
      </w:pPr>
      <w:r>
        <w:rPr>
          <w:rFonts w:asciiTheme="minorHAnsi" w:hAnsiTheme="minorHAnsi"/>
        </w:rPr>
        <w:t>8) przy projektowaniu składu mieszanki betonowej zagęszczanej przez wibrowanie i dojrzewającej w warunkach naturalnych (średnia temperatura dobowa nie niższa niż 10°C), średnią wymaganą wytrzymałość na ściskanie należy określić jako równą  1,3 R</w:t>
      </w:r>
      <w:r>
        <w:rPr>
          <w:rFonts w:asciiTheme="minorHAnsi" w:hAnsiTheme="minorHAnsi"/>
          <w:vertAlign w:val="subscript"/>
        </w:rPr>
        <w:t>b</w:t>
      </w:r>
      <w:r>
        <w:rPr>
          <w:rFonts w:asciiTheme="minorHAnsi" w:hAnsiTheme="minorHAnsi"/>
          <w:vertAlign w:val="superscript"/>
        </w:rPr>
        <w:t>G</w:t>
      </w:r>
      <w:r>
        <w:rPr>
          <w:rFonts w:asciiTheme="minorHAnsi" w:hAnsiTheme="minorHAnsi"/>
        </w:rPr>
        <w:t xml:space="preserve"> .</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2.4.2.</w:t>
      </w:r>
      <w:r>
        <w:rPr>
          <w:rFonts w:asciiTheme="minorHAnsi" w:hAnsiTheme="minorHAnsi"/>
        </w:rPr>
        <w:t xml:space="preserve"> Wymagane właściwości betonu</w:t>
      </w:r>
    </w:p>
    <w:p w:rsidR="002412CC" w:rsidRDefault="002412CC" w:rsidP="002412CC">
      <w:pPr>
        <w:tabs>
          <w:tab w:val="left" w:pos="9914"/>
        </w:tabs>
        <w:rPr>
          <w:rFonts w:asciiTheme="minorHAnsi" w:hAnsiTheme="minorHAnsi"/>
        </w:rPr>
      </w:pPr>
      <w:r>
        <w:rPr>
          <w:rFonts w:asciiTheme="minorHAnsi" w:hAnsiTheme="minorHAnsi"/>
        </w:rPr>
        <w:t>Beton do konstrukcji mostowych musi spełniać wymagania zestawione w tablicy 2.</w:t>
      </w:r>
    </w:p>
    <w:p w:rsidR="002412CC" w:rsidRDefault="002412CC" w:rsidP="002412CC">
      <w:pPr>
        <w:tabs>
          <w:tab w:val="left" w:pos="9914"/>
        </w:tabs>
        <w:rPr>
          <w:rFonts w:asciiTheme="minorHAnsi" w:hAnsiTheme="minorHAnsi"/>
        </w:rPr>
      </w:pPr>
      <w:r>
        <w:rPr>
          <w:rFonts w:asciiTheme="minorHAnsi" w:hAnsiTheme="minorHAnsi"/>
        </w:rPr>
        <w:t>Tablica 2. Wymagane właściwości betonu</w:t>
      </w:r>
    </w:p>
    <w:p w:rsidR="002412CC" w:rsidRDefault="002412CC" w:rsidP="002412CC">
      <w:pPr>
        <w:tabs>
          <w:tab w:val="left" w:pos="9914"/>
        </w:tabs>
        <w:rPr>
          <w:rFonts w:asciiTheme="minorHAnsi" w:hAnsiTheme="minorHAnsi"/>
        </w:rPr>
      </w:pPr>
    </w:p>
    <w:tbl>
      <w:tblPr>
        <w:tblW w:w="925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1" w:type="dxa"/>
          <w:right w:w="71" w:type="dxa"/>
        </w:tblCellMar>
        <w:tblLook w:val="04A0"/>
      </w:tblPr>
      <w:tblGrid>
        <w:gridCol w:w="497"/>
        <w:gridCol w:w="2094"/>
        <w:gridCol w:w="4320"/>
        <w:gridCol w:w="2340"/>
      </w:tblGrid>
      <w:tr w:rsidR="002412CC" w:rsidTr="002412CC">
        <w:tc>
          <w:tcPr>
            <w:tcW w:w="497"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Lp.</w:t>
            </w:r>
          </w:p>
        </w:tc>
        <w:tc>
          <w:tcPr>
            <w:tcW w:w="2094"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Cecha</w:t>
            </w:r>
          </w:p>
        </w:tc>
        <w:tc>
          <w:tcPr>
            <w:tcW w:w="432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b/>
              </w:rPr>
            </w:pPr>
            <w:r>
              <w:rPr>
                <w:rFonts w:asciiTheme="minorHAnsi" w:hAnsiTheme="minorHAnsi"/>
                <w:b/>
              </w:rPr>
              <w:t>Wymaganie</w:t>
            </w:r>
          </w:p>
        </w:tc>
        <w:tc>
          <w:tcPr>
            <w:tcW w:w="234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Metoda badań wg</w:t>
            </w:r>
          </w:p>
        </w:tc>
      </w:tr>
      <w:tr w:rsidR="002412CC" w:rsidTr="002412CC">
        <w:trPr>
          <w:trHeight w:val="302"/>
        </w:trPr>
        <w:tc>
          <w:tcPr>
            <w:tcW w:w="497"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1</w:t>
            </w:r>
          </w:p>
        </w:tc>
        <w:tc>
          <w:tcPr>
            <w:tcW w:w="2094"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Nasiąkliwość</w:t>
            </w:r>
          </w:p>
        </w:tc>
        <w:tc>
          <w:tcPr>
            <w:tcW w:w="432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Do 4 %</w:t>
            </w:r>
          </w:p>
        </w:tc>
        <w:tc>
          <w:tcPr>
            <w:tcW w:w="234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PN-88/B-06250 </w:t>
            </w:r>
          </w:p>
        </w:tc>
      </w:tr>
      <w:tr w:rsidR="002412CC" w:rsidTr="002412CC">
        <w:tc>
          <w:tcPr>
            <w:tcW w:w="497"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2</w:t>
            </w:r>
          </w:p>
        </w:tc>
        <w:tc>
          <w:tcPr>
            <w:tcW w:w="2094"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Wodoszczelność</w:t>
            </w:r>
          </w:p>
        </w:tc>
        <w:tc>
          <w:tcPr>
            <w:tcW w:w="432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Większa od 0,8 MPa (W8)</w:t>
            </w:r>
          </w:p>
        </w:tc>
        <w:tc>
          <w:tcPr>
            <w:tcW w:w="234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PN-88/B-06250 </w:t>
            </w:r>
          </w:p>
        </w:tc>
      </w:tr>
      <w:tr w:rsidR="002412CC" w:rsidTr="002412CC">
        <w:tc>
          <w:tcPr>
            <w:tcW w:w="497"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3</w:t>
            </w:r>
          </w:p>
        </w:tc>
        <w:tc>
          <w:tcPr>
            <w:tcW w:w="2094"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Mrozoodporność</w:t>
            </w:r>
          </w:p>
        </w:tc>
        <w:tc>
          <w:tcPr>
            <w:tcW w:w="4320" w:type="dxa"/>
            <w:tcBorders>
              <w:top w:val="single" w:sz="6" w:space="0" w:color="auto"/>
              <w:left w:val="single" w:sz="6" w:space="0" w:color="auto"/>
              <w:bottom w:val="single" w:sz="6" w:space="0" w:color="auto"/>
              <w:right w:val="single" w:sz="6" w:space="0" w:color="auto"/>
            </w:tcBorders>
            <w:noWrap/>
            <w:hideMark/>
          </w:tcPr>
          <w:p w:rsidR="002412CC" w:rsidRDefault="002412CC">
            <w:pPr>
              <w:tabs>
                <w:tab w:val="left" w:pos="9914"/>
              </w:tabs>
              <w:spacing w:line="276" w:lineRule="auto"/>
              <w:rPr>
                <w:rFonts w:asciiTheme="minorHAnsi" w:hAnsiTheme="minorHAnsi"/>
              </w:rPr>
            </w:pPr>
            <w:r>
              <w:rPr>
                <w:rFonts w:asciiTheme="minorHAnsi" w:hAnsiTheme="minorHAnsi"/>
              </w:rPr>
              <w:t>Ubytek masy nie większy od 5%.</w:t>
            </w:r>
          </w:p>
          <w:p w:rsidR="002412CC" w:rsidRDefault="002412CC">
            <w:pPr>
              <w:widowControl w:val="0"/>
              <w:tabs>
                <w:tab w:val="left" w:pos="9914"/>
              </w:tabs>
              <w:spacing w:line="276" w:lineRule="auto"/>
              <w:rPr>
                <w:rFonts w:asciiTheme="minorHAnsi" w:hAnsiTheme="minorHAnsi"/>
              </w:rPr>
            </w:pPr>
            <w:r>
              <w:rPr>
                <w:rFonts w:asciiTheme="minorHAnsi" w:hAnsiTheme="minorHAnsi"/>
              </w:rPr>
              <w:t>Spadek wytrzymałości nie większy od 20 % po 150 cyklach zamrażania i odmrażania (F150)</w:t>
            </w:r>
          </w:p>
        </w:tc>
        <w:tc>
          <w:tcPr>
            <w:tcW w:w="2340" w:type="dxa"/>
            <w:tcBorders>
              <w:top w:val="single" w:sz="6" w:space="0" w:color="auto"/>
              <w:left w:val="single" w:sz="6" w:space="0" w:color="auto"/>
              <w:bottom w:val="single" w:sz="6" w:space="0" w:color="auto"/>
              <w:right w:val="single" w:sz="6"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PN-88/B-06250 </w:t>
            </w:r>
          </w:p>
        </w:tc>
      </w:tr>
    </w:tbl>
    <w:p w:rsidR="002412CC" w:rsidRDefault="002412CC" w:rsidP="002412CC">
      <w:pPr>
        <w:tabs>
          <w:tab w:val="left" w:pos="9914"/>
        </w:tabs>
        <w:rPr>
          <w:rFonts w:asciiTheme="minorHAnsi" w:hAnsiTheme="minorHAnsi"/>
        </w:rPr>
      </w:pPr>
      <w:r>
        <w:rPr>
          <w:rFonts w:asciiTheme="minorHAnsi" w:hAnsiTheme="minorHAnsi"/>
        </w:rPr>
        <w:tab/>
      </w:r>
    </w:p>
    <w:p w:rsidR="002412CC" w:rsidRDefault="002412CC" w:rsidP="002412CC">
      <w:pPr>
        <w:tabs>
          <w:tab w:val="left" w:pos="9914"/>
        </w:tabs>
        <w:rPr>
          <w:rFonts w:asciiTheme="minorHAnsi" w:hAnsiTheme="minorHAnsi"/>
        </w:rPr>
      </w:pPr>
      <w:r>
        <w:rPr>
          <w:rFonts w:asciiTheme="minorHAnsi" w:hAnsiTheme="minorHAnsi"/>
        </w:rPr>
        <w:t>W przypadku zastosowania dodatków i domieszek badanie odporności na działanie mrozu powinno być wykonane wg PN-88/B-06250, z zastosowaniem wody oraz 2% roztworu solnego (NaCl), na oddzielnych próbkach</w:t>
      </w:r>
    </w:p>
    <w:p w:rsidR="002412CC" w:rsidRPr="00E5206A" w:rsidRDefault="002412CC" w:rsidP="00E5206A">
      <w:pPr>
        <w:pStyle w:val="Nagwek3"/>
      </w:pPr>
      <w:r w:rsidRPr="00E5206A">
        <w:lastRenderedPageBreak/>
        <w:t>3. Sprzęt</w:t>
      </w:r>
    </w:p>
    <w:p w:rsidR="002412CC" w:rsidRDefault="002412CC" w:rsidP="002412CC">
      <w:pPr>
        <w:pStyle w:val="Nagwek4"/>
        <w:tabs>
          <w:tab w:val="left" w:pos="9914"/>
        </w:tabs>
        <w:rPr>
          <w:rFonts w:asciiTheme="minorHAnsi" w:hAnsiTheme="minorHAnsi"/>
        </w:rPr>
      </w:pPr>
      <w:r>
        <w:t>3.1.Ogólne wymagania dotyczące sprzętu</w:t>
      </w:r>
    </w:p>
    <w:p w:rsidR="002412CC" w:rsidRDefault="002412CC" w:rsidP="002412CC">
      <w:pPr>
        <w:tabs>
          <w:tab w:val="left" w:pos="9914"/>
        </w:tabs>
        <w:rPr>
          <w:rFonts w:asciiTheme="minorHAnsi" w:hAnsiTheme="minorHAnsi"/>
        </w:rPr>
      </w:pPr>
      <w:r>
        <w:rPr>
          <w:rFonts w:asciiTheme="minorHAnsi" w:hAnsiTheme="minorHAnsi"/>
        </w:rPr>
        <w:t>Ogólne wymagania dotyczące sprzętu podano w STWiORB D-M-00.00.00 „Wymagania ogólne” pkt 3.</w:t>
      </w:r>
    </w:p>
    <w:p w:rsidR="002412CC" w:rsidRDefault="002412CC" w:rsidP="002412CC">
      <w:pPr>
        <w:tabs>
          <w:tab w:val="left" w:pos="9914"/>
        </w:tabs>
        <w:rPr>
          <w:rFonts w:asciiTheme="minorHAnsi" w:hAnsiTheme="minorHAnsi"/>
        </w:rPr>
      </w:pPr>
      <w:r>
        <w:rPr>
          <w:rFonts w:asciiTheme="minorHAnsi" w:hAnsiTheme="minorHAnsi"/>
        </w:rPr>
        <w:t>Sprzęt do wykonania robót musi uzyskać akceptację Inżyniera.</w:t>
      </w:r>
    </w:p>
    <w:p w:rsidR="002412CC" w:rsidRDefault="002412CC" w:rsidP="002412CC">
      <w:pPr>
        <w:pStyle w:val="Nagwek4"/>
        <w:tabs>
          <w:tab w:val="left" w:pos="9914"/>
        </w:tabs>
        <w:rPr>
          <w:rFonts w:asciiTheme="minorHAnsi" w:hAnsiTheme="minorHAnsi"/>
        </w:rPr>
      </w:pPr>
      <w:r>
        <w:t>3.2. Sprzęt do wykonania robót</w:t>
      </w:r>
    </w:p>
    <w:p w:rsidR="002412CC" w:rsidRDefault="002412CC" w:rsidP="002412CC">
      <w:pPr>
        <w:tabs>
          <w:tab w:val="left" w:pos="9914"/>
        </w:tabs>
        <w:rPr>
          <w:rFonts w:asciiTheme="minorHAnsi" w:hAnsiTheme="minorHAnsi"/>
        </w:rPr>
      </w:pPr>
      <w:r>
        <w:rPr>
          <w:rFonts w:asciiTheme="minorHAnsi" w:hAnsiTheme="minorHAnsi"/>
          <w:b/>
        </w:rPr>
        <w:t>3.2.1.</w:t>
      </w:r>
      <w:r>
        <w:rPr>
          <w:rFonts w:asciiTheme="minorHAnsi" w:hAnsiTheme="minorHAnsi"/>
        </w:rPr>
        <w:t xml:space="preserve"> Dozowanie składników</w:t>
      </w:r>
    </w:p>
    <w:p w:rsidR="002412CC" w:rsidRDefault="002412CC" w:rsidP="002412CC">
      <w:pPr>
        <w:tabs>
          <w:tab w:val="left" w:pos="9914"/>
        </w:tabs>
        <w:rPr>
          <w:rFonts w:asciiTheme="minorHAnsi" w:hAnsiTheme="minorHAnsi"/>
        </w:rPr>
      </w:pPr>
      <w:r>
        <w:rPr>
          <w:rFonts w:asciiTheme="minorHAnsi" w:hAnsiTheme="minorHAnsi"/>
        </w:rPr>
        <w:t>Dozatory muszą mieć aktualne świadectwo legalizacji. Składniki muszą być dozowane wagowo.</w:t>
      </w:r>
    </w:p>
    <w:p w:rsidR="002412CC" w:rsidRDefault="002412CC" w:rsidP="002412CC">
      <w:pPr>
        <w:tabs>
          <w:tab w:val="left" w:pos="9914"/>
        </w:tabs>
        <w:rPr>
          <w:rFonts w:asciiTheme="minorHAnsi" w:hAnsiTheme="minorHAnsi"/>
        </w:rPr>
      </w:pPr>
      <w:r>
        <w:rPr>
          <w:rFonts w:asciiTheme="minorHAnsi" w:hAnsiTheme="minorHAnsi"/>
          <w:b/>
        </w:rPr>
        <w:t>3.2.2</w:t>
      </w:r>
      <w:r>
        <w:rPr>
          <w:rFonts w:asciiTheme="minorHAnsi" w:hAnsiTheme="minorHAnsi"/>
        </w:rPr>
        <w:t>. Mieszanie składników</w:t>
      </w:r>
    </w:p>
    <w:p w:rsidR="002412CC" w:rsidRDefault="002412CC" w:rsidP="002412CC">
      <w:pPr>
        <w:tabs>
          <w:tab w:val="left" w:pos="9914"/>
        </w:tabs>
        <w:rPr>
          <w:rFonts w:asciiTheme="minorHAnsi" w:hAnsiTheme="minorHAnsi"/>
        </w:rPr>
      </w:pPr>
      <w:r>
        <w:rPr>
          <w:rFonts w:asciiTheme="minorHAnsi" w:hAnsiTheme="minorHAnsi"/>
        </w:rPr>
        <w:t>Mieszanie składników musi odbywać się wyłącznie w betoniarkach o wymuszonym działaniu (zabrania się stosowania mieszarek wolnospadowych).</w:t>
      </w:r>
    </w:p>
    <w:p w:rsidR="002412CC" w:rsidRDefault="002412CC" w:rsidP="002412CC">
      <w:pPr>
        <w:tabs>
          <w:tab w:val="left" w:pos="9914"/>
        </w:tabs>
        <w:rPr>
          <w:rFonts w:asciiTheme="minorHAnsi" w:hAnsiTheme="minorHAnsi"/>
        </w:rPr>
      </w:pPr>
      <w:r>
        <w:rPr>
          <w:rFonts w:asciiTheme="minorHAnsi" w:hAnsiTheme="minorHAnsi"/>
          <w:b/>
        </w:rPr>
        <w:t>3.2.3</w:t>
      </w:r>
      <w:r>
        <w:rPr>
          <w:rFonts w:asciiTheme="minorHAnsi" w:hAnsiTheme="minorHAnsi"/>
        </w:rPr>
        <w:t>. Transport mieszanki betonowej</w:t>
      </w:r>
    </w:p>
    <w:p w:rsidR="002412CC" w:rsidRDefault="002412CC" w:rsidP="002412CC">
      <w:pPr>
        <w:tabs>
          <w:tab w:val="left" w:pos="9914"/>
        </w:tabs>
        <w:rPr>
          <w:rFonts w:asciiTheme="minorHAnsi" w:hAnsiTheme="minorHAnsi"/>
        </w:rPr>
      </w:pPr>
      <w:r>
        <w:rPr>
          <w:rFonts w:asciiTheme="minorHAnsi" w:hAnsiTheme="minorHAnsi"/>
        </w:rPr>
        <w:t>Do transportu mieszanek betonowych należy stosować mieszalniki samochodowe (tzw. „gruszki”). Zabrania się stosowanie mieszarek wolnospadowych. Ilość „gruszek” należy dobrać tak, aby zapewnić wymaganą szybkość betonowania z uwzględnieniem odległości dowozu, czasu twardnienia betonu oraz koniecznej rezerwy w przypadku awarii samochodu. Niedozwolone jest stosowanie samochodów skrzyniowych ani wywrotek.</w:t>
      </w:r>
    </w:p>
    <w:p w:rsidR="002412CC" w:rsidRDefault="002412CC" w:rsidP="002412CC">
      <w:pPr>
        <w:tabs>
          <w:tab w:val="left" w:pos="9914"/>
        </w:tabs>
        <w:rPr>
          <w:rFonts w:asciiTheme="minorHAnsi" w:hAnsiTheme="minorHAnsi"/>
        </w:rPr>
      </w:pPr>
      <w:r>
        <w:rPr>
          <w:rFonts w:asciiTheme="minorHAnsi" w:hAnsiTheme="minorHAnsi"/>
          <w:b/>
        </w:rPr>
        <w:t>3.2.4</w:t>
      </w:r>
      <w:r>
        <w:rPr>
          <w:rFonts w:asciiTheme="minorHAnsi" w:hAnsiTheme="minorHAnsi"/>
        </w:rPr>
        <w:t xml:space="preserve">. Podawanie mieszanki </w:t>
      </w:r>
    </w:p>
    <w:p w:rsidR="002412CC" w:rsidRDefault="002412CC" w:rsidP="002412CC">
      <w:pPr>
        <w:tabs>
          <w:tab w:val="left" w:pos="9914"/>
        </w:tabs>
        <w:rPr>
          <w:rFonts w:asciiTheme="minorHAnsi" w:hAnsiTheme="minorHAnsi"/>
        </w:rPr>
      </w:pPr>
      <w:r>
        <w:rPr>
          <w:rFonts w:asciiTheme="minorHAnsi" w:hAnsiTheme="minorHAnsi"/>
        </w:rPr>
        <w:t xml:space="preserve">Do podawania mieszanek należy stosować pojemniki o konstrukcji umożliwiającej łatwe ich opróżnianie lub pompy przystosowane do podawania mieszanek plastycznych. </w:t>
      </w:r>
    </w:p>
    <w:p w:rsidR="002412CC" w:rsidRDefault="002412CC" w:rsidP="002412CC">
      <w:pPr>
        <w:tabs>
          <w:tab w:val="left" w:pos="9914"/>
        </w:tabs>
        <w:rPr>
          <w:rFonts w:asciiTheme="minorHAnsi" w:hAnsiTheme="minorHAnsi"/>
        </w:rPr>
      </w:pPr>
      <w:r>
        <w:rPr>
          <w:rFonts w:asciiTheme="minorHAnsi" w:hAnsiTheme="minorHAnsi"/>
          <w:b/>
        </w:rPr>
        <w:t>3.2.5</w:t>
      </w:r>
      <w:r>
        <w:rPr>
          <w:rFonts w:asciiTheme="minorHAnsi" w:hAnsiTheme="minorHAnsi"/>
        </w:rPr>
        <w:t>. Zagęszczanie</w:t>
      </w:r>
    </w:p>
    <w:p w:rsidR="002412CC" w:rsidRDefault="002412CC" w:rsidP="002412CC">
      <w:pPr>
        <w:tabs>
          <w:tab w:val="left" w:pos="9914"/>
        </w:tabs>
        <w:rPr>
          <w:rFonts w:asciiTheme="minorHAnsi" w:hAnsiTheme="minorHAnsi"/>
        </w:rPr>
      </w:pPr>
      <w:r>
        <w:rPr>
          <w:rFonts w:asciiTheme="minorHAnsi" w:hAnsiTheme="minorHAnsi"/>
        </w:rPr>
        <w:t>Do zagęszczania mieszanki betonowej stosować wibratory wgłębne o częstotliwości min. 6000 drgań/min z buławami o średnicy nie większej od 0,65 odległości między prętami zbrojenia krzyżującymi się w płaszczyźnie poziomej.</w:t>
      </w:r>
    </w:p>
    <w:p w:rsidR="002412CC" w:rsidRDefault="002412CC" w:rsidP="002412CC">
      <w:pPr>
        <w:tabs>
          <w:tab w:val="left" w:pos="9914"/>
        </w:tabs>
        <w:rPr>
          <w:rFonts w:asciiTheme="minorHAnsi" w:hAnsiTheme="minorHAnsi"/>
        </w:rPr>
      </w:pPr>
      <w:r>
        <w:rPr>
          <w:rFonts w:asciiTheme="minorHAnsi" w:hAnsiTheme="minorHAnsi"/>
        </w:rPr>
        <w:t>Belki i łaty wibracyjne stosowane do wyrównywania powierzchni betonu płyt pomostów powinny charakteryzować się jednakowymi drganiami na całej długości.</w:t>
      </w:r>
    </w:p>
    <w:p w:rsidR="002412CC" w:rsidRPr="00E5206A" w:rsidRDefault="002412CC" w:rsidP="00E5206A">
      <w:pPr>
        <w:pStyle w:val="Nagwek3"/>
      </w:pPr>
      <w:r w:rsidRPr="00E5206A">
        <w:t>4. Transport</w:t>
      </w:r>
    </w:p>
    <w:p w:rsidR="002412CC" w:rsidRDefault="002412CC" w:rsidP="002412CC">
      <w:pPr>
        <w:pStyle w:val="Nagwek4"/>
        <w:tabs>
          <w:tab w:val="left" w:pos="9914"/>
        </w:tabs>
        <w:rPr>
          <w:rFonts w:asciiTheme="minorHAnsi" w:hAnsiTheme="minorHAnsi"/>
        </w:rPr>
      </w:pPr>
      <w:r>
        <w:t>4.1. Ogólne wymagania dotyczące transportu</w:t>
      </w:r>
    </w:p>
    <w:p w:rsidR="002412CC" w:rsidRDefault="002412CC" w:rsidP="002412CC">
      <w:pPr>
        <w:tabs>
          <w:tab w:val="left" w:pos="9914"/>
        </w:tabs>
        <w:rPr>
          <w:rFonts w:asciiTheme="minorHAnsi" w:hAnsiTheme="minorHAnsi"/>
        </w:rPr>
      </w:pPr>
      <w:r>
        <w:rPr>
          <w:rFonts w:asciiTheme="minorHAnsi" w:hAnsiTheme="minorHAnsi"/>
        </w:rPr>
        <w:t>Ogólne wymagania dotyczące transportu podano w STWiORB D-M-00.00.00 „Wymagania ogólne”, pkt  4.</w:t>
      </w:r>
    </w:p>
    <w:p w:rsidR="002412CC" w:rsidRDefault="002412CC" w:rsidP="002412CC">
      <w:pPr>
        <w:pStyle w:val="Nagwek4"/>
        <w:tabs>
          <w:tab w:val="left" w:pos="9914"/>
        </w:tabs>
        <w:rPr>
          <w:rFonts w:asciiTheme="minorHAnsi" w:hAnsiTheme="minorHAnsi"/>
        </w:rPr>
      </w:pPr>
      <w:r>
        <w:t>4.2. Transport i przechowywanie cementu</w:t>
      </w:r>
    </w:p>
    <w:p w:rsidR="002412CC" w:rsidRDefault="002412CC" w:rsidP="002412CC">
      <w:pPr>
        <w:tabs>
          <w:tab w:val="left" w:pos="9914"/>
        </w:tabs>
        <w:rPr>
          <w:rFonts w:asciiTheme="minorHAnsi" w:hAnsiTheme="minorHAnsi"/>
        </w:rPr>
      </w:pPr>
      <w:r>
        <w:rPr>
          <w:rFonts w:asciiTheme="minorHAnsi" w:hAnsiTheme="minorHAnsi"/>
        </w:rPr>
        <w:t>Transport i przechowywanie cementu powinny być zgodne z  BN-88/6731-08.</w:t>
      </w:r>
    </w:p>
    <w:p w:rsidR="002412CC" w:rsidRDefault="002412CC" w:rsidP="002412CC">
      <w:pPr>
        <w:tabs>
          <w:tab w:val="left" w:pos="9914"/>
        </w:tabs>
        <w:rPr>
          <w:rFonts w:asciiTheme="minorHAnsi" w:hAnsiTheme="minorHAnsi"/>
        </w:rPr>
      </w:pPr>
      <w:r>
        <w:rPr>
          <w:rFonts w:asciiTheme="minorHAnsi" w:hAnsiTheme="minorHAnsi"/>
        </w:rPr>
        <w:t xml:space="preserve">Cement wysyłany w opakowaniu powinien być pakowany w worki papierowe WK co najmniej trzywarstwowe wg PN-76/P-79005. Masa worka z cementem powinna wynosić 50 </w:t>
      </w:r>
      <w:r>
        <w:rPr>
          <w:rFonts w:asciiTheme="minorHAnsi" w:hAnsiTheme="minorHAnsi"/>
        </w:rPr>
        <w:sym w:font="Symbol" w:char="F0B1"/>
      </w:r>
      <w:r>
        <w:rPr>
          <w:rFonts w:asciiTheme="minorHAnsi" w:hAnsiTheme="minorHAnsi"/>
        </w:rPr>
        <w:t xml:space="preserve">2 kg. Kolory rozpoznawcze worków oraz napisy na workach powinny być zgodne z PN-EN 197-1:2002. </w:t>
      </w:r>
    </w:p>
    <w:p w:rsidR="002412CC" w:rsidRDefault="002412CC" w:rsidP="002412CC">
      <w:pPr>
        <w:tabs>
          <w:tab w:val="left" w:pos="9914"/>
        </w:tabs>
        <w:rPr>
          <w:rFonts w:asciiTheme="minorHAnsi" w:hAnsiTheme="minorHAnsi"/>
        </w:rPr>
      </w:pPr>
      <w:r>
        <w:rPr>
          <w:rFonts w:asciiTheme="minorHAnsi" w:hAnsiTheme="minorHAnsi"/>
        </w:rPr>
        <w:t xml:space="preserve">Cement workowany powinien być składowany składach otwartych (w wydzielonych miejscach zadaszonych na otwartym terenie, zabezpieczonych z boków przed opadami) lub w magazynach zamkniętych (budynkach lub pomieszczeniach o szczelnym dachu i ścianach). Podłoża składów otwartych powinny być twarde i suche, odpowiednio pochylone, zabezpieczające cement przed ściekami wody deszczowej i zanieczyszczeń. Podłogi magazynów zamkniętych powinny być suche i czyste, zabezpieczające cement przed zawilgoceniem i zanieczyszczeniem. </w:t>
      </w:r>
    </w:p>
    <w:p w:rsidR="002412CC" w:rsidRDefault="002412CC" w:rsidP="002412CC">
      <w:pPr>
        <w:tabs>
          <w:tab w:val="left" w:pos="9914"/>
        </w:tabs>
        <w:rPr>
          <w:rFonts w:asciiTheme="minorHAnsi" w:hAnsiTheme="minorHAnsi"/>
        </w:rPr>
      </w:pPr>
      <w:r>
        <w:rPr>
          <w:rFonts w:asciiTheme="minorHAnsi" w:hAnsiTheme="minorHAnsi"/>
        </w:rPr>
        <w:t xml:space="preserve">Do transportu cementu luzem należy stosować cementowagony i cementosamochody wyposażone we wsypy umożliwiające grawitacyjne napełnianie zbiorników i urządzenie do ładowania i wyładowania cementu. Cement wysyłany luzem powinien mieć identyfikator zawierający dane zgodnie z PN-EN 197-1:2002. Cement luzem powinien być przechowywany w specjalnych magazynach (zbiornikach stalowych, żelbetowych lub betonowych przystosowanych do pneumatycznego załadowywania i wyładowywania cementu luzem, zaopatrzonych w urządzenia do przeprowadzenia kontroli objętości cementu znajdującego się w zbiorniku lub otwory do przeprowadzenia kontroli cementu, włazy do czyszczenia oraz klamry na wewnętrznych ścianach). </w:t>
      </w:r>
    </w:p>
    <w:p w:rsidR="002412CC" w:rsidRDefault="002412CC" w:rsidP="002412CC">
      <w:pPr>
        <w:tabs>
          <w:tab w:val="left" w:pos="9914"/>
        </w:tabs>
        <w:rPr>
          <w:rFonts w:asciiTheme="minorHAnsi" w:hAnsiTheme="minorHAnsi"/>
        </w:rPr>
      </w:pPr>
      <w:r>
        <w:rPr>
          <w:rFonts w:asciiTheme="minorHAnsi" w:hAnsiTheme="minorHAnsi"/>
        </w:rPr>
        <w:t>Do każdej partii dostarczanego cementu powinien być dołączony dokument dostawy zawierający dane oraz sygnaturę odbiorczą kontroli jakości wg PN-B-197-1:2002. Każda partia cementu, dla której wydano oddzielne świadectwo jakości powinna być przechowywana osobno w sposób umożliwiający jej łatwe rozróżnienie.</w:t>
      </w:r>
    </w:p>
    <w:p w:rsidR="002412CC" w:rsidRDefault="002412CC" w:rsidP="002412CC">
      <w:pPr>
        <w:tabs>
          <w:tab w:val="left" w:pos="9914"/>
        </w:tabs>
        <w:rPr>
          <w:rFonts w:asciiTheme="minorHAnsi" w:hAnsiTheme="minorHAnsi"/>
        </w:rPr>
      </w:pPr>
      <w:r>
        <w:rPr>
          <w:rFonts w:asciiTheme="minorHAnsi" w:hAnsiTheme="minorHAnsi"/>
        </w:rPr>
        <w:lastRenderedPageBreak/>
        <w:t xml:space="preserve">Dopuszczalny okres przechowywania cementu zależy od miejsca przechowywania. </w:t>
      </w:r>
    </w:p>
    <w:p w:rsidR="002412CC" w:rsidRDefault="002412CC" w:rsidP="002412CC">
      <w:pPr>
        <w:tabs>
          <w:tab w:val="left" w:pos="9914"/>
        </w:tabs>
        <w:rPr>
          <w:rFonts w:asciiTheme="minorHAnsi" w:hAnsiTheme="minorHAnsi"/>
        </w:rPr>
      </w:pPr>
      <w:r>
        <w:rPr>
          <w:rFonts w:asciiTheme="minorHAnsi" w:hAnsiTheme="minorHAnsi"/>
        </w:rPr>
        <w:t>Cement nie może być użyty do betonu po okresie:</w:t>
      </w:r>
    </w:p>
    <w:p w:rsidR="002412CC" w:rsidRDefault="002412CC" w:rsidP="002412CC">
      <w:pPr>
        <w:tabs>
          <w:tab w:val="left" w:pos="9914"/>
        </w:tabs>
        <w:rPr>
          <w:rFonts w:asciiTheme="minorHAnsi" w:hAnsiTheme="minorHAnsi"/>
        </w:rPr>
      </w:pPr>
      <w:r>
        <w:rPr>
          <w:rFonts w:asciiTheme="minorHAnsi" w:hAnsiTheme="minorHAnsi"/>
        </w:rPr>
        <w:t>10 dni, w przypadku przechowywania go w zadaszonych składach otwartych,</w:t>
      </w:r>
    </w:p>
    <w:p w:rsidR="002412CC" w:rsidRDefault="002412CC" w:rsidP="002412CC">
      <w:pPr>
        <w:tabs>
          <w:tab w:val="left" w:pos="9914"/>
        </w:tabs>
        <w:rPr>
          <w:rFonts w:asciiTheme="minorHAnsi" w:hAnsiTheme="minorHAnsi"/>
        </w:rPr>
      </w:pPr>
      <w:r>
        <w:rPr>
          <w:rFonts w:asciiTheme="minorHAnsi" w:hAnsiTheme="minorHAnsi"/>
        </w:rPr>
        <w:t>po upływie trwałości podanego przez Wytwórnię, w przypadku przechowywania w składach zamkniętych.</w:t>
      </w:r>
    </w:p>
    <w:p w:rsidR="002412CC" w:rsidRDefault="002412CC" w:rsidP="002412CC">
      <w:pPr>
        <w:pStyle w:val="Nagwek4"/>
        <w:tabs>
          <w:tab w:val="left" w:pos="9914"/>
        </w:tabs>
        <w:rPr>
          <w:rFonts w:asciiTheme="minorHAnsi" w:hAnsiTheme="minorHAnsi"/>
        </w:rPr>
      </w:pPr>
      <w:r>
        <w:t>4.3. Transport i magazynowanie kruszywa</w:t>
      </w:r>
    </w:p>
    <w:p w:rsidR="002412CC" w:rsidRDefault="002412CC" w:rsidP="002412CC">
      <w:pPr>
        <w:tabs>
          <w:tab w:val="left" w:pos="9914"/>
        </w:tabs>
        <w:rPr>
          <w:rFonts w:asciiTheme="minorHAnsi" w:hAnsiTheme="minorHAnsi"/>
        </w:rPr>
      </w:pPr>
      <w:r>
        <w:rPr>
          <w:rFonts w:asciiTheme="minorHAnsi" w:hAnsiTheme="minorHAnsi"/>
        </w:rPr>
        <w:t>Kruszywo należy transportować i przechowywać w warunkach zabezpieczających je przed rozfrakcjowaniem, zanieczyszczeniem oraz zmieszaniem z kruszywem innych klas petrograficznych, asortymentów, marek i gatunków. Kruszywo powinno być składowane na dobrze zagęszczonym i odwodnionym podłożu.</w:t>
      </w:r>
    </w:p>
    <w:p w:rsidR="002412CC" w:rsidRDefault="002412CC" w:rsidP="002412CC">
      <w:pPr>
        <w:pStyle w:val="Nagwek4"/>
        <w:tabs>
          <w:tab w:val="left" w:pos="9914"/>
        </w:tabs>
        <w:rPr>
          <w:rFonts w:asciiTheme="minorHAnsi" w:hAnsiTheme="minorHAnsi"/>
        </w:rPr>
      </w:pPr>
      <w:r>
        <w:t>4.4. Ogólne zasady transportu masy betonowej</w:t>
      </w:r>
    </w:p>
    <w:p w:rsidR="002412CC" w:rsidRDefault="002412CC" w:rsidP="002412CC">
      <w:pPr>
        <w:tabs>
          <w:tab w:val="left" w:pos="9914"/>
        </w:tabs>
        <w:rPr>
          <w:rFonts w:asciiTheme="minorHAnsi" w:hAnsiTheme="minorHAnsi"/>
        </w:rPr>
      </w:pPr>
      <w:r>
        <w:rPr>
          <w:rFonts w:asciiTheme="minorHAnsi" w:hAnsiTheme="minorHAnsi"/>
        </w:rPr>
        <w:t>Masę betonową należy transportować środkami nie powodującymi segregacji ani zmian w składzie masy w stosunku do stanu początkowego. Masę betonową można transportować mieszalnikami samochodowymi („gruszkami”). Ilość „gruszek” należy dobrać tak, aby zapewnić wymaganą szybkość betonowania z uwzględnieniem odległości dowozu, czasu twardnienia betonu oraz koniecznej rezerwy w przypadku awarii samochodu. Niedozwolone jest stosowanie samochodów skrzyniowych ani wywrotek.</w:t>
      </w:r>
    </w:p>
    <w:p w:rsidR="002412CC" w:rsidRDefault="002412CC" w:rsidP="002412CC">
      <w:pPr>
        <w:tabs>
          <w:tab w:val="left" w:pos="9914"/>
        </w:tabs>
        <w:rPr>
          <w:rFonts w:asciiTheme="minorHAnsi" w:hAnsiTheme="minorHAnsi"/>
        </w:rPr>
      </w:pPr>
      <w:r>
        <w:rPr>
          <w:rFonts w:asciiTheme="minorHAnsi" w:hAnsiTheme="minorHAnsi"/>
        </w:rPr>
        <w:t>Czas trwania transportu i jego organizacja powinny zapewniać dostarczenie do miejsca układania masy betonowej o takiej konsystencji, jaka została ustalona dla danego sposobu zagęszczania i rodzaju konstrukcji. Czas transportu i wbudowania mieszanki nie powinien być dłuższy niż:</w:t>
      </w:r>
    </w:p>
    <w:p w:rsidR="002412CC" w:rsidRDefault="002412CC" w:rsidP="002412CC">
      <w:pPr>
        <w:tabs>
          <w:tab w:val="left" w:pos="9914"/>
        </w:tabs>
        <w:rPr>
          <w:rFonts w:asciiTheme="minorHAnsi" w:hAnsiTheme="minorHAnsi"/>
        </w:rPr>
      </w:pPr>
      <w:r>
        <w:rPr>
          <w:rFonts w:asciiTheme="minorHAnsi" w:hAnsiTheme="minorHAnsi"/>
        </w:rPr>
        <w:t>90 minut przy temperaturze otoczenia nie wyższej niż + 15°C,</w:t>
      </w:r>
    </w:p>
    <w:p w:rsidR="002412CC" w:rsidRDefault="002412CC" w:rsidP="002412CC">
      <w:pPr>
        <w:tabs>
          <w:tab w:val="left" w:pos="9914"/>
        </w:tabs>
        <w:rPr>
          <w:rFonts w:asciiTheme="minorHAnsi" w:hAnsiTheme="minorHAnsi"/>
        </w:rPr>
      </w:pPr>
      <w:r>
        <w:rPr>
          <w:rFonts w:asciiTheme="minorHAnsi" w:hAnsiTheme="minorHAnsi"/>
        </w:rPr>
        <w:t>70 minut przy temperaturze otoczenia + 20°C,</w:t>
      </w:r>
    </w:p>
    <w:p w:rsidR="002412CC" w:rsidRDefault="002412CC" w:rsidP="002412CC">
      <w:pPr>
        <w:tabs>
          <w:tab w:val="left" w:pos="9914"/>
        </w:tabs>
        <w:rPr>
          <w:rFonts w:asciiTheme="minorHAnsi" w:hAnsiTheme="minorHAnsi"/>
        </w:rPr>
      </w:pPr>
      <w:r>
        <w:rPr>
          <w:rFonts w:asciiTheme="minorHAnsi" w:hAnsiTheme="minorHAnsi"/>
        </w:rPr>
        <w:t>30 minut przy temperaturze otoczenia nie niższej niż + 30°C.</w:t>
      </w:r>
    </w:p>
    <w:p w:rsidR="002412CC" w:rsidRDefault="002412CC" w:rsidP="002412CC">
      <w:pPr>
        <w:tabs>
          <w:tab w:val="left" w:pos="9914"/>
        </w:tabs>
        <w:rPr>
          <w:rFonts w:asciiTheme="minorHAnsi" w:hAnsiTheme="minorHAnsi"/>
        </w:rPr>
      </w:pPr>
      <w:r>
        <w:rPr>
          <w:rFonts w:asciiTheme="minorHAnsi" w:hAnsiTheme="minorHAnsi"/>
        </w:rPr>
        <w:t xml:space="preserve">Mieszankę powinno się dostarczać do miejsca ułożenia w pojemnikach o konstrukcji umożliwiającej łatwe ich opróżnianie. </w:t>
      </w:r>
    </w:p>
    <w:p w:rsidR="002412CC" w:rsidRDefault="002412CC" w:rsidP="002412CC">
      <w:pPr>
        <w:tabs>
          <w:tab w:val="left" w:pos="9914"/>
        </w:tabs>
        <w:rPr>
          <w:rFonts w:asciiTheme="minorHAnsi" w:hAnsiTheme="minorHAnsi"/>
        </w:rPr>
      </w:pPr>
      <w:r>
        <w:rPr>
          <w:rFonts w:asciiTheme="minorHAnsi" w:hAnsiTheme="minorHAnsi"/>
        </w:rPr>
        <w:t>Do dostarczania mieszanki na odległość nie większą niż 10 m dopuszcza się stosowanie przenośników taśmowych jednosekcyjnych przy zachowaniu następujących warunków:</w:t>
      </w:r>
    </w:p>
    <w:p w:rsidR="002412CC" w:rsidRDefault="002412CC" w:rsidP="002412CC">
      <w:pPr>
        <w:tabs>
          <w:tab w:val="left" w:pos="9914"/>
        </w:tabs>
        <w:rPr>
          <w:rFonts w:asciiTheme="minorHAnsi" w:hAnsiTheme="minorHAnsi"/>
        </w:rPr>
      </w:pPr>
      <w:r>
        <w:rPr>
          <w:rFonts w:asciiTheme="minorHAnsi" w:hAnsiTheme="minorHAnsi"/>
        </w:rPr>
        <w:t>a) masa betonowa powinna być co najmniej konsystencji plastycznej,</w:t>
      </w:r>
    </w:p>
    <w:p w:rsidR="002412CC" w:rsidRDefault="002412CC" w:rsidP="002412CC">
      <w:pPr>
        <w:tabs>
          <w:tab w:val="left" w:pos="9914"/>
        </w:tabs>
        <w:rPr>
          <w:rFonts w:asciiTheme="minorHAnsi" w:hAnsiTheme="minorHAnsi"/>
        </w:rPr>
      </w:pPr>
      <w:r>
        <w:rPr>
          <w:rFonts w:asciiTheme="minorHAnsi" w:hAnsiTheme="minorHAnsi"/>
        </w:rPr>
        <w:t>b) szybkość posuwu taśmy nie powinna być większa niż 1 m/s,</w:t>
      </w:r>
    </w:p>
    <w:p w:rsidR="002412CC" w:rsidRDefault="002412CC" w:rsidP="002412CC">
      <w:pPr>
        <w:tabs>
          <w:tab w:val="left" w:pos="9914"/>
        </w:tabs>
        <w:rPr>
          <w:rFonts w:asciiTheme="minorHAnsi" w:hAnsiTheme="minorHAnsi"/>
        </w:rPr>
      </w:pPr>
      <w:r>
        <w:rPr>
          <w:rFonts w:asciiTheme="minorHAnsi" w:hAnsiTheme="minorHAnsi"/>
        </w:rPr>
        <w:t>c) kąt pochylenia przenośnika nie powinien być większy niż 18° przy transporcie do góry i 12° przy transporcie w dół,</w:t>
      </w:r>
    </w:p>
    <w:p w:rsidR="002412CC" w:rsidRDefault="002412CC" w:rsidP="002412CC">
      <w:pPr>
        <w:tabs>
          <w:tab w:val="left" w:pos="9914"/>
        </w:tabs>
        <w:rPr>
          <w:rFonts w:asciiTheme="minorHAnsi" w:hAnsiTheme="minorHAnsi"/>
        </w:rPr>
      </w:pPr>
      <w:r>
        <w:rPr>
          <w:rFonts w:asciiTheme="minorHAnsi" w:hAnsiTheme="minorHAnsi"/>
        </w:rPr>
        <w:t>d) przenośnik powinien być wyposażony w urządzenie do równomiernego wysypywania masy oraz do zgarniania zaprawy i zaczynu z taśmy przy jej ruchu powrotnym przy czym zgarnięty materiał powinien być stopniowo wprowadzony do dostarczanej masy betonowej.</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bCs/>
        </w:rPr>
      </w:pPr>
      <w:r>
        <w:rPr>
          <w:rFonts w:asciiTheme="minorHAnsi" w:hAnsiTheme="minorHAnsi"/>
        </w:rPr>
        <w:t xml:space="preserve">Przy betonowaniu słupów, korpusów podpór oraz wysokich ścian przyczółków do transportu betonu powinno się używać rynien lub lejów zsypowych.  Wysokość, z której spada mieszanka betonowa nie powinna wynosić więcej niż 0,5 m. Mieszankę betonową można transportować za pośrednictwem rynien zsypowych z wysokości do 3,0 m, a za pomocą leja zsypowego – do 8,0 m. </w:t>
      </w:r>
    </w:p>
    <w:p w:rsidR="002412CC" w:rsidRPr="00E5206A" w:rsidRDefault="002412CC" w:rsidP="00E5206A">
      <w:pPr>
        <w:pStyle w:val="Nagwek3"/>
      </w:pPr>
      <w:r w:rsidRPr="00E5206A">
        <w:t>5. Wykonanie robót</w:t>
      </w:r>
    </w:p>
    <w:p w:rsidR="002412CC" w:rsidRDefault="002412CC" w:rsidP="002412CC">
      <w:pPr>
        <w:pStyle w:val="Nagwek4"/>
        <w:tabs>
          <w:tab w:val="left" w:pos="9914"/>
        </w:tabs>
        <w:rPr>
          <w:rFonts w:asciiTheme="minorHAnsi" w:hAnsiTheme="minorHAnsi"/>
        </w:rPr>
      </w:pPr>
      <w:r>
        <w:t>5.1. Ogólne zasady wykonywania robót</w:t>
      </w:r>
    </w:p>
    <w:p w:rsidR="002412CC" w:rsidRDefault="002412CC" w:rsidP="002412CC">
      <w:pPr>
        <w:tabs>
          <w:tab w:val="left" w:pos="9914"/>
        </w:tabs>
        <w:rPr>
          <w:rFonts w:asciiTheme="minorHAnsi" w:hAnsiTheme="minorHAnsi"/>
        </w:rPr>
      </w:pPr>
      <w:r>
        <w:rPr>
          <w:rFonts w:asciiTheme="minorHAnsi" w:hAnsiTheme="minorHAnsi"/>
        </w:rPr>
        <w:t>Ogólne zasady wykonywania robót podano w STWiORB D-M-00.00.00 „Wymagania ogólne” pkt 5.</w:t>
      </w:r>
    </w:p>
    <w:p w:rsidR="002412CC" w:rsidRDefault="002412CC" w:rsidP="002412CC">
      <w:pPr>
        <w:pStyle w:val="Nagwek4"/>
        <w:tabs>
          <w:tab w:val="left" w:pos="9914"/>
        </w:tabs>
        <w:rPr>
          <w:rFonts w:asciiTheme="minorHAnsi" w:hAnsiTheme="minorHAnsi"/>
        </w:rPr>
      </w:pPr>
      <w:r>
        <w:t>5.2. Zalecenia ogólne</w:t>
      </w:r>
    </w:p>
    <w:p w:rsidR="002412CC" w:rsidRDefault="002412CC" w:rsidP="002412CC">
      <w:pPr>
        <w:tabs>
          <w:tab w:val="left" w:pos="9914"/>
        </w:tabs>
        <w:rPr>
          <w:rFonts w:asciiTheme="minorHAnsi" w:hAnsiTheme="minorHAnsi"/>
        </w:rPr>
      </w:pPr>
      <w:r>
        <w:rPr>
          <w:rFonts w:asciiTheme="minorHAnsi" w:hAnsiTheme="minorHAnsi"/>
          <w:b/>
        </w:rPr>
        <w:t>5.2.1</w:t>
      </w:r>
      <w:r>
        <w:rPr>
          <w:rFonts w:asciiTheme="minorHAnsi" w:hAnsiTheme="minorHAnsi"/>
        </w:rPr>
        <w:t>. Zgodność wykonywania robót z dokumentacją</w:t>
      </w:r>
    </w:p>
    <w:p w:rsidR="002412CC" w:rsidRDefault="002412CC" w:rsidP="002412CC">
      <w:pPr>
        <w:tabs>
          <w:tab w:val="left" w:pos="9914"/>
        </w:tabs>
        <w:rPr>
          <w:rFonts w:asciiTheme="minorHAnsi" w:hAnsiTheme="minorHAnsi"/>
        </w:rPr>
      </w:pPr>
      <w:r>
        <w:rPr>
          <w:rFonts w:asciiTheme="minorHAnsi" w:hAnsiTheme="minorHAnsi"/>
        </w:rPr>
        <w:t xml:space="preserve">Sposób wykonania robót powinien być zgodny z dokumentacja projektową, STWiORB oraz z wymaganiami norm PN-88/B-06250, PN-99/S-10040 i „Rozporządzeniem” oraz dokumentacją technologiczną dostarczoną przez Wykonawcę i zatwierdzoną przez Inżyniera.  </w:t>
      </w:r>
    </w:p>
    <w:p w:rsidR="002412CC" w:rsidRDefault="002412CC" w:rsidP="002412CC">
      <w:pPr>
        <w:tabs>
          <w:tab w:val="left" w:pos="9914"/>
        </w:tabs>
        <w:rPr>
          <w:rFonts w:asciiTheme="minorHAnsi" w:hAnsiTheme="minorHAnsi"/>
        </w:rPr>
      </w:pPr>
      <w:r>
        <w:rPr>
          <w:rFonts w:asciiTheme="minorHAnsi" w:hAnsiTheme="minorHAnsi"/>
        </w:rPr>
        <w:t>Dokumentacja technologiczna dostarczona przez  Wykonawcę powinna zawierać projekt organizacji i harmonogram robót uwzględniający wszystkie warunki, w jakich będą wykonywane roboty betoniarskie, projekty wykonawcze rusztowań i deskowań, projekt technologiczny betonowania.</w:t>
      </w:r>
    </w:p>
    <w:p w:rsidR="002412CC" w:rsidRDefault="002412CC" w:rsidP="002412CC">
      <w:pPr>
        <w:tabs>
          <w:tab w:val="left" w:pos="9914"/>
        </w:tabs>
        <w:rPr>
          <w:rFonts w:asciiTheme="minorHAnsi" w:hAnsiTheme="minorHAnsi"/>
        </w:rPr>
      </w:pPr>
      <w:r>
        <w:rPr>
          <w:rFonts w:asciiTheme="minorHAnsi" w:hAnsiTheme="minorHAnsi"/>
        </w:rPr>
        <w:t>Projekt technologiczny betonowania powinien obejmować:</w:t>
      </w:r>
    </w:p>
    <w:p w:rsidR="002412CC" w:rsidRDefault="002412CC" w:rsidP="002412CC">
      <w:pPr>
        <w:tabs>
          <w:tab w:val="left" w:pos="9914"/>
        </w:tabs>
        <w:rPr>
          <w:rFonts w:asciiTheme="minorHAnsi" w:hAnsiTheme="minorHAnsi"/>
        </w:rPr>
      </w:pPr>
      <w:r>
        <w:rPr>
          <w:rFonts w:asciiTheme="minorHAnsi" w:hAnsiTheme="minorHAnsi"/>
        </w:rPr>
        <w:lastRenderedPageBreak/>
        <w:t>wybór składników betonu,</w:t>
      </w:r>
    </w:p>
    <w:p w:rsidR="002412CC" w:rsidRDefault="002412CC" w:rsidP="002412CC">
      <w:pPr>
        <w:tabs>
          <w:tab w:val="left" w:pos="9914"/>
        </w:tabs>
        <w:rPr>
          <w:rFonts w:asciiTheme="minorHAnsi" w:hAnsiTheme="minorHAnsi"/>
        </w:rPr>
      </w:pPr>
      <w:r>
        <w:rPr>
          <w:rFonts w:asciiTheme="minorHAnsi" w:hAnsiTheme="minorHAnsi"/>
        </w:rPr>
        <w:t>opracowanie receptur laboratoryjnych i roboczych,</w:t>
      </w:r>
    </w:p>
    <w:p w:rsidR="002412CC" w:rsidRDefault="002412CC" w:rsidP="002412CC">
      <w:pPr>
        <w:tabs>
          <w:tab w:val="left" w:pos="9914"/>
        </w:tabs>
        <w:rPr>
          <w:rFonts w:asciiTheme="minorHAnsi" w:hAnsiTheme="minorHAnsi"/>
        </w:rPr>
      </w:pPr>
      <w:r>
        <w:rPr>
          <w:rFonts w:asciiTheme="minorHAnsi" w:hAnsiTheme="minorHAnsi"/>
        </w:rPr>
        <w:t>sposób wytwarzania mieszanki betonowej,</w:t>
      </w:r>
    </w:p>
    <w:p w:rsidR="002412CC" w:rsidRDefault="002412CC" w:rsidP="002412CC">
      <w:pPr>
        <w:tabs>
          <w:tab w:val="left" w:pos="9914"/>
        </w:tabs>
        <w:rPr>
          <w:rFonts w:asciiTheme="minorHAnsi" w:hAnsiTheme="minorHAnsi"/>
        </w:rPr>
      </w:pPr>
      <w:r>
        <w:rPr>
          <w:rFonts w:asciiTheme="minorHAnsi" w:hAnsiTheme="minorHAnsi"/>
        </w:rPr>
        <w:t>sposób transportu mieszanki betonowej,</w:t>
      </w:r>
    </w:p>
    <w:p w:rsidR="002412CC" w:rsidRDefault="002412CC" w:rsidP="002412CC">
      <w:pPr>
        <w:tabs>
          <w:tab w:val="left" w:pos="9914"/>
        </w:tabs>
        <w:rPr>
          <w:rFonts w:asciiTheme="minorHAnsi" w:hAnsiTheme="minorHAnsi"/>
        </w:rPr>
      </w:pPr>
      <w:r>
        <w:rPr>
          <w:rFonts w:asciiTheme="minorHAnsi" w:hAnsiTheme="minorHAnsi"/>
        </w:rPr>
        <w:t>kolejność i sposób betonowania,</w:t>
      </w:r>
    </w:p>
    <w:p w:rsidR="002412CC" w:rsidRDefault="002412CC" w:rsidP="002412CC">
      <w:pPr>
        <w:tabs>
          <w:tab w:val="left" w:pos="9914"/>
        </w:tabs>
        <w:rPr>
          <w:rFonts w:asciiTheme="minorHAnsi" w:hAnsiTheme="minorHAnsi"/>
        </w:rPr>
      </w:pPr>
      <w:r>
        <w:rPr>
          <w:rFonts w:asciiTheme="minorHAnsi" w:hAnsiTheme="minorHAnsi"/>
        </w:rPr>
        <w:t>wskazanie przerw roboczych i sposobu łączenia betonu w przerwach,</w:t>
      </w:r>
    </w:p>
    <w:p w:rsidR="002412CC" w:rsidRDefault="002412CC" w:rsidP="002412CC">
      <w:pPr>
        <w:tabs>
          <w:tab w:val="left" w:pos="9914"/>
        </w:tabs>
        <w:rPr>
          <w:rFonts w:asciiTheme="minorHAnsi" w:hAnsiTheme="minorHAnsi"/>
        </w:rPr>
      </w:pPr>
      <w:r>
        <w:rPr>
          <w:rFonts w:asciiTheme="minorHAnsi" w:hAnsiTheme="minorHAnsi"/>
        </w:rPr>
        <w:t>sposób pielęgnacji betonu,</w:t>
      </w:r>
    </w:p>
    <w:p w:rsidR="002412CC" w:rsidRDefault="002412CC" w:rsidP="002412CC">
      <w:pPr>
        <w:tabs>
          <w:tab w:val="left" w:pos="9914"/>
        </w:tabs>
        <w:rPr>
          <w:rFonts w:asciiTheme="minorHAnsi" w:hAnsiTheme="minorHAnsi"/>
        </w:rPr>
      </w:pPr>
      <w:r>
        <w:rPr>
          <w:rFonts w:asciiTheme="minorHAnsi" w:hAnsiTheme="minorHAnsi"/>
        </w:rPr>
        <w:t>warunki rozformowania konstrukcji,</w:t>
      </w:r>
    </w:p>
    <w:p w:rsidR="002412CC" w:rsidRDefault="002412CC" w:rsidP="002412CC">
      <w:pPr>
        <w:tabs>
          <w:tab w:val="left" w:pos="9914"/>
        </w:tabs>
        <w:rPr>
          <w:rFonts w:asciiTheme="minorHAnsi" w:hAnsiTheme="minorHAnsi"/>
        </w:rPr>
      </w:pPr>
      <w:r>
        <w:rPr>
          <w:rFonts w:asciiTheme="minorHAnsi" w:hAnsiTheme="minorHAnsi"/>
        </w:rPr>
        <w:t>zestawienie koniecznych badań.</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5.2.2</w:t>
      </w:r>
      <w:r>
        <w:rPr>
          <w:rFonts w:asciiTheme="minorHAnsi" w:hAnsiTheme="minorHAnsi"/>
        </w:rPr>
        <w:t>. Zakres robót</w:t>
      </w:r>
    </w:p>
    <w:p w:rsidR="002412CC" w:rsidRDefault="002412CC" w:rsidP="002412CC">
      <w:pPr>
        <w:tabs>
          <w:tab w:val="left" w:pos="9914"/>
        </w:tabs>
        <w:rPr>
          <w:rFonts w:asciiTheme="minorHAnsi" w:hAnsiTheme="minorHAnsi"/>
        </w:rPr>
      </w:pPr>
      <w:r>
        <w:rPr>
          <w:rFonts w:asciiTheme="minorHAnsi" w:hAnsiTheme="minorHAnsi"/>
        </w:rPr>
        <w:t>Podstawowe czynności przy wykonywaniu robót obejmują:</w:t>
      </w:r>
    </w:p>
    <w:p w:rsidR="002412CC" w:rsidRDefault="002412CC" w:rsidP="002412CC">
      <w:pPr>
        <w:tabs>
          <w:tab w:val="left" w:pos="9914"/>
        </w:tabs>
        <w:rPr>
          <w:rFonts w:asciiTheme="minorHAnsi" w:hAnsiTheme="minorHAnsi"/>
        </w:rPr>
      </w:pPr>
      <w:r>
        <w:rPr>
          <w:rFonts w:asciiTheme="minorHAnsi" w:hAnsiTheme="minorHAnsi"/>
        </w:rPr>
        <w:t>roboty przygotowawcze (w tym wykonanie deskowań i rusztowań),</w:t>
      </w:r>
    </w:p>
    <w:p w:rsidR="002412CC" w:rsidRDefault="002412CC" w:rsidP="002412CC">
      <w:pPr>
        <w:tabs>
          <w:tab w:val="left" w:pos="9914"/>
        </w:tabs>
        <w:rPr>
          <w:rFonts w:asciiTheme="minorHAnsi" w:hAnsiTheme="minorHAnsi"/>
        </w:rPr>
      </w:pPr>
      <w:r>
        <w:rPr>
          <w:rFonts w:asciiTheme="minorHAnsi" w:hAnsiTheme="minorHAnsi"/>
        </w:rPr>
        <w:t>wytworzenie mieszanki betonowej,</w:t>
      </w:r>
    </w:p>
    <w:p w:rsidR="002412CC" w:rsidRDefault="002412CC" w:rsidP="002412CC">
      <w:pPr>
        <w:tabs>
          <w:tab w:val="left" w:pos="9914"/>
        </w:tabs>
        <w:rPr>
          <w:rFonts w:asciiTheme="minorHAnsi" w:hAnsiTheme="minorHAnsi"/>
        </w:rPr>
      </w:pPr>
      <w:r>
        <w:rPr>
          <w:rFonts w:asciiTheme="minorHAnsi" w:hAnsiTheme="minorHAnsi"/>
        </w:rPr>
        <w:t>podawanie, układanie i zagęszczanie mieszanki betonowej,</w:t>
      </w:r>
    </w:p>
    <w:p w:rsidR="002412CC" w:rsidRDefault="002412CC" w:rsidP="002412CC">
      <w:pPr>
        <w:tabs>
          <w:tab w:val="left" w:pos="9914"/>
        </w:tabs>
        <w:rPr>
          <w:rFonts w:asciiTheme="minorHAnsi" w:hAnsiTheme="minorHAnsi"/>
        </w:rPr>
      </w:pPr>
      <w:r>
        <w:rPr>
          <w:rFonts w:asciiTheme="minorHAnsi" w:hAnsiTheme="minorHAnsi"/>
        </w:rPr>
        <w:t>pielęgnację betonu,</w:t>
      </w:r>
    </w:p>
    <w:p w:rsidR="002412CC" w:rsidRDefault="002412CC" w:rsidP="002412CC">
      <w:pPr>
        <w:tabs>
          <w:tab w:val="left" w:pos="9914"/>
        </w:tabs>
        <w:rPr>
          <w:rFonts w:asciiTheme="minorHAnsi" w:hAnsiTheme="minorHAnsi"/>
        </w:rPr>
      </w:pPr>
      <w:r>
        <w:rPr>
          <w:rFonts w:asciiTheme="minorHAnsi" w:hAnsiTheme="minorHAnsi"/>
        </w:rPr>
        <w:t>rozbiórkę deskowań i rusztowań,</w:t>
      </w:r>
    </w:p>
    <w:p w:rsidR="002412CC" w:rsidRDefault="002412CC" w:rsidP="002412CC">
      <w:pPr>
        <w:tabs>
          <w:tab w:val="left" w:pos="9914"/>
        </w:tabs>
        <w:rPr>
          <w:rFonts w:asciiTheme="minorHAnsi" w:hAnsiTheme="minorHAnsi"/>
        </w:rPr>
      </w:pPr>
      <w:r>
        <w:rPr>
          <w:rFonts w:asciiTheme="minorHAnsi" w:hAnsiTheme="minorHAnsi"/>
        </w:rPr>
        <w:t>wykańczanie powierzchni betonu,</w:t>
      </w:r>
    </w:p>
    <w:p w:rsidR="002412CC" w:rsidRDefault="002412CC" w:rsidP="002412CC">
      <w:pPr>
        <w:tabs>
          <w:tab w:val="left" w:pos="9914"/>
        </w:tabs>
        <w:rPr>
          <w:rFonts w:asciiTheme="minorHAnsi" w:hAnsiTheme="minorHAnsi"/>
        </w:rPr>
      </w:pPr>
      <w:r>
        <w:rPr>
          <w:rFonts w:asciiTheme="minorHAnsi" w:hAnsiTheme="minorHAnsi"/>
        </w:rPr>
        <w:t>roboty wykończeniowe.</w:t>
      </w:r>
    </w:p>
    <w:p w:rsidR="002412CC" w:rsidRDefault="002412CC" w:rsidP="002412CC">
      <w:pPr>
        <w:pStyle w:val="Nagwek4"/>
        <w:tabs>
          <w:tab w:val="left" w:pos="9914"/>
        </w:tabs>
        <w:rPr>
          <w:rFonts w:asciiTheme="minorHAnsi" w:hAnsiTheme="minorHAnsi"/>
        </w:rPr>
      </w:pPr>
      <w:r>
        <w:t>5.3.  Roboty przygotowawcze</w:t>
      </w:r>
    </w:p>
    <w:p w:rsidR="002412CC" w:rsidRDefault="002412CC" w:rsidP="002412CC">
      <w:pPr>
        <w:tabs>
          <w:tab w:val="left" w:pos="9914"/>
        </w:tabs>
        <w:rPr>
          <w:rFonts w:asciiTheme="minorHAnsi" w:hAnsiTheme="minorHAnsi"/>
        </w:rPr>
      </w:pPr>
      <w:r>
        <w:rPr>
          <w:rFonts w:asciiTheme="minorHAnsi" w:hAnsiTheme="minorHAnsi"/>
        </w:rPr>
        <w:t>Przed przystąpieniem do robót betoniarskich, powinna być stwierdzona przez Inżyniera prawidłowość wykonania wszystkich robót poprzedzających betonowanie, a w szczególności:</w:t>
      </w:r>
    </w:p>
    <w:p w:rsidR="002412CC" w:rsidRDefault="002412CC" w:rsidP="002412CC">
      <w:pPr>
        <w:tabs>
          <w:tab w:val="left" w:pos="9914"/>
        </w:tabs>
        <w:rPr>
          <w:rFonts w:asciiTheme="minorHAnsi" w:hAnsiTheme="minorHAnsi"/>
        </w:rPr>
      </w:pPr>
      <w:r>
        <w:rPr>
          <w:rFonts w:asciiTheme="minorHAnsi" w:hAnsiTheme="minorHAnsi"/>
        </w:rPr>
        <w:t>prawidłowość wykonania deskowań, rusztowań, usztywnień pomostów itp.,</w:t>
      </w:r>
    </w:p>
    <w:p w:rsidR="002412CC" w:rsidRDefault="002412CC" w:rsidP="002412CC">
      <w:pPr>
        <w:tabs>
          <w:tab w:val="left" w:pos="9914"/>
        </w:tabs>
        <w:rPr>
          <w:rFonts w:asciiTheme="minorHAnsi" w:hAnsiTheme="minorHAnsi"/>
        </w:rPr>
      </w:pPr>
      <w:r>
        <w:rPr>
          <w:rFonts w:asciiTheme="minorHAnsi" w:hAnsiTheme="minorHAnsi"/>
        </w:rPr>
        <w:t>prawidłowość wykonania zbrojenia,</w:t>
      </w:r>
    </w:p>
    <w:p w:rsidR="002412CC" w:rsidRDefault="002412CC" w:rsidP="002412CC">
      <w:pPr>
        <w:tabs>
          <w:tab w:val="left" w:pos="9914"/>
        </w:tabs>
        <w:rPr>
          <w:rFonts w:asciiTheme="minorHAnsi" w:hAnsiTheme="minorHAnsi"/>
        </w:rPr>
      </w:pPr>
      <w:r>
        <w:rPr>
          <w:rFonts w:asciiTheme="minorHAnsi" w:hAnsiTheme="minorHAnsi"/>
        </w:rPr>
        <w:t>zgodność rzędnych z dokumentacja projektową,</w:t>
      </w:r>
    </w:p>
    <w:p w:rsidR="002412CC" w:rsidRDefault="002412CC" w:rsidP="002412CC">
      <w:pPr>
        <w:tabs>
          <w:tab w:val="left" w:pos="9914"/>
        </w:tabs>
        <w:rPr>
          <w:rFonts w:asciiTheme="minorHAnsi" w:hAnsiTheme="minorHAnsi"/>
        </w:rPr>
      </w:pPr>
      <w:r>
        <w:rPr>
          <w:rFonts w:asciiTheme="minorHAnsi" w:hAnsiTheme="minorHAnsi"/>
        </w:rPr>
        <w:t>czystość deskowania oraz obecność wkładek dystansowych zapewniających wymaganą wielkość otuliny.</w:t>
      </w:r>
    </w:p>
    <w:p w:rsidR="002412CC" w:rsidRDefault="002412CC" w:rsidP="002412CC">
      <w:pPr>
        <w:tabs>
          <w:tab w:val="left" w:pos="9914"/>
        </w:tabs>
        <w:rPr>
          <w:rFonts w:asciiTheme="minorHAnsi" w:hAnsiTheme="minorHAnsi"/>
        </w:rPr>
      </w:pPr>
      <w:r>
        <w:rPr>
          <w:rFonts w:asciiTheme="minorHAnsi" w:hAnsiTheme="minorHAnsi"/>
        </w:rPr>
        <w:t>przygotowanie powierzchni betonu uprzednio ułożonego w miejscu przerwy roboczej,</w:t>
      </w:r>
    </w:p>
    <w:p w:rsidR="002412CC" w:rsidRDefault="002412CC" w:rsidP="002412CC">
      <w:pPr>
        <w:tabs>
          <w:tab w:val="left" w:pos="9914"/>
        </w:tabs>
        <w:rPr>
          <w:rFonts w:asciiTheme="minorHAnsi" w:hAnsiTheme="minorHAnsi"/>
        </w:rPr>
      </w:pPr>
      <w:r>
        <w:rPr>
          <w:rFonts w:asciiTheme="minorHAnsi" w:hAnsiTheme="minorHAnsi"/>
        </w:rPr>
        <w:t>prawidłowość wykonania wszystkich robót zanikających, między innymi wykonania przerw dylatacyjnych, warstw izolacyjnych, ułożenia łożysk itp.,</w:t>
      </w:r>
    </w:p>
    <w:p w:rsidR="002412CC" w:rsidRDefault="002412CC" w:rsidP="002412CC">
      <w:pPr>
        <w:tabs>
          <w:tab w:val="left" w:pos="9914"/>
        </w:tabs>
        <w:rPr>
          <w:rFonts w:asciiTheme="minorHAnsi" w:hAnsiTheme="minorHAnsi"/>
        </w:rPr>
      </w:pPr>
      <w:r>
        <w:rPr>
          <w:rFonts w:asciiTheme="minorHAnsi" w:hAnsiTheme="minorHAnsi"/>
        </w:rPr>
        <w:t>prawidłowość rozmieszczenia i niezmienność kształtu elementów wbudowywanych w betonową konstrukcję (kanały, wpusty, sączki, kotwy, rury itp.),</w:t>
      </w:r>
    </w:p>
    <w:p w:rsidR="002412CC" w:rsidRDefault="002412CC" w:rsidP="002412CC">
      <w:pPr>
        <w:tabs>
          <w:tab w:val="left" w:pos="9914"/>
        </w:tabs>
        <w:rPr>
          <w:rFonts w:asciiTheme="minorHAnsi" w:hAnsiTheme="minorHAnsi"/>
        </w:rPr>
      </w:pPr>
      <w:r>
        <w:rPr>
          <w:rFonts w:asciiTheme="minorHAnsi" w:hAnsiTheme="minorHAnsi"/>
        </w:rPr>
        <w:t>gotowość sprzętu i urządzeń do prowadzenia betonowania.</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bCs/>
        </w:rPr>
      </w:pPr>
      <w:r>
        <w:rPr>
          <w:rFonts w:asciiTheme="minorHAnsi" w:hAnsiTheme="minorHAnsi"/>
          <w:b/>
          <w:bCs/>
        </w:rPr>
        <w:t>5.3.1</w:t>
      </w:r>
      <w:r>
        <w:rPr>
          <w:rFonts w:asciiTheme="minorHAnsi" w:hAnsiTheme="minorHAnsi"/>
          <w:bCs/>
        </w:rPr>
        <w:t>. Deskowania</w:t>
      </w:r>
    </w:p>
    <w:p w:rsidR="002412CC" w:rsidRDefault="002412CC" w:rsidP="002412CC">
      <w:pPr>
        <w:tabs>
          <w:tab w:val="left" w:pos="9914"/>
        </w:tabs>
        <w:rPr>
          <w:rFonts w:asciiTheme="minorHAnsi" w:hAnsiTheme="minorHAnsi"/>
        </w:rPr>
      </w:pPr>
      <w:r>
        <w:rPr>
          <w:rFonts w:asciiTheme="minorHAnsi" w:hAnsiTheme="minorHAnsi"/>
        </w:rPr>
        <w:t>Wykonawca dostarczy projekt techniczny deskowań wykonany w oparciu o rysunki zawarte w dokumentacji projektowej lub wg własnego opracowania, zgodnie z PN-99/S-10040. W przypadkach stosowania nietypowych deskowań projekt ich powinien być każdorazowo oparty na obliczeniach statycznych. Ustalona konstrukcja deskowań powinna być sprawdzona na siły wywołane parciem świeżej masy betonowej i uderzenia przy jej wylewaniu z pojemników z uwzględnieniem szybkości betonowania, sposobu zagęszczenia i obciążania pomostami roboczymi.</w:t>
      </w:r>
    </w:p>
    <w:p w:rsidR="002412CC" w:rsidRDefault="002412CC" w:rsidP="002412CC">
      <w:pPr>
        <w:tabs>
          <w:tab w:val="left" w:pos="9914"/>
        </w:tabs>
        <w:rPr>
          <w:rFonts w:asciiTheme="minorHAnsi" w:hAnsiTheme="minorHAnsi"/>
        </w:rPr>
      </w:pPr>
      <w:r>
        <w:rPr>
          <w:rFonts w:asciiTheme="minorHAnsi" w:hAnsiTheme="minorHAnsi"/>
        </w:rPr>
        <w:t>Konstrukcja deskowania powinna spełniać następujące warunki:</w:t>
      </w:r>
    </w:p>
    <w:p w:rsidR="002412CC" w:rsidRDefault="002412CC" w:rsidP="002412CC">
      <w:pPr>
        <w:tabs>
          <w:tab w:val="left" w:pos="9914"/>
        </w:tabs>
        <w:rPr>
          <w:rFonts w:asciiTheme="minorHAnsi" w:hAnsiTheme="minorHAnsi"/>
        </w:rPr>
      </w:pPr>
      <w:r>
        <w:rPr>
          <w:rFonts w:asciiTheme="minorHAnsi" w:hAnsiTheme="minorHAnsi"/>
        </w:rPr>
        <w:t>zapewniać odpowiednią sztywność i niezmienność kształtu konstrukcji,</w:t>
      </w:r>
    </w:p>
    <w:p w:rsidR="002412CC" w:rsidRDefault="002412CC" w:rsidP="002412CC">
      <w:pPr>
        <w:tabs>
          <w:tab w:val="left" w:pos="9914"/>
        </w:tabs>
        <w:rPr>
          <w:rFonts w:asciiTheme="minorHAnsi" w:hAnsiTheme="minorHAnsi"/>
        </w:rPr>
      </w:pPr>
      <w:r>
        <w:rPr>
          <w:rFonts w:asciiTheme="minorHAnsi" w:hAnsiTheme="minorHAnsi"/>
        </w:rPr>
        <w:t xml:space="preserve">zapewniać wykończenie powierzchni betonu, zgodnie z  wymaganiami dokumentacji </w:t>
      </w:r>
    </w:p>
    <w:p w:rsidR="002412CC" w:rsidRDefault="002412CC" w:rsidP="002412CC">
      <w:pPr>
        <w:tabs>
          <w:tab w:val="left" w:pos="9914"/>
        </w:tabs>
        <w:rPr>
          <w:rFonts w:asciiTheme="minorHAnsi" w:hAnsiTheme="minorHAnsi"/>
        </w:rPr>
      </w:pPr>
      <w:r>
        <w:rPr>
          <w:rFonts w:asciiTheme="minorHAnsi" w:hAnsiTheme="minorHAnsi"/>
        </w:rPr>
        <w:t>projektowej,</w:t>
      </w:r>
    </w:p>
    <w:p w:rsidR="002412CC" w:rsidRDefault="002412CC" w:rsidP="002412CC">
      <w:pPr>
        <w:tabs>
          <w:tab w:val="left" w:pos="9914"/>
        </w:tabs>
        <w:rPr>
          <w:rFonts w:asciiTheme="minorHAnsi" w:hAnsiTheme="minorHAnsi"/>
        </w:rPr>
      </w:pPr>
      <w:r>
        <w:rPr>
          <w:rFonts w:asciiTheme="minorHAnsi" w:hAnsiTheme="minorHAnsi"/>
        </w:rPr>
        <w:t>zapewniać odpowiednią szczelność; połączenia na śruby między płytami są niedozwolone,</w:t>
      </w:r>
    </w:p>
    <w:p w:rsidR="002412CC" w:rsidRDefault="002412CC" w:rsidP="002412CC">
      <w:pPr>
        <w:tabs>
          <w:tab w:val="left" w:pos="9914"/>
        </w:tabs>
        <w:rPr>
          <w:rFonts w:asciiTheme="minorHAnsi" w:hAnsiTheme="minorHAnsi"/>
        </w:rPr>
      </w:pPr>
      <w:r>
        <w:rPr>
          <w:rFonts w:asciiTheme="minorHAnsi" w:hAnsiTheme="minorHAnsi"/>
        </w:rPr>
        <w:t>wykazywać odporność na deformację pod wpływem warunków atmosferycznych,</w:t>
      </w:r>
    </w:p>
    <w:p w:rsidR="002412CC" w:rsidRDefault="002412CC" w:rsidP="002412CC">
      <w:pPr>
        <w:tabs>
          <w:tab w:val="left" w:pos="9914"/>
        </w:tabs>
        <w:rPr>
          <w:rFonts w:asciiTheme="minorHAnsi" w:hAnsiTheme="minorHAnsi"/>
        </w:rPr>
      </w:pPr>
      <w:r>
        <w:rPr>
          <w:rFonts w:asciiTheme="minorHAnsi" w:hAnsiTheme="minorHAnsi"/>
        </w:rPr>
        <w:t>powierzchnie deskowań stykające się z betonem powinny być pokryte warstwą specjalnego oleju do form, zaakceptowanego przez Inżyniera.</w:t>
      </w:r>
    </w:p>
    <w:p w:rsidR="002412CC" w:rsidRDefault="002412CC" w:rsidP="002412CC">
      <w:pPr>
        <w:tabs>
          <w:tab w:val="left" w:pos="9914"/>
        </w:tabs>
        <w:rPr>
          <w:rFonts w:asciiTheme="minorHAnsi" w:hAnsiTheme="minorHAnsi"/>
        </w:rPr>
      </w:pPr>
      <w:r>
        <w:rPr>
          <w:rFonts w:asciiTheme="minorHAnsi" w:hAnsiTheme="minorHAnsi"/>
        </w:rPr>
        <w:t>Deskowania powinny być przed wypełnieniem mieszanką betonową dokładnie sprawdzone i odebrane, aby wykluczały możliwość jakichkolwiek zniekształceń lub odchyleń w wymiarach betonowej konstrukcji. Wykonawca powinien zawiadomić Inżyniera, o tym że deskowanie jest gotowe do wypełnienia betonem, na tyle wcześnie, aby Inżynier był w stanie dokonać inspekcji deskowania przed ułożeniem betonu.</w:t>
      </w:r>
    </w:p>
    <w:p w:rsidR="002412CC" w:rsidRDefault="002412CC" w:rsidP="002412CC">
      <w:pPr>
        <w:tabs>
          <w:tab w:val="left" w:pos="9914"/>
        </w:tabs>
        <w:rPr>
          <w:rFonts w:asciiTheme="minorHAnsi" w:hAnsiTheme="minorHAnsi"/>
        </w:rPr>
      </w:pPr>
      <w:r>
        <w:rPr>
          <w:rFonts w:asciiTheme="minorHAnsi" w:hAnsiTheme="minorHAnsi"/>
        </w:rPr>
        <w:lastRenderedPageBreak/>
        <w:t>Dopuszcza się następujące odchylenia deskowań od wymiarów nominalnych przewidzianych dokumentacją projektową:</w:t>
      </w:r>
    </w:p>
    <w:p w:rsidR="002412CC" w:rsidRDefault="002412CC" w:rsidP="002412CC">
      <w:pPr>
        <w:tabs>
          <w:tab w:val="left" w:pos="9914"/>
        </w:tabs>
        <w:rPr>
          <w:rFonts w:asciiTheme="minorHAnsi" w:hAnsiTheme="minorHAnsi"/>
        </w:rPr>
      </w:pPr>
      <w:r>
        <w:rPr>
          <w:rFonts w:asciiTheme="minorHAnsi" w:hAnsiTheme="minorHAnsi"/>
        </w:rPr>
        <w:t>rozstaw żeber deskowań ± 0,5% i nie więcej niż 2 cm,</w:t>
      </w:r>
    </w:p>
    <w:p w:rsidR="002412CC" w:rsidRDefault="002412CC" w:rsidP="002412CC">
      <w:pPr>
        <w:tabs>
          <w:tab w:val="left" w:pos="9914"/>
        </w:tabs>
        <w:rPr>
          <w:rFonts w:asciiTheme="minorHAnsi" w:hAnsiTheme="minorHAnsi"/>
        </w:rPr>
      </w:pPr>
      <w:r>
        <w:rPr>
          <w:rFonts w:asciiTheme="minorHAnsi" w:hAnsiTheme="minorHAnsi"/>
        </w:rPr>
        <w:t>grubość desek jednego elementu deskowania: ± 0,2 cm,</w:t>
      </w:r>
    </w:p>
    <w:p w:rsidR="002412CC" w:rsidRDefault="002412CC" w:rsidP="002412CC">
      <w:pPr>
        <w:tabs>
          <w:tab w:val="left" w:pos="9914"/>
        </w:tabs>
        <w:rPr>
          <w:rFonts w:asciiTheme="minorHAnsi" w:hAnsiTheme="minorHAnsi"/>
        </w:rPr>
      </w:pPr>
      <w:r>
        <w:rPr>
          <w:rFonts w:asciiTheme="minorHAnsi" w:hAnsiTheme="minorHAnsi"/>
        </w:rPr>
        <w:t xml:space="preserve">odchylenie deskowań od prostoliniowości lub od płaszczyzny o 1%, </w:t>
      </w:r>
    </w:p>
    <w:p w:rsidR="002412CC" w:rsidRDefault="002412CC" w:rsidP="002412CC">
      <w:pPr>
        <w:tabs>
          <w:tab w:val="left" w:pos="9914"/>
        </w:tabs>
        <w:rPr>
          <w:rFonts w:asciiTheme="minorHAnsi" w:hAnsiTheme="minorHAnsi"/>
        </w:rPr>
      </w:pPr>
      <w:r>
        <w:rPr>
          <w:rFonts w:asciiTheme="minorHAnsi" w:hAnsiTheme="minorHAnsi"/>
        </w:rPr>
        <w:t>odchylenie ścian od pionu o ± 0,2%, lecz nie więcej niż 0,5 cm,</w:t>
      </w:r>
    </w:p>
    <w:p w:rsidR="002412CC" w:rsidRDefault="002412CC" w:rsidP="002412CC">
      <w:pPr>
        <w:tabs>
          <w:tab w:val="left" w:pos="9914"/>
        </w:tabs>
        <w:rPr>
          <w:rFonts w:asciiTheme="minorHAnsi" w:hAnsiTheme="minorHAnsi"/>
        </w:rPr>
      </w:pPr>
      <w:r>
        <w:rPr>
          <w:rFonts w:asciiTheme="minorHAnsi" w:hAnsiTheme="minorHAnsi"/>
        </w:rPr>
        <w:t>wybrzuszenie powierzchni o  ± 0,2 cm na odcinku 3 m,</w:t>
      </w:r>
    </w:p>
    <w:p w:rsidR="002412CC" w:rsidRDefault="002412CC" w:rsidP="002412CC">
      <w:pPr>
        <w:tabs>
          <w:tab w:val="left" w:pos="9914"/>
        </w:tabs>
        <w:rPr>
          <w:rFonts w:asciiTheme="minorHAnsi" w:hAnsiTheme="minorHAnsi"/>
        </w:rPr>
      </w:pPr>
      <w:r>
        <w:rPr>
          <w:rFonts w:asciiTheme="minorHAnsi" w:hAnsiTheme="minorHAnsi"/>
        </w:rPr>
        <w:t>odchyłki wymiarów wewnętrznych deskowania (przekrojów betonowych):</w:t>
      </w:r>
    </w:p>
    <w:p w:rsidR="002412CC" w:rsidRDefault="002412CC" w:rsidP="002412CC">
      <w:pPr>
        <w:tabs>
          <w:tab w:val="left" w:pos="9914"/>
        </w:tabs>
        <w:rPr>
          <w:rFonts w:asciiTheme="minorHAnsi" w:hAnsiTheme="minorHAnsi"/>
        </w:rPr>
      </w:pPr>
      <w:r>
        <w:rPr>
          <w:rFonts w:asciiTheme="minorHAnsi" w:hAnsiTheme="minorHAnsi"/>
        </w:rPr>
        <w:sym w:font="Symbol" w:char="F02D"/>
      </w:r>
      <w:r>
        <w:rPr>
          <w:rFonts w:asciiTheme="minorHAnsi" w:hAnsiTheme="minorHAnsi"/>
        </w:rPr>
        <w:t>0,2% wysokości lecz nie więcej niż –0,5 cm,</w:t>
      </w:r>
    </w:p>
    <w:p w:rsidR="002412CC" w:rsidRDefault="002412CC" w:rsidP="002412CC">
      <w:pPr>
        <w:tabs>
          <w:tab w:val="left" w:pos="9914"/>
        </w:tabs>
        <w:rPr>
          <w:rFonts w:asciiTheme="minorHAnsi" w:hAnsiTheme="minorHAnsi"/>
        </w:rPr>
      </w:pPr>
      <w:r>
        <w:rPr>
          <w:rFonts w:asciiTheme="minorHAnsi" w:hAnsiTheme="minorHAnsi"/>
        </w:rPr>
        <w:t>+0,5% wysokości, lecz nie więcej niż +2 cm,</w:t>
      </w:r>
    </w:p>
    <w:p w:rsidR="002412CC" w:rsidRDefault="002412CC" w:rsidP="002412CC">
      <w:pPr>
        <w:tabs>
          <w:tab w:val="left" w:pos="9914"/>
        </w:tabs>
        <w:rPr>
          <w:rFonts w:asciiTheme="minorHAnsi" w:hAnsiTheme="minorHAnsi"/>
        </w:rPr>
      </w:pPr>
      <w:r>
        <w:rPr>
          <w:rFonts w:asciiTheme="minorHAnsi" w:hAnsiTheme="minorHAnsi"/>
        </w:rPr>
        <w:sym w:font="Symbol" w:char="F02D"/>
      </w:r>
      <w:r>
        <w:rPr>
          <w:rFonts w:asciiTheme="minorHAnsi" w:hAnsiTheme="minorHAnsi"/>
        </w:rPr>
        <w:t>0,2% grubości (szerokości), lecz nie więcej niż –0,2 cm,</w:t>
      </w:r>
    </w:p>
    <w:p w:rsidR="002412CC" w:rsidRDefault="002412CC" w:rsidP="002412CC">
      <w:pPr>
        <w:tabs>
          <w:tab w:val="left" w:pos="9914"/>
        </w:tabs>
        <w:rPr>
          <w:rFonts w:asciiTheme="minorHAnsi" w:hAnsiTheme="minorHAnsi"/>
        </w:rPr>
      </w:pPr>
      <w:r>
        <w:rPr>
          <w:rFonts w:asciiTheme="minorHAnsi" w:hAnsiTheme="minorHAnsi"/>
        </w:rPr>
        <w:t>+0,5% grubości (szerokości), lecz nie więcej niż +0,5 cm.</w:t>
      </w:r>
    </w:p>
    <w:p w:rsidR="002412CC" w:rsidRDefault="002412CC" w:rsidP="002412CC">
      <w:pPr>
        <w:tabs>
          <w:tab w:val="left" w:pos="9914"/>
        </w:tabs>
        <w:rPr>
          <w:rFonts w:asciiTheme="minorHAnsi" w:hAnsiTheme="minorHAnsi"/>
          <w:b/>
          <w:i/>
        </w:rPr>
      </w:pPr>
      <w:r>
        <w:rPr>
          <w:rFonts w:asciiTheme="minorHAnsi" w:hAnsiTheme="minorHAnsi"/>
          <w:b/>
          <w:i/>
        </w:rPr>
        <w:t>Dopuszczalne ugięcia deskowań:</w:t>
      </w:r>
    </w:p>
    <w:p w:rsidR="002412CC" w:rsidRDefault="002412CC" w:rsidP="002412CC">
      <w:pPr>
        <w:tabs>
          <w:tab w:val="left" w:pos="9914"/>
        </w:tabs>
        <w:rPr>
          <w:rFonts w:asciiTheme="minorHAnsi" w:hAnsiTheme="minorHAnsi"/>
          <w:iCs/>
        </w:rPr>
      </w:pPr>
      <w:r>
        <w:rPr>
          <w:rFonts w:asciiTheme="minorHAnsi" w:hAnsiTheme="minorHAnsi"/>
        </w:rPr>
        <w:t xml:space="preserve">1/200 </w:t>
      </w:r>
      <w:r>
        <w:rPr>
          <w:rFonts w:asciiTheme="minorHAnsi" w:hAnsiTheme="minorHAnsi"/>
          <w:i/>
        </w:rPr>
        <w:t>l</w:t>
      </w:r>
      <w:r>
        <w:rPr>
          <w:rFonts w:asciiTheme="minorHAnsi" w:hAnsiTheme="minorHAnsi"/>
          <w:iCs/>
        </w:rPr>
        <w:t>-w  deskach i belkach pomostów,</w:t>
      </w:r>
    </w:p>
    <w:p w:rsidR="002412CC" w:rsidRDefault="002412CC" w:rsidP="002412CC">
      <w:pPr>
        <w:tabs>
          <w:tab w:val="left" w:pos="9914"/>
        </w:tabs>
        <w:rPr>
          <w:rFonts w:asciiTheme="minorHAnsi" w:hAnsiTheme="minorHAnsi"/>
        </w:rPr>
      </w:pPr>
      <w:r>
        <w:rPr>
          <w:rFonts w:asciiTheme="minorHAnsi" w:hAnsiTheme="minorHAnsi"/>
        </w:rPr>
        <w:t xml:space="preserve">1/400 </w:t>
      </w:r>
      <w:r>
        <w:rPr>
          <w:rFonts w:asciiTheme="minorHAnsi" w:hAnsiTheme="minorHAnsi"/>
          <w:i/>
        </w:rPr>
        <w:t>l</w:t>
      </w:r>
      <w:r>
        <w:rPr>
          <w:rFonts w:asciiTheme="minorHAnsi" w:hAnsiTheme="minorHAnsi"/>
        </w:rPr>
        <w:t>w deskach deskowań widocznych powierzchni mostów betonowych i   żelbetowych,</w:t>
      </w:r>
    </w:p>
    <w:p w:rsidR="002412CC" w:rsidRDefault="002412CC" w:rsidP="002412CC">
      <w:pPr>
        <w:tabs>
          <w:tab w:val="left" w:pos="9914"/>
        </w:tabs>
        <w:rPr>
          <w:rFonts w:asciiTheme="minorHAnsi" w:hAnsiTheme="minorHAnsi"/>
        </w:rPr>
      </w:pPr>
      <w:r>
        <w:rPr>
          <w:rFonts w:asciiTheme="minorHAnsi" w:hAnsiTheme="minorHAnsi"/>
        </w:rPr>
        <w:t xml:space="preserve">1/250 </w:t>
      </w:r>
      <w:r>
        <w:rPr>
          <w:rFonts w:asciiTheme="minorHAnsi" w:hAnsiTheme="minorHAnsi"/>
          <w:i/>
        </w:rPr>
        <w:t>l</w:t>
      </w:r>
      <w:r>
        <w:rPr>
          <w:rFonts w:asciiTheme="minorHAnsi" w:hAnsiTheme="minorHAnsi"/>
        </w:rPr>
        <w:t>w deskach deskowań niewidocznych powierzchni mostów betonowych i żelbetowych.</w:t>
      </w:r>
    </w:p>
    <w:p w:rsidR="002412CC" w:rsidRDefault="002412CC" w:rsidP="002412CC">
      <w:pPr>
        <w:tabs>
          <w:tab w:val="left" w:pos="9914"/>
        </w:tabs>
        <w:rPr>
          <w:rFonts w:asciiTheme="minorHAnsi" w:hAnsiTheme="minorHAnsi"/>
        </w:rPr>
      </w:pPr>
      <w:r>
        <w:rPr>
          <w:rFonts w:asciiTheme="minorHAnsi" w:hAnsiTheme="minorHAnsi"/>
        </w:rPr>
        <w:t>Wszystkie deskowania powinny być tego samego typu, dostarczone przez jednego producenta.</w:t>
      </w:r>
    </w:p>
    <w:p w:rsidR="002412CC" w:rsidRDefault="002412CC" w:rsidP="002412CC">
      <w:pPr>
        <w:tabs>
          <w:tab w:val="left" w:pos="9914"/>
        </w:tabs>
        <w:rPr>
          <w:rFonts w:asciiTheme="minorHAnsi" w:hAnsiTheme="minorHAnsi"/>
          <w:bCs/>
        </w:rPr>
      </w:pPr>
    </w:p>
    <w:p w:rsidR="002412CC" w:rsidRDefault="002412CC" w:rsidP="002412CC">
      <w:pPr>
        <w:tabs>
          <w:tab w:val="left" w:pos="9914"/>
        </w:tabs>
        <w:rPr>
          <w:rFonts w:asciiTheme="minorHAnsi" w:hAnsiTheme="minorHAnsi"/>
          <w:bCs/>
        </w:rPr>
      </w:pPr>
      <w:r>
        <w:rPr>
          <w:rFonts w:asciiTheme="minorHAnsi" w:hAnsiTheme="minorHAnsi"/>
          <w:bCs/>
        </w:rPr>
        <w:t xml:space="preserve">5.3.2. Rusztowania </w:t>
      </w:r>
    </w:p>
    <w:p w:rsidR="002412CC" w:rsidRDefault="002412CC" w:rsidP="002412CC">
      <w:pPr>
        <w:tabs>
          <w:tab w:val="left" w:pos="9914"/>
        </w:tabs>
        <w:rPr>
          <w:rFonts w:asciiTheme="minorHAnsi" w:hAnsiTheme="minorHAnsi"/>
        </w:rPr>
      </w:pPr>
      <w:r>
        <w:rPr>
          <w:rFonts w:asciiTheme="minorHAnsi" w:hAnsiTheme="minorHAnsi"/>
        </w:rPr>
        <w:t xml:space="preserve">Rusztowania i ich posadowienie dla ustroju niosącego należy wykonać według projektu technologicznego, opartego na obliczeniach statyczno-wytrzymałościowych. Rusztowania powinny spełniać wymagania podane w PN-99/S-10040. Rusztowania muszą uwzględniać podniesienie wykonawcze ustroju niosącego (podane w dokumentacji projektowej) oraz wpływ osiadania samych podpór tymczasowych przyjętych przez Wykonawcę. Sposób posadowienia rusztowania mostów należy uzgodnić z administratorem cieku lub rzeki oraz uzyskać wszelkie pozwolenia. </w:t>
      </w:r>
    </w:p>
    <w:p w:rsidR="002412CC" w:rsidRDefault="002412CC" w:rsidP="002412CC">
      <w:pPr>
        <w:tabs>
          <w:tab w:val="left" w:pos="9914"/>
        </w:tabs>
        <w:rPr>
          <w:rFonts w:asciiTheme="minorHAnsi" w:hAnsiTheme="minorHAnsi"/>
        </w:rPr>
      </w:pPr>
      <w:r>
        <w:rPr>
          <w:rFonts w:asciiTheme="minorHAnsi" w:hAnsiTheme="minorHAnsi"/>
        </w:rPr>
        <w:t>W konstrukcji rusztowań można dopuścić następujące odchylenia od wymiarów lub położenia:</w:t>
      </w:r>
    </w:p>
    <w:p w:rsidR="002412CC" w:rsidRDefault="002412CC" w:rsidP="002412CC">
      <w:pPr>
        <w:tabs>
          <w:tab w:val="left" w:pos="9914"/>
        </w:tabs>
        <w:rPr>
          <w:rFonts w:asciiTheme="minorHAnsi" w:hAnsiTheme="minorHAnsi"/>
        </w:rPr>
      </w:pPr>
      <w:r>
        <w:rPr>
          <w:rFonts w:asciiTheme="minorHAnsi" w:hAnsiTheme="minorHAnsi"/>
        </w:rPr>
        <w:t>zmniejszenie przekroju elementu nie więcej niż o 15%,</w:t>
      </w:r>
    </w:p>
    <w:p w:rsidR="002412CC" w:rsidRDefault="002412CC" w:rsidP="002412CC">
      <w:pPr>
        <w:tabs>
          <w:tab w:val="left" w:pos="9914"/>
        </w:tabs>
        <w:rPr>
          <w:rFonts w:asciiTheme="minorHAnsi" w:hAnsiTheme="minorHAnsi"/>
        </w:rPr>
      </w:pPr>
      <w:r>
        <w:rPr>
          <w:rFonts w:asciiTheme="minorHAnsi" w:hAnsiTheme="minorHAnsi"/>
        </w:rPr>
        <w:t>odchylenie rozstawu pali lub ram do 5%, lecz nie więcej niż o 20 cm,</w:t>
      </w:r>
    </w:p>
    <w:p w:rsidR="002412CC" w:rsidRDefault="002412CC" w:rsidP="002412CC">
      <w:pPr>
        <w:tabs>
          <w:tab w:val="left" w:pos="9914"/>
        </w:tabs>
        <w:rPr>
          <w:rFonts w:asciiTheme="minorHAnsi" w:hAnsiTheme="minorHAnsi"/>
        </w:rPr>
      </w:pPr>
      <w:r>
        <w:rPr>
          <w:rFonts w:asciiTheme="minorHAnsi" w:hAnsiTheme="minorHAnsi"/>
        </w:rPr>
        <w:t xml:space="preserve">odchylenie od pionu pali lub ram do 0,01 radiana w mierze łukowej, lecz nie więcej  niż wychylenie o </w:t>
      </w:r>
      <w:r>
        <w:rPr>
          <w:rFonts w:asciiTheme="minorHAnsi" w:hAnsiTheme="minorHAnsi"/>
        </w:rPr>
        <w:sym w:font="Symbol" w:char="F0B1"/>
      </w:r>
      <w:r>
        <w:rPr>
          <w:rFonts w:asciiTheme="minorHAnsi" w:hAnsiTheme="minorHAnsi"/>
        </w:rPr>
        <w:t>10 cm w poziomie w mierze liniowej,</w:t>
      </w:r>
    </w:p>
    <w:p w:rsidR="002412CC" w:rsidRDefault="002412CC" w:rsidP="002412CC">
      <w:pPr>
        <w:tabs>
          <w:tab w:val="left" w:pos="9914"/>
        </w:tabs>
        <w:rPr>
          <w:rFonts w:asciiTheme="minorHAnsi" w:hAnsiTheme="minorHAnsi"/>
        </w:rPr>
      </w:pPr>
      <w:r>
        <w:rPr>
          <w:rFonts w:asciiTheme="minorHAnsi" w:hAnsiTheme="minorHAnsi"/>
        </w:rPr>
        <w:t xml:space="preserve">różnice w rozstawie belek poprzecznych (oczepów) lub podłużnic (rygli lub dźwigarków)  o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r>
        <w:rPr>
          <w:rFonts w:asciiTheme="minorHAnsi" w:hAnsiTheme="minorHAnsi"/>
        </w:rPr>
        <w:t>różnice w położeniu górnej krawędzi oczepu +2 cm i –1 cm,</w:t>
      </w:r>
    </w:p>
    <w:p w:rsidR="002412CC" w:rsidRDefault="002412CC" w:rsidP="002412CC">
      <w:pPr>
        <w:tabs>
          <w:tab w:val="left" w:pos="9914"/>
        </w:tabs>
        <w:rPr>
          <w:rFonts w:asciiTheme="minorHAnsi" w:hAnsiTheme="minorHAnsi"/>
        </w:rPr>
      </w:pPr>
      <w:r>
        <w:rPr>
          <w:rFonts w:asciiTheme="minorHAnsi" w:hAnsiTheme="minorHAnsi"/>
        </w:rPr>
        <w:t>strzałki różne od obliczeniowych do 10%.</w:t>
      </w:r>
    </w:p>
    <w:p w:rsidR="002412CC" w:rsidRDefault="002412CC" w:rsidP="002412CC">
      <w:pPr>
        <w:pStyle w:val="Nagwek4"/>
        <w:tabs>
          <w:tab w:val="left" w:pos="9914"/>
        </w:tabs>
        <w:rPr>
          <w:rFonts w:asciiTheme="minorHAnsi" w:hAnsiTheme="minorHAnsi"/>
        </w:rPr>
      </w:pPr>
      <w:r>
        <w:t>5.4. Wytworzenie mieszanki betonowej</w:t>
      </w:r>
    </w:p>
    <w:p w:rsidR="002412CC" w:rsidRDefault="002412CC" w:rsidP="002412CC">
      <w:pPr>
        <w:tabs>
          <w:tab w:val="left" w:pos="9914"/>
        </w:tabs>
        <w:rPr>
          <w:rFonts w:asciiTheme="minorHAnsi" w:hAnsiTheme="minorHAnsi"/>
        </w:rPr>
      </w:pPr>
      <w:r>
        <w:rPr>
          <w:rFonts w:asciiTheme="minorHAnsi" w:hAnsiTheme="minorHAnsi"/>
        </w:rPr>
        <w:t xml:space="preserve">Wytwarzanie mieszanki betonowej powinno się odbywać wyłącznie w wyspecjalizowanym zakładzie produkcji betonu, który może zapewnić spełnienie żądanych w STWiORB wymagań. Wykonywanie masy betonowej powinno odbywać się na podstawie recepty roboczej zaakceptowanej przez Inżyniera. </w:t>
      </w:r>
    </w:p>
    <w:p w:rsidR="002412CC" w:rsidRDefault="002412CC" w:rsidP="002412CC">
      <w:pPr>
        <w:tabs>
          <w:tab w:val="left" w:pos="9914"/>
        </w:tabs>
        <w:rPr>
          <w:rFonts w:asciiTheme="minorHAnsi" w:hAnsiTheme="minorHAnsi"/>
        </w:rPr>
      </w:pPr>
      <w:r>
        <w:rPr>
          <w:rFonts w:asciiTheme="minorHAnsi" w:hAnsiTheme="minorHAnsi"/>
        </w:rPr>
        <w:t>Dane dotyczące mieszanki roboczej powinny być umieszczone w sposób trwały na tablicy, w odniesieniu do 1 m</w:t>
      </w:r>
      <w:r>
        <w:rPr>
          <w:rFonts w:asciiTheme="minorHAnsi" w:hAnsiTheme="minorHAnsi"/>
          <w:vertAlign w:val="superscript"/>
        </w:rPr>
        <w:t>3</w:t>
      </w:r>
      <w:r>
        <w:rPr>
          <w:rFonts w:asciiTheme="minorHAnsi" w:hAnsiTheme="minorHAnsi"/>
        </w:rPr>
        <w:t xml:space="preserve"> betonu i do jednego zarobu. Tablice powinny być ustawiane w pobliżu miejsca mieszania mieszanki betonowej.</w:t>
      </w:r>
    </w:p>
    <w:p w:rsidR="002412CC" w:rsidRDefault="002412CC" w:rsidP="002412CC">
      <w:pPr>
        <w:tabs>
          <w:tab w:val="left" w:pos="9914"/>
        </w:tabs>
        <w:rPr>
          <w:rFonts w:asciiTheme="minorHAnsi" w:hAnsiTheme="minorHAnsi"/>
        </w:rPr>
      </w:pPr>
      <w:r>
        <w:rPr>
          <w:rFonts w:asciiTheme="minorHAnsi" w:hAnsiTheme="minorHAnsi"/>
        </w:rPr>
        <w:t xml:space="preserve">Przygotowując mieszankę betonową wszystkie składniki powinno się dozować wyłącznie wagowo z dokładnością </w:t>
      </w:r>
      <w:r>
        <w:rPr>
          <w:rFonts w:asciiTheme="minorHAnsi" w:hAnsiTheme="minorHAnsi"/>
        </w:rPr>
        <w:sym w:font="Symbol" w:char="F0B1"/>
      </w:r>
      <w:r>
        <w:rPr>
          <w:rFonts w:asciiTheme="minorHAnsi" w:hAnsiTheme="minorHAnsi"/>
        </w:rPr>
        <w:t xml:space="preserve"> 3% w przypadku kruszywa oraz  </w:t>
      </w:r>
      <w:r>
        <w:rPr>
          <w:rFonts w:asciiTheme="minorHAnsi" w:hAnsiTheme="minorHAnsi"/>
        </w:rPr>
        <w:sym w:font="Symbol" w:char="F0B1"/>
      </w:r>
      <w:r>
        <w:rPr>
          <w:rFonts w:asciiTheme="minorHAnsi" w:hAnsiTheme="minorHAnsi"/>
        </w:rPr>
        <w:t xml:space="preserve"> 2% w przypadku pozostałych składników. Wagi powinny być kontrolowane co najmniej raz w roku. Urządzenia dozujące wodę i płynne domieszki powinny być sprawdzane co najmniej raz w miesiącu. Przy dozowaniu składników powinno się uwzględniać korektę związaną ze zmiennym zawilgoceniem kruszywa.</w:t>
      </w:r>
    </w:p>
    <w:p w:rsidR="002412CC" w:rsidRDefault="002412CC" w:rsidP="002412CC">
      <w:pPr>
        <w:tabs>
          <w:tab w:val="left" w:pos="9914"/>
        </w:tabs>
        <w:rPr>
          <w:rFonts w:asciiTheme="minorHAnsi" w:hAnsiTheme="minorHAnsi"/>
        </w:rPr>
      </w:pPr>
      <w:r>
        <w:rPr>
          <w:rFonts w:asciiTheme="minorHAnsi" w:hAnsiTheme="minorHAnsi"/>
        </w:rPr>
        <w:t>Składniki powinno się mieszać wyłącznie w betoniarkach przeciwbieżnych. Czas mieszania powinien być ustalony doświadczalnie w zależności od składu mieszanki betonowej oraz od rodzaju urządzenia mieszającego, jednak nie powinien być krótszy niż 2 minuty.</w:t>
      </w:r>
    </w:p>
    <w:p w:rsidR="002412CC" w:rsidRDefault="002412CC" w:rsidP="002412CC">
      <w:pPr>
        <w:pStyle w:val="Nagwek4"/>
        <w:tabs>
          <w:tab w:val="left" w:pos="9914"/>
        </w:tabs>
        <w:rPr>
          <w:rFonts w:asciiTheme="minorHAnsi" w:hAnsiTheme="minorHAnsi"/>
        </w:rPr>
      </w:pPr>
      <w:r>
        <w:t>5.5. Podawanie, układanie i zagęszczanie mieszanki betonowej</w:t>
      </w:r>
    </w:p>
    <w:p w:rsidR="002412CC" w:rsidRDefault="002412CC" w:rsidP="002412CC">
      <w:pPr>
        <w:tabs>
          <w:tab w:val="left" w:pos="9914"/>
        </w:tabs>
        <w:rPr>
          <w:rFonts w:asciiTheme="minorHAnsi" w:hAnsiTheme="minorHAnsi"/>
        </w:rPr>
      </w:pPr>
      <w:r>
        <w:rPr>
          <w:rFonts w:asciiTheme="minorHAnsi" w:hAnsiTheme="minorHAnsi"/>
          <w:b/>
        </w:rPr>
        <w:t>5.5.1</w:t>
      </w:r>
      <w:r>
        <w:rPr>
          <w:rFonts w:asciiTheme="minorHAnsi" w:hAnsiTheme="minorHAnsi"/>
        </w:rPr>
        <w:t xml:space="preserve">. Roboty przed przystąpieniem do układania mieszanki betonowej </w:t>
      </w:r>
    </w:p>
    <w:p w:rsidR="002412CC" w:rsidRDefault="002412CC" w:rsidP="002412CC">
      <w:pPr>
        <w:tabs>
          <w:tab w:val="left" w:pos="9914"/>
        </w:tabs>
        <w:rPr>
          <w:rFonts w:asciiTheme="minorHAnsi" w:hAnsiTheme="minorHAnsi"/>
        </w:rPr>
      </w:pPr>
      <w:r>
        <w:rPr>
          <w:rFonts w:asciiTheme="minorHAnsi" w:hAnsiTheme="minorHAnsi"/>
        </w:rPr>
        <w:t>Przed przystąpieniem do układania betonu należy sprawdzić prawidłowość wykonania wszystkich robót poprzedzających betonowanie, zgodnie z pkt.5.3.</w:t>
      </w:r>
    </w:p>
    <w:p w:rsidR="002412CC" w:rsidRDefault="002412CC" w:rsidP="002412CC">
      <w:pPr>
        <w:tabs>
          <w:tab w:val="left" w:pos="9914"/>
        </w:tabs>
        <w:rPr>
          <w:rFonts w:asciiTheme="minorHAnsi" w:hAnsiTheme="minorHAnsi"/>
        </w:rPr>
      </w:pPr>
      <w:r>
        <w:rPr>
          <w:rFonts w:asciiTheme="minorHAnsi" w:hAnsiTheme="minorHAnsi"/>
        </w:rPr>
        <w:t xml:space="preserve">Deskowanie należy pokryć środkiem antyadhezyjnym dopuszczonym do stosowania w budownictwie. </w:t>
      </w:r>
    </w:p>
    <w:p w:rsidR="002412CC" w:rsidRDefault="002412CC" w:rsidP="002412CC">
      <w:pPr>
        <w:tabs>
          <w:tab w:val="left" w:pos="9914"/>
        </w:tabs>
        <w:rPr>
          <w:rFonts w:asciiTheme="minorHAnsi" w:hAnsiTheme="minorHAnsi"/>
        </w:rPr>
      </w:pPr>
      <w:r>
        <w:rPr>
          <w:rFonts w:asciiTheme="minorHAnsi" w:hAnsiTheme="minorHAnsi"/>
        </w:rPr>
        <w:lastRenderedPageBreak/>
        <w:t>Należy pamiętać o wykonaniu wszelkiego rodzaju otworów, nisz, zagłębień, zamocowań zgodnie z dokumentacją projektową. Wszystkie konsekwencje wynikające z braku lub nieprawidłowości tych elementów obciążają całkowicie Wykonawcę zarówno jeśli chodzi o późniejsze rozkucia i naprawy, jak i ewentualne opóźnienia w wykonaniu prac własnych i towarzyszących (wykonywanych przez innych podwykonawców).</w:t>
      </w:r>
    </w:p>
    <w:p w:rsidR="002412CC" w:rsidRDefault="002412CC" w:rsidP="002412CC">
      <w:pPr>
        <w:tabs>
          <w:tab w:val="left" w:pos="9914"/>
        </w:tabs>
        <w:rPr>
          <w:rFonts w:asciiTheme="minorHAnsi" w:hAnsiTheme="minorHAnsi"/>
          <w:b/>
        </w:rPr>
      </w:pPr>
    </w:p>
    <w:p w:rsidR="002412CC" w:rsidRDefault="002412CC" w:rsidP="002412CC">
      <w:pPr>
        <w:tabs>
          <w:tab w:val="left" w:pos="9914"/>
        </w:tabs>
        <w:rPr>
          <w:rFonts w:asciiTheme="minorHAnsi" w:hAnsiTheme="minorHAnsi"/>
        </w:rPr>
      </w:pPr>
      <w:r>
        <w:rPr>
          <w:rFonts w:asciiTheme="minorHAnsi" w:hAnsiTheme="minorHAnsi"/>
          <w:b/>
        </w:rPr>
        <w:t>5.5.2</w:t>
      </w:r>
      <w:r>
        <w:rPr>
          <w:rFonts w:asciiTheme="minorHAnsi" w:hAnsiTheme="minorHAnsi"/>
        </w:rPr>
        <w:t>. Układanie mieszanki betonowej</w:t>
      </w:r>
    </w:p>
    <w:p w:rsidR="002412CC" w:rsidRDefault="002412CC" w:rsidP="002412CC">
      <w:pPr>
        <w:tabs>
          <w:tab w:val="left" w:pos="9914"/>
        </w:tabs>
        <w:rPr>
          <w:rFonts w:asciiTheme="minorHAnsi" w:hAnsiTheme="minorHAnsi"/>
        </w:rPr>
      </w:pPr>
      <w:r>
        <w:rPr>
          <w:rFonts w:asciiTheme="minorHAnsi" w:hAnsiTheme="minorHAnsi"/>
        </w:rPr>
        <w:t>Przy stosowaniu pomp do układania mieszanki betonowej wymaga się sprawdzenia ustalonej konsystencji mieszanki betonowej przy wylocie.</w:t>
      </w:r>
    </w:p>
    <w:p w:rsidR="002412CC" w:rsidRDefault="002412CC" w:rsidP="002412CC">
      <w:pPr>
        <w:tabs>
          <w:tab w:val="left" w:pos="9914"/>
        </w:tabs>
        <w:rPr>
          <w:rFonts w:asciiTheme="minorHAnsi" w:hAnsiTheme="minorHAnsi"/>
        </w:rPr>
      </w:pPr>
      <w:r>
        <w:rPr>
          <w:rFonts w:asciiTheme="minorHAnsi" w:hAnsiTheme="minorHAnsi"/>
        </w:rPr>
        <w:t>Mieszanki betonowej nie należy zrzucać z wysokości większej niż 0,75 m od powierzchni, na którą spada. W przypadku gdy wysokość ta jest większa, należy mieszankę podawać za pomocą rynny zsypowej (do wysokości 3,0 m) lub leja zsypowego teleskopowego (do wysokości 8,0 m).</w:t>
      </w:r>
    </w:p>
    <w:p w:rsidR="002412CC" w:rsidRDefault="002412CC" w:rsidP="002412CC">
      <w:pPr>
        <w:tabs>
          <w:tab w:val="left" w:pos="9914"/>
        </w:tabs>
        <w:rPr>
          <w:rFonts w:asciiTheme="minorHAnsi" w:hAnsiTheme="minorHAnsi"/>
        </w:rPr>
      </w:pPr>
      <w:r>
        <w:rPr>
          <w:rFonts w:asciiTheme="minorHAnsi" w:hAnsiTheme="minorHAnsi"/>
        </w:rPr>
        <w:t>Przy wykonywaniu elementów konstrukcji monolitycznych należy przestrzegać dokumentacji technologicznej, która powinna uwzględniać następujące zalecenia:</w:t>
      </w:r>
    </w:p>
    <w:p w:rsidR="002412CC" w:rsidRDefault="002412CC" w:rsidP="002412CC">
      <w:pPr>
        <w:tabs>
          <w:tab w:val="left" w:pos="9914"/>
        </w:tabs>
        <w:rPr>
          <w:rFonts w:asciiTheme="minorHAnsi" w:hAnsiTheme="minorHAnsi"/>
        </w:rPr>
      </w:pPr>
      <w:r>
        <w:rPr>
          <w:rFonts w:asciiTheme="minorHAnsi" w:hAnsiTheme="minorHAnsi"/>
        </w:rPr>
        <w:t>w fundamentach i korpusach podpór mieszankę betonową należy układać bezpośrednio z pojemnika lub rurociągu pompy, bądź też za pośrednictwem rynny, warstwami o grubości do 40 cm, zagęszczając wibratorami wgłębnymi;</w:t>
      </w:r>
    </w:p>
    <w:p w:rsidR="002412CC" w:rsidRDefault="002412CC" w:rsidP="002412CC">
      <w:pPr>
        <w:tabs>
          <w:tab w:val="left" w:pos="9914"/>
        </w:tabs>
        <w:rPr>
          <w:rFonts w:asciiTheme="minorHAnsi" w:hAnsiTheme="minorHAnsi"/>
        </w:rPr>
      </w:pPr>
      <w:r>
        <w:rPr>
          <w:rFonts w:asciiTheme="minorHAnsi" w:hAnsiTheme="minorHAnsi"/>
        </w:rPr>
        <w:t>przy wykonywaniu płyt mieszankę betonową należy układać bezpośrednio z pojemnika lub rurociągu pompy;</w:t>
      </w:r>
    </w:p>
    <w:p w:rsidR="002412CC" w:rsidRDefault="002412CC" w:rsidP="002412CC">
      <w:pPr>
        <w:tabs>
          <w:tab w:val="left" w:pos="9914"/>
        </w:tabs>
        <w:rPr>
          <w:rFonts w:asciiTheme="minorHAnsi" w:hAnsiTheme="minorHAnsi"/>
        </w:rPr>
      </w:pPr>
      <w:r>
        <w:rPr>
          <w:rFonts w:asciiTheme="minorHAnsi" w:hAnsiTheme="minorHAnsi"/>
        </w:rPr>
        <w:t>przy betonowaniu chodników, gzymsów, wsporników, zamków i stref przydylatacyjnych stosować wibratory wgłębne.</w:t>
      </w:r>
    </w:p>
    <w:p w:rsidR="002412CC" w:rsidRDefault="002412CC" w:rsidP="002412CC">
      <w:pPr>
        <w:tabs>
          <w:tab w:val="left" w:pos="9914"/>
        </w:tabs>
        <w:rPr>
          <w:rFonts w:asciiTheme="minorHAnsi" w:hAnsiTheme="minorHAnsi"/>
        </w:rPr>
      </w:pPr>
      <w:r>
        <w:rPr>
          <w:rFonts w:asciiTheme="minorHAnsi" w:hAnsiTheme="minorHAnsi"/>
          <w:b/>
        </w:rPr>
        <w:t>5.5.3.</w:t>
      </w:r>
      <w:r>
        <w:rPr>
          <w:rFonts w:asciiTheme="minorHAnsi" w:hAnsiTheme="minorHAnsi"/>
        </w:rPr>
        <w:t xml:space="preserve"> Zagęszczanie mieszanki betonowej</w:t>
      </w:r>
    </w:p>
    <w:p w:rsidR="002412CC" w:rsidRDefault="002412CC" w:rsidP="002412CC">
      <w:pPr>
        <w:tabs>
          <w:tab w:val="left" w:pos="9914"/>
        </w:tabs>
        <w:rPr>
          <w:rFonts w:asciiTheme="minorHAnsi" w:hAnsiTheme="minorHAnsi"/>
        </w:rPr>
      </w:pPr>
      <w:r>
        <w:rPr>
          <w:rFonts w:asciiTheme="minorHAnsi" w:hAnsiTheme="minorHAnsi"/>
        </w:rPr>
        <w:t>Przy zagęszczaniu mieszanki betonowej należy stosować następujące warunki:</w:t>
      </w:r>
    </w:p>
    <w:p w:rsidR="002412CC" w:rsidRDefault="002412CC" w:rsidP="002412CC">
      <w:pPr>
        <w:tabs>
          <w:tab w:val="left" w:pos="9914"/>
        </w:tabs>
        <w:rPr>
          <w:rFonts w:asciiTheme="minorHAnsi" w:hAnsiTheme="minorHAnsi"/>
        </w:rPr>
      </w:pPr>
      <w:r>
        <w:rPr>
          <w:rFonts w:asciiTheme="minorHAnsi" w:hAnsiTheme="minorHAnsi"/>
        </w:rPr>
        <w:t>wibratory wgłębne należy stosować o częstotliwości min. 6000 drgań na minutę, z buławami o średnicy nie większej niż 0,65 odległości między prętami zbrojenia leżącymi w płaszczyźnie poziomej,</w:t>
      </w:r>
    </w:p>
    <w:p w:rsidR="002412CC" w:rsidRDefault="002412CC" w:rsidP="002412CC">
      <w:pPr>
        <w:tabs>
          <w:tab w:val="left" w:pos="9914"/>
        </w:tabs>
        <w:rPr>
          <w:rFonts w:asciiTheme="minorHAnsi" w:hAnsiTheme="minorHAnsi"/>
        </w:rPr>
      </w:pPr>
      <w:r>
        <w:rPr>
          <w:rFonts w:asciiTheme="minorHAnsi" w:hAnsiTheme="minorHAnsi"/>
        </w:rPr>
        <w:t>podczas zagęszczania wibratorami wgłębnymi nie wolno dotykać zbrojenia ani deskowania buławą wibratora,</w:t>
      </w:r>
    </w:p>
    <w:p w:rsidR="002412CC" w:rsidRDefault="002412CC" w:rsidP="002412CC">
      <w:pPr>
        <w:tabs>
          <w:tab w:val="left" w:pos="9914"/>
        </w:tabs>
        <w:rPr>
          <w:rFonts w:asciiTheme="minorHAnsi" w:hAnsiTheme="minorHAnsi"/>
        </w:rPr>
      </w:pPr>
      <w:r>
        <w:rPr>
          <w:rFonts w:asciiTheme="minorHAnsi" w:hAnsiTheme="minorHAnsi"/>
        </w:rPr>
        <w:t>podczas zagęszczania wibratorami wgłębnymi należy zagłębiać buławę na głębokość 5÷8 cm w warstwę poprzednią i przytrzymywać buławę w jednym miejscu w czasie 20÷30 s, po czym wyjmować powoli w stanie wibrującym,</w:t>
      </w:r>
    </w:p>
    <w:p w:rsidR="002412CC" w:rsidRDefault="002412CC" w:rsidP="002412CC">
      <w:pPr>
        <w:tabs>
          <w:tab w:val="left" w:pos="9914"/>
        </w:tabs>
        <w:rPr>
          <w:rFonts w:asciiTheme="minorHAnsi" w:hAnsiTheme="minorHAnsi"/>
        </w:rPr>
      </w:pPr>
      <w:r>
        <w:rPr>
          <w:rFonts w:asciiTheme="minorHAnsi" w:hAnsiTheme="minorHAnsi"/>
        </w:rPr>
        <w:t>kolejne miejsca zagłębienia buławy powinny być od siebie oddalone o 1,4 R, gdzie R jest promieniem skutecznego działania wibratora. Odległość ta zwykle wynosi  0,35</w:t>
      </w:r>
      <w:r>
        <w:rPr>
          <w:rFonts w:asciiTheme="minorHAnsi" w:hAnsiTheme="minorHAnsi"/>
        </w:rPr>
        <w:sym w:font="Symbol" w:char="F0B8"/>
      </w:r>
      <w:r>
        <w:rPr>
          <w:rFonts w:asciiTheme="minorHAnsi" w:hAnsiTheme="minorHAnsi"/>
        </w:rPr>
        <w:t>0,7 m,</w:t>
      </w:r>
    </w:p>
    <w:p w:rsidR="002412CC" w:rsidRDefault="002412CC" w:rsidP="002412CC">
      <w:pPr>
        <w:tabs>
          <w:tab w:val="left" w:pos="9914"/>
        </w:tabs>
        <w:rPr>
          <w:rFonts w:asciiTheme="minorHAnsi" w:hAnsiTheme="minorHAnsi"/>
        </w:rPr>
      </w:pPr>
      <w:r>
        <w:rPr>
          <w:rFonts w:asciiTheme="minorHAnsi" w:hAnsiTheme="minorHAnsi"/>
        </w:rPr>
        <w:t>grubość płyt zagęszczanych wibratorami nie powinna być mniejsza niż 12 cm; płyty o mniejszej grubości należy zagęszczać za pomocą łat wibracyjnych,</w:t>
      </w:r>
    </w:p>
    <w:p w:rsidR="002412CC" w:rsidRDefault="002412CC" w:rsidP="002412CC">
      <w:pPr>
        <w:tabs>
          <w:tab w:val="left" w:pos="9914"/>
        </w:tabs>
        <w:rPr>
          <w:rFonts w:asciiTheme="minorHAnsi" w:hAnsiTheme="minorHAnsi"/>
        </w:rPr>
      </w:pPr>
      <w:r>
        <w:rPr>
          <w:rFonts w:asciiTheme="minorHAnsi" w:hAnsiTheme="minorHAnsi"/>
        </w:rPr>
        <w:t>belki (łaty) wibracyjne powinny być stosowane do wyrównania powierzchni betonu płyt pomostów i charakteryzować się jednakowymi drganiami na całej długości,</w:t>
      </w:r>
    </w:p>
    <w:p w:rsidR="002412CC" w:rsidRDefault="002412CC" w:rsidP="002412CC">
      <w:pPr>
        <w:tabs>
          <w:tab w:val="left" w:pos="9914"/>
        </w:tabs>
        <w:rPr>
          <w:rFonts w:asciiTheme="minorHAnsi" w:hAnsiTheme="minorHAnsi"/>
        </w:rPr>
      </w:pPr>
      <w:r>
        <w:rPr>
          <w:rFonts w:asciiTheme="minorHAnsi" w:hAnsiTheme="minorHAnsi"/>
        </w:rPr>
        <w:t>czas zagęszczania wibratorem powierzchniowym lub belką (łatą) wibracyjną w jednym miejscu powinien wynosić od 30 do 60 s,</w:t>
      </w:r>
    </w:p>
    <w:p w:rsidR="002412CC" w:rsidRDefault="002412CC" w:rsidP="002412CC">
      <w:pPr>
        <w:tabs>
          <w:tab w:val="left" w:pos="9914"/>
        </w:tabs>
        <w:rPr>
          <w:rFonts w:asciiTheme="minorHAnsi" w:hAnsiTheme="minorHAnsi"/>
        </w:rPr>
      </w:pPr>
      <w:r>
        <w:rPr>
          <w:rFonts w:asciiTheme="minorHAnsi" w:hAnsiTheme="minorHAnsi"/>
        </w:rPr>
        <w:t>wibratory przyczepne mogą być stosowane do zagęszczania mieszanki betonowej w elementach nie grubszych niż 0,5 m, przy jednostronnym dostępie oraz 2,0 m przy obustronnym,</w:t>
      </w:r>
    </w:p>
    <w:p w:rsidR="002412CC" w:rsidRDefault="002412CC" w:rsidP="002412CC">
      <w:pPr>
        <w:tabs>
          <w:tab w:val="left" w:pos="9914"/>
        </w:tabs>
        <w:rPr>
          <w:rFonts w:asciiTheme="minorHAnsi" w:hAnsiTheme="minorHAnsi"/>
        </w:rPr>
      </w:pPr>
      <w:r>
        <w:rPr>
          <w:rFonts w:asciiTheme="minorHAnsi" w:hAnsiTheme="minorHAnsi"/>
        </w:rPr>
        <w:t>zasięg działania wibratorów przyczepnych wynosi zwykle od 20 do 50 cm w kierunku głębokości i od 1,0 do 1,5 m w kierunku długości elementu. Rozstaw wibratorów należy ustalić doświadczalnie, tak aby nie powstawały martwe pola. Mocowanie wibratorów powinno być trwałe i sztywne.</w:t>
      </w:r>
    </w:p>
    <w:p w:rsidR="002412CC" w:rsidRDefault="002412CC" w:rsidP="002412CC">
      <w:pPr>
        <w:tabs>
          <w:tab w:val="left" w:pos="9914"/>
        </w:tabs>
        <w:rPr>
          <w:rFonts w:asciiTheme="minorHAnsi" w:hAnsiTheme="minorHAnsi"/>
        </w:rPr>
      </w:pPr>
      <w:r>
        <w:rPr>
          <w:rFonts w:asciiTheme="minorHAnsi" w:hAnsiTheme="minorHAnsi"/>
        </w:rPr>
        <w:t>Oprzyrządowanie, czasy i sposoby wibrowania powinny być uzgodnione i zatwierdzone przez Inżyniera. Zabrania się wyładunku mieszanki w jedną hałdę i rozprowadzenie jej przy pomocy wibratorów.</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5.5.4.</w:t>
      </w:r>
      <w:r>
        <w:rPr>
          <w:rFonts w:asciiTheme="minorHAnsi" w:hAnsiTheme="minorHAnsi"/>
        </w:rPr>
        <w:t xml:space="preserve"> Przerwy w betonowaniu</w:t>
      </w:r>
    </w:p>
    <w:p w:rsidR="002412CC" w:rsidRDefault="002412CC" w:rsidP="002412CC">
      <w:pPr>
        <w:tabs>
          <w:tab w:val="left" w:pos="9914"/>
        </w:tabs>
        <w:rPr>
          <w:rFonts w:asciiTheme="minorHAnsi" w:hAnsiTheme="minorHAnsi"/>
        </w:rPr>
      </w:pPr>
      <w:r>
        <w:rPr>
          <w:rFonts w:asciiTheme="minorHAnsi" w:hAnsiTheme="minorHAnsi"/>
        </w:rPr>
        <w:t>Przerwy w betonowaniu należy sytuować w miejscach uprzednio przewidzianych w dokumentacji projektowej i uzgodnionych z Inżynierem. Ukształtowanie powierzchni betonu w przerwie roboczej powinno być uzgodnione z Inżynierem, a w prostszych przypadkach można się kierować zasadą, że powinna ona być prostopadła do kierunku naprężeń głównych, ukształtowana i zlokalizowana zgodnie z PN-91/S-10042. Powierzchnia betonu w miejscu przerwania betonowania powinna być starannie przygotowana do połączenia betonu stwardniałego ze świeżym przez:</w:t>
      </w:r>
    </w:p>
    <w:p w:rsidR="002412CC" w:rsidRDefault="002412CC" w:rsidP="002412CC">
      <w:pPr>
        <w:tabs>
          <w:tab w:val="left" w:pos="9914"/>
        </w:tabs>
        <w:rPr>
          <w:rFonts w:asciiTheme="minorHAnsi" w:hAnsiTheme="minorHAnsi"/>
        </w:rPr>
      </w:pPr>
      <w:r>
        <w:rPr>
          <w:rFonts w:asciiTheme="minorHAnsi" w:hAnsiTheme="minorHAnsi"/>
        </w:rPr>
        <w:t>usunięcie z powierzchni betonu stwardniałego luźnych okruchów betonu oraz warstwy pozostałego szkliwa cementowego,</w:t>
      </w:r>
    </w:p>
    <w:p w:rsidR="002412CC" w:rsidRDefault="002412CC" w:rsidP="002412CC">
      <w:pPr>
        <w:tabs>
          <w:tab w:val="left" w:pos="9914"/>
        </w:tabs>
        <w:rPr>
          <w:rFonts w:asciiTheme="minorHAnsi" w:hAnsiTheme="minorHAnsi"/>
        </w:rPr>
      </w:pPr>
      <w:r>
        <w:rPr>
          <w:rFonts w:asciiTheme="minorHAnsi" w:hAnsiTheme="minorHAnsi"/>
        </w:rPr>
        <w:t>narzucenie warstwy kontaktowej z gęstego zaczynu cementowego o grubości 2</w:t>
      </w:r>
      <w:r>
        <w:rPr>
          <w:rFonts w:asciiTheme="minorHAnsi" w:hAnsiTheme="minorHAnsi"/>
        </w:rPr>
        <w:sym w:font="Symbol" w:char="F0B8"/>
      </w:r>
      <w:r>
        <w:rPr>
          <w:rFonts w:asciiTheme="minorHAnsi" w:hAnsiTheme="minorHAnsi"/>
        </w:rPr>
        <w:t>3 mm lub zaprawy cementowej 1:1 o grubości 5 mm; dopuszcza się stosowanie warstw sczepnych, dla których Wykonawca przedstawi aprobatę techniczną wydaną przez IBDiM,</w:t>
      </w:r>
    </w:p>
    <w:p w:rsidR="002412CC" w:rsidRDefault="002412CC" w:rsidP="002412CC">
      <w:pPr>
        <w:tabs>
          <w:tab w:val="left" w:pos="9914"/>
        </w:tabs>
        <w:rPr>
          <w:rFonts w:asciiTheme="minorHAnsi" w:hAnsiTheme="minorHAnsi"/>
        </w:rPr>
      </w:pPr>
      <w:r>
        <w:rPr>
          <w:rFonts w:asciiTheme="minorHAnsi" w:hAnsiTheme="minorHAnsi"/>
        </w:rPr>
        <w:t>obfite zwilżenie wodą.</w:t>
      </w:r>
    </w:p>
    <w:p w:rsidR="002412CC" w:rsidRDefault="002412CC" w:rsidP="002412CC">
      <w:pPr>
        <w:tabs>
          <w:tab w:val="left" w:pos="9914"/>
        </w:tabs>
        <w:rPr>
          <w:rFonts w:asciiTheme="minorHAnsi" w:hAnsiTheme="minorHAnsi"/>
        </w:rPr>
      </w:pPr>
      <w:r>
        <w:rPr>
          <w:rFonts w:asciiTheme="minorHAnsi" w:hAnsiTheme="minorHAnsi"/>
        </w:rPr>
        <w:lastRenderedPageBreak/>
        <w:t>Powyższe zabiegi należy wykonać bezpośrednio przed rozpoczęciem betonowania.</w:t>
      </w:r>
    </w:p>
    <w:p w:rsidR="002412CC" w:rsidRDefault="002412CC" w:rsidP="002412CC">
      <w:pPr>
        <w:tabs>
          <w:tab w:val="left" w:pos="9914"/>
        </w:tabs>
        <w:rPr>
          <w:rFonts w:asciiTheme="minorHAnsi" w:hAnsiTheme="minorHAnsi"/>
        </w:rPr>
      </w:pPr>
      <w:r>
        <w:rPr>
          <w:rFonts w:asciiTheme="minorHAnsi" w:hAnsiTheme="minorHAnsi"/>
        </w:rPr>
        <w:t>W przypadku przerwy w układaniu betonu zagęszczonego przez wibrowanie, wznowienie betonowania nie powinno się odbyć później niż w ciągu 3 godzin lub po całkowitym stwardnieniu betonu. Jeżeli temperatura powietrza jest wyższa niż 20°C to czas trwania przerwy nie powinien przekraczać 2 godzin. Po wznowieniu betonowania należy unikać dotykania wibratorem deskowania, zbrojenia i poprzednio ułożonego betonu.</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5.5.5</w:t>
      </w:r>
      <w:r>
        <w:rPr>
          <w:rFonts w:asciiTheme="minorHAnsi" w:hAnsiTheme="minorHAnsi"/>
        </w:rPr>
        <w:t>. Warunki atmosferyczne przy układaniu mieszanki betonowej i wiązaniu betonu</w:t>
      </w:r>
    </w:p>
    <w:p w:rsidR="002412CC" w:rsidRDefault="002412CC" w:rsidP="002412CC">
      <w:pPr>
        <w:tabs>
          <w:tab w:val="left" w:pos="9914"/>
        </w:tabs>
        <w:rPr>
          <w:rFonts w:asciiTheme="minorHAnsi" w:hAnsiTheme="minorHAnsi"/>
        </w:rPr>
      </w:pPr>
      <w:r>
        <w:rPr>
          <w:rFonts w:asciiTheme="minorHAnsi" w:hAnsiTheme="minorHAnsi"/>
        </w:rPr>
        <w:t>a) Temperatura otoczenia</w:t>
      </w:r>
    </w:p>
    <w:p w:rsidR="002412CC" w:rsidRDefault="002412CC" w:rsidP="002412CC">
      <w:pPr>
        <w:tabs>
          <w:tab w:val="left" w:pos="9914"/>
        </w:tabs>
        <w:rPr>
          <w:rFonts w:asciiTheme="minorHAnsi" w:hAnsiTheme="minorHAnsi"/>
        </w:rPr>
      </w:pPr>
      <w:r>
        <w:rPr>
          <w:rFonts w:asciiTheme="minorHAnsi" w:hAnsiTheme="minorHAnsi"/>
        </w:rPr>
        <w:t>Betonowanie konstrukcji należy wykonywać wyłącznie w temperaturach nie niższych niż plus 5°C, zachowując warunki umożliwiające uzyskanie przez beton wytrzymałości co najmniej 15 MPa przed pierwszym zamarznięciem. Uzyskanie wytrzymałości 15 MPa powinno być zbadane na próbkach przechowywanych w takich samych warunkach jak zabetonowana konstrukcja.</w:t>
      </w:r>
    </w:p>
    <w:p w:rsidR="002412CC" w:rsidRDefault="002412CC" w:rsidP="002412CC">
      <w:pPr>
        <w:tabs>
          <w:tab w:val="left" w:pos="9914"/>
        </w:tabs>
        <w:rPr>
          <w:rFonts w:asciiTheme="minorHAnsi" w:hAnsiTheme="minorHAnsi"/>
        </w:rPr>
      </w:pPr>
      <w:r>
        <w:rPr>
          <w:rFonts w:asciiTheme="minorHAnsi" w:hAnsiTheme="minorHAnsi"/>
        </w:rPr>
        <w:t>W wyjątkowych przypadkach dopuszcza się betonowanie w temperaturze do -5°C, jednak wymaga to zgody Inżyniera oraz zapewnienia mieszance betonowej temperatury +20°C  w  chwili  układania  i zabezpieczenia  uformowanego  elementu  przed utratą ciepła  w czasie co najmniej 7 dni i uzyskania przez niego wytrzymałości 15 MPa. Temperatura mieszanki betonowej w chwili opróżniania betoniarki nie powinna być wyższa niż 35°C.</w:t>
      </w:r>
    </w:p>
    <w:p w:rsidR="002412CC" w:rsidRDefault="002412CC" w:rsidP="002412CC">
      <w:pPr>
        <w:tabs>
          <w:tab w:val="left" w:pos="9914"/>
        </w:tabs>
        <w:rPr>
          <w:rFonts w:asciiTheme="minorHAnsi" w:hAnsiTheme="minorHAnsi"/>
        </w:rPr>
      </w:pPr>
      <w:r>
        <w:rPr>
          <w:rFonts w:asciiTheme="minorHAnsi" w:hAnsiTheme="minorHAnsi"/>
        </w:rPr>
        <w:t>b) Zabezpieczenie robót betonowych podczas opadów</w:t>
      </w:r>
    </w:p>
    <w:p w:rsidR="002412CC" w:rsidRDefault="002412CC" w:rsidP="002412CC">
      <w:pPr>
        <w:tabs>
          <w:tab w:val="left" w:pos="9914"/>
        </w:tabs>
        <w:rPr>
          <w:rFonts w:asciiTheme="minorHAnsi" w:hAnsiTheme="minorHAnsi"/>
        </w:rPr>
      </w:pPr>
      <w:r>
        <w:rPr>
          <w:rFonts w:asciiTheme="minorHAnsi" w:hAnsiTheme="minorHAnsi"/>
        </w:rPr>
        <w:t>Przed przystąpieniem do betonowania należy przygotować sposób postępowania na wypadek wystąpienia ulewnego deszczu. Konieczne jest przygotowanie odpowiedniej ilości osłon wodoszczelnych dla zabezpieczenia odkrytych powierzchni świeżego betonu. Niedopuszczalne jest betonowanie w czasie deszczu bez stosowania odpowiednich zabezpieczeń.</w:t>
      </w:r>
    </w:p>
    <w:p w:rsidR="002412CC" w:rsidRDefault="002412CC" w:rsidP="002412CC">
      <w:pPr>
        <w:pStyle w:val="Nagwek4"/>
        <w:tabs>
          <w:tab w:val="left" w:pos="9914"/>
        </w:tabs>
        <w:rPr>
          <w:rFonts w:asciiTheme="minorHAnsi" w:hAnsiTheme="minorHAnsi"/>
        </w:rPr>
      </w:pPr>
      <w:r>
        <w:t>5.6. Pielęgnacja betonu</w:t>
      </w:r>
    </w:p>
    <w:p w:rsidR="002412CC" w:rsidRDefault="002412CC" w:rsidP="002412CC">
      <w:pPr>
        <w:tabs>
          <w:tab w:val="left" w:pos="9914"/>
        </w:tabs>
        <w:rPr>
          <w:rFonts w:asciiTheme="minorHAnsi" w:hAnsiTheme="minorHAnsi"/>
        </w:rPr>
      </w:pPr>
      <w:r>
        <w:rPr>
          <w:rFonts w:asciiTheme="minorHAnsi" w:hAnsiTheme="minorHAnsi"/>
        </w:rPr>
        <w:t>Bezpośrednio po zakończeniu betonowania zaleca się przykrycie powierzchni betonu lekkimi osłonami wodoszczelnymi zapobiegającymi odparowaniu wody z betonu i chroniącymi beton przed deszczem i nasłonecznieniem.</w:t>
      </w:r>
    </w:p>
    <w:p w:rsidR="002412CC" w:rsidRDefault="002412CC" w:rsidP="002412CC">
      <w:pPr>
        <w:tabs>
          <w:tab w:val="left" w:pos="9914"/>
        </w:tabs>
        <w:rPr>
          <w:rFonts w:asciiTheme="minorHAnsi" w:hAnsiTheme="minorHAnsi"/>
        </w:rPr>
      </w:pPr>
      <w:r>
        <w:rPr>
          <w:rFonts w:asciiTheme="minorHAnsi" w:hAnsiTheme="minorHAnsi"/>
        </w:rPr>
        <w:t>Przy temperaturze otoczenia wyższej niż +5°C należy nie później niż po 12 godzinach od  zakończenia betonowania   rozpocząć pielęgnację wilgotnościową betonu i prowadzić ją co najmniej przez 7 dni (przez polewanie co najmniej 3 razy na dobę).  Przy temperaturze  +15°C i wyższej, beton należy polewać w ciągu pierwszych 3 dni co 3 godziny w dzień i co najmniej raz w nocy, a w następne dni jak wyżej.</w:t>
      </w:r>
    </w:p>
    <w:p w:rsidR="002412CC" w:rsidRDefault="002412CC" w:rsidP="002412CC">
      <w:pPr>
        <w:tabs>
          <w:tab w:val="left" w:pos="9914"/>
        </w:tabs>
        <w:rPr>
          <w:rFonts w:asciiTheme="minorHAnsi" w:hAnsiTheme="minorHAnsi"/>
        </w:rPr>
      </w:pPr>
      <w:r>
        <w:rPr>
          <w:rFonts w:asciiTheme="minorHAnsi" w:hAnsiTheme="minorHAnsi"/>
        </w:rPr>
        <w:t>Nanoszenie błon nieprzepuszczających wody jest dopuszczalne tylko wtedy, gdy beton nie będzie się łączył z następną warstwą konstrukcji monolitycznej, a także gdy nie są stawiane specjalne wymagania odnośnie jakości pielęgnowanej powierzchni.</w:t>
      </w:r>
    </w:p>
    <w:p w:rsidR="002412CC" w:rsidRDefault="002412CC" w:rsidP="002412CC">
      <w:pPr>
        <w:tabs>
          <w:tab w:val="left" w:pos="9914"/>
        </w:tabs>
        <w:rPr>
          <w:rFonts w:asciiTheme="minorHAnsi" w:hAnsiTheme="minorHAnsi"/>
        </w:rPr>
      </w:pPr>
      <w:r>
        <w:rPr>
          <w:rFonts w:asciiTheme="minorHAnsi" w:hAnsiTheme="minorHAnsi"/>
        </w:rPr>
        <w:t>Woda stosowana do polewania betonu powinna spełniać wymagania normy PN-EN 1008:2004.</w:t>
      </w:r>
    </w:p>
    <w:p w:rsidR="002412CC" w:rsidRDefault="002412CC" w:rsidP="002412CC">
      <w:pPr>
        <w:tabs>
          <w:tab w:val="left" w:pos="9914"/>
        </w:tabs>
        <w:rPr>
          <w:rFonts w:asciiTheme="minorHAnsi" w:hAnsiTheme="minorHAnsi"/>
        </w:rPr>
      </w:pPr>
      <w:r>
        <w:rPr>
          <w:rFonts w:asciiTheme="minorHAnsi" w:hAnsiTheme="minorHAnsi"/>
        </w:rPr>
        <w:t>W czasie dojrzewania betonu elementy powinny być chronione przed uderzeniami i drganiami przynajmniej do chwili uzyskania przez niego wytrzymałości na ściskanie co najmniej 15 MPa.</w:t>
      </w:r>
    </w:p>
    <w:p w:rsidR="002412CC" w:rsidRDefault="002412CC" w:rsidP="002412CC">
      <w:pPr>
        <w:pStyle w:val="Nagwek4"/>
        <w:tabs>
          <w:tab w:val="left" w:pos="9914"/>
        </w:tabs>
        <w:rPr>
          <w:rFonts w:asciiTheme="minorHAnsi" w:hAnsiTheme="minorHAnsi"/>
        </w:rPr>
      </w:pPr>
      <w:r>
        <w:t>5.7. Rozbiórka deskowań i rusztowań</w:t>
      </w:r>
    </w:p>
    <w:p w:rsidR="002412CC" w:rsidRDefault="002412CC" w:rsidP="002412CC">
      <w:pPr>
        <w:tabs>
          <w:tab w:val="left" w:pos="9914"/>
        </w:tabs>
        <w:rPr>
          <w:rFonts w:asciiTheme="minorHAnsi" w:hAnsiTheme="minorHAnsi"/>
        </w:rPr>
      </w:pPr>
      <w:r>
        <w:rPr>
          <w:rFonts w:asciiTheme="minorHAnsi" w:hAnsiTheme="minorHAnsi"/>
        </w:rPr>
        <w:t>Rozformowanie konstrukcji, może nastąpić po osiągnięciu przez beton pełnej wytrzymałości projektowej i po okresie dojrzewania określonym w ST i dokumentacji projektowej. Wcześniejsze rozformowanie elementów konstrukcji jest możliwe jedynie po uzgodnieniu z projektantem i akceptacji Inżyniera.</w:t>
      </w:r>
    </w:p>
    <w:p w:rsidR="002412CC" w:rsidRDefault="002412CC" w:rsidP="002412CC">
      <w:pPr>
        <w:pStyle w:val="Nagwek4"/>
        <w:tabs>
          <w:tab w:val="left" w:pos="9914"/>
        </w:tabs>
        <w:rPr>
          <w:rFonts w:asciiTheme="minorHAnsi" w:hAnsiTheme="minorHAnsi"/>
        </w:rPr>
      </w:pPr>
      <w:r>
        <w:t>5.8. Wykańczanie powierzchni betonu</w:t>
      </w:r>
    </w:p>
    <w:p w:rsidR="002412CC" w:rsidRDefault="002412CC" w:rsidP="002412CC">
      <w:pPr>
        <w:tabs>
          <w:tab w:val="left" w:pos="9914"/>
        </w:tabs>
        <w:rPr>
          <w:rFonts w:asciiTheme="minorHAnsi" w:hAnsiTheme="minorHAnsi"/>
        </w:rPr>
      </w:pPr>
      <w:r>
        <w:rPr>
          <w:rFonts w:asciiTheme="minorHAnsi" w:hAnsiTheme="minorHAnsi"/>
        </w:rPr>
        <w:t>Dla widocznych powierzchni betonowych obowiązują następujące wymagania:</w:t>
      </w:r>
    </w:p>
    <w:p w:rsidR="002412CC" w:rsidRDefault="002412CC" w:rsidP="002412CC">
      <w:pPr>
        <w:tabs>
          <w:tab w:val="left" w:pos="9914"/>
        </w:tabs>
        <w:rPr>
          <w:rFonts w:asciiTheme="minorHAnsi" w:hAnsiTheme="minorHAnsi"/>
        </w:rPr>
      </w:pPr>
      <w:r>
        <w:rPr>
          <w:rFonts w:asciiTheme="minorHAnsi" w:hAnsiTheme="minorHAnsi"/>
        </w:rPr>
        <w:t xml:space="preserve">wszystkie betonowe powierzchnie muszą być gładkie i równe, bez zagłębień, wybrzuszeń ponad powierzchnię,  </w:t>
      </w:r>
    </w:p>
    <w:p w:rsidR="002412CC" w:rsidRDefault="002412CC" w:rsidP="002412CC">
      <w:pPr>
        <w:tabs>
          <w:tab w:val="left" w:pos="9914"/>
        </w:tabs>
        <w:rPr>
          <w:rFonts w:asciiTheme="minorHAnsi" w:hAnsiTheme="minorHAnsi"/>
        </w:rPr>
      </w:pPr>
      <w:r>
        <w:rPr>
          <w:rFonts w:asciiTheme="minorHAnsi" w:hAnsiTheme="minorHAnsi"/>
        </w:rPr>
        <w:t>pęknięcia i rysy są niedopuszczalne,</w:t>
      </w:r>
    </w:p>
    <w:p w:rsidR="002412CC" w:rsidRDefault="002412CC" w:rsidP="002412CC">
      <w:pPr>
        <w:tabs>
          <w:tab w:val="left" w:pos="9914"/>
        </w:tabs>
        <w:rPr>
          <w:rFonts w:asciiTheme="minorHAnsi" w:hAnsiTheme="minorHAnsi"/>
        </w:rPr>
      </w:pPr>
      <w:r>
        <w:rPr>
          <w:rFonts w:asciiTheme="minorHAnsi" w:hAnsiTheme="minorHAnsi"/>
        </w:rPr>
        <w:t>równość górnej powierzchni ustroju nośnego przeznaczonej pod izolację powinna odpowiadać wymaganiom producenta zastosowanej hydroizolacji i ST określającej warunki układania hydroizolacji,</w:t>
      </w:r>
    </w:p>
    <w:p w:rsidR="002412CC" w:rsidRDefault="002412CC" w:rsidP="002412CC">
      <w:pPr>
        <w:tabs>
          <w:tab w:val="left" w:pos="9914"/>
        </w:tabs>
        <w:rPr>
          <w:rFonts w:asciiTheme="minorHAnsi" w:hAnsiTheme="minorHAnsi"/>
        </w:rPr>
      </w:pPr>
      <w:r>
        <w:rPr>
          <w:rFonts w:asciiTheme="minorHAnsi" w:hAnsiTheme="minorHAnsi"/>
        </w:rPr>
        <w:t>kształtowanie odpowiednich spadków poprzecznych i podłużnych powinno następować podczas betonowania elementu. Wyklucza się szpachlowanie konstrukcji po rozdeskowaniu. Powierzchnię płyty powinno się wyrównywać podczas betonowania łatami wibracyjnymi. Odchylenie równości powierzchni zmierzone na łacie długości 4,0 m nie powinno przekraczać 1,0 cm,</w:t>
      </w:r>
    </w:p>
    <w:p w:rsidR="002412CC" w:rsidRDefault="002412CC" w:rsidP="002412CC">
      <w:pPr>
        <w:tabs>
          <w:tab w:val="left" w:pos="9914"/>
        </w:tabs>
        <w:rPr>
          <w:rFonts w:asciiTheme="minorHAnsi" w:hAnsiTheme="minorHAnsi"/>
        </w:rPr>
      </w:pPr>
      <w:r>
        <w:rPr>
          <w:rFonts w:asciiTheme="minorHAnsi" w:hAnsiTheme="minorHAnsi"/>
        </w:rPr>
        <w:lastRenderedPageBreak/>
        <w:t>ostre krawędzie betonu po rozdeskowaniu powinny być oszlifowane; jeżeli dokumentacja projektowa nie przewiduje specjalnego wykończenia powierzchni betonowych konstrukcji, to bezpośrednio po rozebraniu deskowań należy wszystkie wystające nierówności wyrównać za pomocą tarcz karborundowych i czystej wody,</w:t>
      </w:r>
    </w:p>
    <w:p w:rsidR="002412CC" w:rsidRDefault="002412CC" w:rsidP="002412CC">
      <w:pPr>
        <w:tabs>
          <w:tab w:val="left" w:pos="9914"/>
        </w:tabs>
        <w:rPr>
          <w:rFonts w:asciiTheme="minorHAnsi" w:hAnsiTheme="minorHAnsi"/>
        </w:rPr>
      </w:pPr>
      <w:r>
        <w:rPr>
          <w:rFonts w:asciiTheme="minorHAnsi" w:hAnsiTheme="minorHAnsi"/>
        </w:rPr>
        <w:t>gładkość powierzchni powinna cechować się brakiem lokalnych progów, raków, wgłębień i wybrzuszeń, wystających ziaren kruszywa itp. Dopuszczalne są lokalne nierówności do 3 mm lub wgłębienia do 5 mm,</w:t>
      </w:r>
    </w:p>
    <w:p w:rsidR="002412CC" w:rsidRDefault="002412CC" w:rsidP="002412CC">
      <w:pPr>
        <w:tabs>
          <w:tab w:val="left" w:pos="9914"/>
        </w:tabs>
        <w:rPr>
          <w:rFonts w:asciiTheme="minorHAnsi" w:hAnsiTheme="minorHAnsi"/>
        </w:rPr>
      </w:pPr>
      <w:r>
        <w:rPr>
          <w:rFonts w:asciiTheme="minorHAnsi" w:hAnsiTheme="minorHAnsi"/>
        </w:rPr>
        <w:t>ewentualne łączniki stalowe (drut, śruby itp.), które spełniały funkcję stężeń deskowań lub inne i wystają z betonu po rozdeskowaniu, powinny być obcięte przynajmniej 1 cm pod wykończoną powierzchnią betonu, a otwory powinny być wypełnione zaprawą cementową.</w:t>
      </w:r>
    </w:p>
    <w:p w:rsidR="002412CC" w:rsidRDefault="002412CC" w:rsidP="002412CC">
      <w:pPr>
        <w:tabs>
          <w:tab w:val="left" w:pos="9914"/>
        </w:tabs>
        <w:rPr>
          <w:rFonts w:asciiTheme="minorHAnsi" w:hAnsiTheme="minorHAnsi"/>
        </w:rPr>
      </w:pPr>
      <w:r>
        <w:rPr>
          <w:rFonts w:asciiTheme="minorHAnsi" w:hAnsiTheme="minorHAnsi"/>
        </w:rPr>
        <w:t>Wszystkie uszkodzenia powierzchni powinny być naprawione na koszt Wykonawcy. Części wystające powinny być skute lub zeszlifowane, a zagłębienia wypełnione betonem żywicznym o składzie zatwierdzonym przez Inżyniera. Bardzo duże ubytki i nierówności płyty przekraczające 2 cm należy naprawić betonem cementowym bezskurczowym wykonanym wg specjalnej technologii zatwierdzonej przez Inżyniera.</w:t>
      </w:r>
    </w:p>
    <w:p w:rsidR="002412CC" w:rsidRDefault="002412CC" w:rsidP="002412CC">
      <w:pPr>
        <w:pStyle w:val="Nagwek4"/>
        <w:tabs>
          <w:tab w:val="left" w:pos="9914"/>
        </w:tabs>
        <w:rPr>
          <w:rFonts w:asciiTheme="minorHAnsi" w:hAnsiTheme="minorHAnsi"/>
        </w:rPr>
      </w:pPr>
      <w:r>
        <w:t>5.9. Roboty wykończeniowe</w:t>
      </w:r>
    </w:p>
    <w:p w:rsidR="002412CC" w:rsidRDefault="002412CC" w:rsidP="002412CC">
      <w:pPr>
        <w:tabs>
          <w:tab w:val="left" w:pos="9914"/>
        </w:tabs>
        <w:rPr>
          <w:rFonts w:asciiTheme="minorHAnsi" w:hAnsiTheme="minorHAnsi"/>
        </w:rPr>
      </w:pPr>
      <w:bookmarkStart w:id="1375" w:name="_Toc148850530"/>
      <w:r>
        <w:rPr>
          <w:rFonts w:asciiTheme="minorHAnsi" w:hAnsiTheme="minorHAnsi"/>
        </w:rPr>
        <w:t>Roboty wykończeniowe powinny być zgodne z dokumentacją projektową i ST. Do robót wykończeniowych należą prace związane z dostosowaniem wykonanych robót do istniejących warunków terenowych, takie jak:</w:t>
      </w:r>
      <w:bookmarkEnd w:id="1375"/>
    </w:p>
    <w:p w:rsidR="002412CC" w:rsidRDefault="002412CC" w:rsidP="002412CC">
      <w:pPr>
        <w:tabs>
          <w:tab w:val="left" w:pos="9914"/>
        </w:tabs>
        <w:rPr>
          <w:rFonts w:asciiTheme="minorHAnsi" w:hAnsiTheme="minorHAnsi"/>
        </w:rPr>
      </w:pPr>
      <w:bookmarkStart w:id="1376" w:name="_Toc148850531"/>
      <w:r>
        <w:rPr>
          <w:rFonts w:asciiTheme="minorHAnsi" w:hAnsiTheme="minorHAnsi"/>
        </w:rPr>
        <w:t>odtworzenie elementów czasowo usuniętych,</w:t>
      </w:r>
      <w:bookmarkEnd w:id="1376"/>
    </w:p>
    <w:p w:rsidR="002412CC" w:rsidRDefault="002412CC" w:rsidP="002412CC">
      <w:pPr>
        <w:tabs>
          <w:tab w:val="left" w:pos="9914"/>
        </w:tabs>
        <w:rPr>
          <w:rFonts w:asciiTheme="minorHAnsi" w:hAnsiTheme="minorHAnsi"/>
        </w:rPr>
      </w:pPr>
      <w:bookmarkStart w:id="1377" w:name="_Toc148850532"/>
      <w:r>
        <w:rPr>
          <w:rFonts w:asciiTheme="minorHAnsi" w:hAnsiTheme="minorHAnsi"/>
        </w:rPr>
        <w:t>roboty porządkujące otoczenie terenu robót.</w:t>
      </w:r>
      <w:bookmarkEnd w:id="1377"/>
    </w:p>
    <w:p w:rsidR="002412CC" w:rsidRPr="00E5206A" w:rsidRDefault="002412CC" w:rsidP="00E5206A">
      <w:pPr>
        <w:pStyle w:val="Nagwek3"/>
      </w:pPr>
      <w:r w:rsidRPr="00E5206A">
        <w:t>6. Kontrola jakości robót</w:t>
      </w:r>
    </w:p>
    <w:p w:rsidR="002412CC" w:rsidRDefault="002412CC" w:rsidP="002412CC">
      <w:pPr>
        <w:pStyle w:val="Nagwek4"/>
        <w:tabs>
          <w:tab w:val="left" w:pos="9914"/>
        </w:tabs>
        <w:rPr>
          <w:rFonts w:asciiTheme="minorHAnsi" w:hAnsiTheme="minorHAnsi"/>
        </w:rPr>
      </w:pPr>
      <w:r>
        <w:t>6.1. Ogólne zasady kontroli jakości robót</w:t>
      </w:r>
    </w:p>
    <w:p w:rsidR="002412CC" w:rsidRDefault="002412CC" w:rsidP="002412CC">
      <w:pPr>
        <w:tabs>
          <w:tab w:val="left" w:pos="9914"/>
        </w:tabs>
        <w:rPr>
          <w:rFonts w:asciiTheme="minorHAnsi" w:hAnsiTheme="minorHAnsi"/>
        </w:rPr>
      </w:pPr>
      <w:r>
        <w:rPr>
          <w:rFonts w:asciiTheme="minorHAnsi" w:hAnsiTheme="minorHAnsi"/>
        </w:rPr>
        <w:t>Ogólne zasady kontroli jakości robót podano w STWiORB D-M-00.00.00 „Wymagania ogólne”, pkt 6.</w:t>
      </w:r>
    </w:p>
    <w:p w:rsidR="002412CC" w:rsidRDefault="002412CC" w:rsidP="002412CC">
      <w:pPr>
        <w:pStyle w:val="Nagwek4"/>
        <w:tabs>
          <w:tab w:val="left" w:pos="9914"/>
        </w:tabs>
        <w:rPr>
          <w:rFonts w:asciiTheme="minorHAnsi" w:hAnsiTheme="minorHAnsi"/>
        </w:rPr>
      </w:pPr>
      <w:r>
        <w:t>6.2. Badania przed przystąpieniem do robót</w:t>
      </w:r>
    </w:p>
    <w:p w:rsidR="002412CC" w:rsidRDefault="002412CC" w:rsidP="002412CC">
      <w:pPr>
        <w:tabs>
          <w:tab w:val="left" w:pos="9914"/>
        </w:tabs>
        <w:rPr>
          <w:rFonts w:asciiTheme="minorHAnsi" w:hAnsiTheme="minorHAnsi"/>
        </w:rPr>
      </w:pPr>
      <w:r>
        <w:rPr>
          <w:rFonts w:asciiTheme="minorHAnsi" w:hAnsiTheme="minorHAnsi"/>
        </w:rPr>
        <w:t>Przed przystąpieniem do robót Wykonawca powinien:</w:t>
      </w:r>
    </w:p>
    <w:p w:rsidR="002412CC" w:rsidRDefault="002412CC" w:rsidP="002412CC">
      <w:pPr>
        <w:tabs>
          <w:tab w:val="left" w:pos="9914"/>
        </w:tabs>
        <w:rPr>
          <w:rFonts w:asciiTheme="minorHAnsi" w:hAnsiTheme="minorHAnsi"/>
        </w:rPr>
      </w:pPr>
      <w:r>
        <w:rPr>
          <w:rFonts w:asciiTheme="minorHAnsi" w:hAnsiTheme="minorHAnsi"/>
        </w:rPr>
        <w:t>uzyskać wymagane dokumenty, dopuszczające wyroby budowlane do obrotu i powszechnego stosowania (certyfikaty zgodności, deklaracje zgodności, aprobaty techniczne, ew. badania materiałów wykonane przez dostawców itp.) i na ich podstawie sprawdzić właściwości zastosowanych materiałów na zgodność z wymaganiami podanymi w ST,</w:t>
      </w:r>
    </w:p>
    <w:p w:rsidR="002412CC" w:rsidRDefault="002412CC" w:rsidP="002412CC">
      <w:pPr>
        <w:tabs>
          <w:tab w:val="left" w:pos="9914"/>
        </w:tabs>
        <w:rPr>
          <w:rFonts w:asciiTheme="minorHAnsi" w:hAnsiTheme="minorHAnsi"/>
        </w:rPr>
      </w:pPr>
      <w:r>
        <w:rPr>
          <w:rFonts w:asciiTheme="minorHAnsi" w:hAnsiTheme="minorHAnsi"/>
        </w:rPr>
        <w:t>wykonać własne badania właściwości materiałów przeznaczonych do wykonania robót, określone w pkcie 2 lub przez Inżyniera.</w:t>
      </w:r>
    </w:p>
    <w:p w:rsidR="002412CC" w:rsidRDefault="002412CC" w:rsidP="002412CC">
      <w:pPr>
        <w:tabs>
          <w:tab w:val="left" w:pos="9914"/>
        </w:tabs>
        <w:rPr>
          <w:rFonts w:asciiTheme="minorHAnsi" w:hAnsiTheme="minorHAnsi"/>
        </w:rPr>
      </w:pPr>
      <w:r>
        <w:rPr>
          <w:rFonts w:asciiTheme="minorHAnsi" w:hAnsiTheme="minorHAnsi"/>
        </w:rPr>
        <w:t>Wszystkie dokumenty oraz wyniki badań Wykonawca przedstawia Inżynierowi do akceptacji.</w:t>
      </w:r>
    </w:p>
    <w:p w:rsidR="002412CC" w:rsidRDefault="002412CC" w:rsidP="002412CC">
      <w:pPr>
        <w:pStyle w:val="Nagwek4"/>
        <w:tabs>
          <w:tab w:val="left" w:pos="9914"/>
        </w:tabs>
        <w:rPr>
          <w:rFonts w:asciiTheme="minorHAnsi" w:hAnsiTheme="minorHAnsi"/>
        </w:rPr>
      </w:pPr>
      <w:r>
        <w:t>6.3. Badania składników mieszanki betonowej</w:t>
      </w:r>
    </w:p>
    <w:p w:rsidR="002412CC" w:rsidRDefault="002412CC" w:rsidP="002412CC">
      <w:pPr>
        <w:tabs>
          <w:tab w:val="left" w:pos="9914"/>
        </w:tabs>
        <w:rPr>
          <w:rFonts w:asciiTheme="minorHAnsi" w:hAnsiTheme="minorHAnsi"/>
        </w:rPr>
      </w:pPr>
      <w:r>
        <w:rPr>
          <w:rFonts w:asciiTheme="minorHAnsi" w:hAnsiTheme="minorHAnsi"/>
        </w:rPr>
        <w:t>Bezpośrednio przed użyciem cementu do wykonania mieszanki betonowej należy przeprowadzić kontrolę obejmującą:</w:t>
      </w:r>
    </w:p>
    <w:p w:rsidR="002412CC" w:rsidRDefault="002412CC" w:rsidP="002412CC">
      <w:pPr>
        <w:tabs>
          <w:tab w:val="left" w:pos="9914"/>
        </w:tabs>
        <w:rPr>
          <w:rFonts w:asciiTheme="minorHAnsi" w:hAnsiTheme="minorHAnsi"/>
        </w:rPr>
      </w:pPr>
      <w:r>
        <w:rPr>
          <w:rFonts w:asciiTheme="minorHAnsi" w:hAnsiTheme="minorHAnsi"/>
        </w:rPr>
        <w:t>oznaczenie czasu wiązania wg PN-EN 196-3:1996,</w:t>
      </w:r>
    </w:p>
    <w:p w:rsidR="002412CC" w:rsidRDefault="002412CC" w:rsidP="002412CC">
      <w:pPr>
        <w:tabs>
          <w:tab w:val="left" w:pos="9914"/>
        </w:tabs>
        <w:rPr>
          <w:rFonts w:asciiTheme="minorHAnsi" w:hAnsiTheme="minorHAnsi"/>
        </w:rPr>
      </w:pPr>
      <w:r>
        <w:rPr>
          <w:rFonts w:asciiTheme="minorHAnsi" w:hAnsiTheme="minorHAnsi"/>
        </w:rPr>
        <w:t>oznaczenie zmiany objętości wg PN-EN 196-3:1996,</w:t>
      </w:r>
    </w:p>
    <w:p w:rsidR="002412CC" w:rsidRDefault="002412CC" w:rsidP="002412CC">
      <w:pPr>
        <w:tabs>
          <w:tab w:val="left" w:pos="9914"/>
        </w:tabs>
        <w:rPr>
          <w:rFonts w:asciiTheme="minorHAnsi" w:hAnsiTheme="minorHAnsi"/>
        </w:rPr>
      </w:pPr>
      <w:r>
        <w:rPr>
          <w:rFonts w:asciiTheme="minorHAnsi" w:hAnsiTheme="minorHAnsi"/>
        </w:rPr>
        <w:t>obecności grudek gliny.</w:t>
      </w:r>
    </w:p>
    <w:p w:rsidR="002412CC" w:rsidRDefault="002412CC" w:rsidP="002412CC">
      <w:pPr>
        <w:tabs>
          <w:tab w:val="left" w:pos="9914"/>
        </w:tabs>
        <w:rPr>
          <w:rFonts w:asciiTheme="minorHAnsi" w:hAnsiTheme="minorHAnsi"/>
        </w:rPr>
      </w:pPr>
      <w:r>
        <w:rPr>
          <w:rFonts w:asciiTheme="minorHAnsi" w:hAnsiTheme="minorHAnsi"/>
        </w:rPr>
        <w:t>Wyniki badań powinny odpowiadać wymaganiom podanym w tablicy 3.</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Tablica 3. Wymagania dla cementu</w:t>
      </w:r>
    </w:p>
    <w:tbl>
      <w:tblPr>
        <w:tblW w:w="8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330"/>
        <w:gridCol w:w="1080"/>
        <w:gridCol w:w="921"/>
        <w:gridCol w:w="850"/>
        <w:gridCol w:w="929"/>
        <w:gridCol w:w="1800"/>
        <w:gridCol w:w="1603"/>
      </w:tblGrid>
      <w:tr w:rsidR="002412CC" w:rsidTr="002412CC">
        <w:trPr>
          <w:cantSplit/>
          <w:trHeight w:val="335"/>
          <w:jc w:val="center"/>
        </w:trPr>
        <w:tc>
          <w:tcPr>
            <w:tcW w:w="1330" w:type="dxa"/>
            <w:vMerge w:val="restart"/>
            <w:tcBorders>
              <w:top w:val="single" w:sz="4" w:space="0" w:color="auto"/>
              <w:left w:val="single" w:sz="4" w:space="0" w:color="auto"/>
              <w:bottom w:val="single" w:sz="4" w:space="0" w:color="auto"/>
              <w:right w:val="single" w:sz="4" w:space="0" w:color="auto"/>
            </w:tcBorders>
            <w:noWrap/>
          </w:tcPr>
          <w:p w:rsidR="002412CC" w:rsidRDefault="002412CC">
            <w:pPr>
              <w:tabs>
                <w:tab w:val="left" w:pos="9914"/>
              </w:tabs>
              <w:spacing w:line="276" w:lineRule="auto"/>
              <w:rPr>
                <w:rFonts w:asciiTheme="minorHAnsi" w:hAnsiTheme="minorHAnsi"/>
              </w:rPr>
            </w:pPr>
          </w:p>
          <w:p w:rsidR="002412CC" w:rsidRDefault="002412CC">
            <w:pPr>
              <w:widowControl w:val="0"/>
              <w:tabs>
                <w:tab w:val="left" w:pos="9914"/>
              </w:tabs>
              <w:spacing w:line="276" w:lineRule="auto"/>
              <w:rPr>
                <w:rFonts w:asciiTheme="minorHAnsi" w:hAnsiTheme="minorHAnsi"/>
              </w:rPr>
            </w:pPr>
            <w:r>
              <w:rPr>
                <w:rFonts w:asciiTheme="minorHAnsi" w:hAnsiTheme="minorHAnsi"/>
              </w:rPr>
              <w:t>Klasa cementu</w:t>
            </w:r>
          </w:p>
        </w:tc>
        <w:tc>
          <w:tcPr>
            <w:tcW w:w="3780" w:type="dxa"/>
            <w:gridSpan w:val="4"/>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Wytrzymałość na ściskanie, MPa,</w:t>
            </w:r>
          </w:p>
        </w:tc>
        <w:tc>
          <w:tcPr>
            <w:tcW w:w="1800" w:type="dxa"/>
            <w:tcBorders>
              <w:top w:val="single" w:sz="4" w:space="0" w:color="auto"/>
              <w:left w:val="single" w:sz="4" w:space="0" w:color="auto"/>
              <w:bottom w:val="nil"/>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Początek</w:t>
            </w:r>
          </w:p>
        </w:tc>
        <w:tc>
          <w:tcPr>
            <w:tcW w:w="1603" w:type="dxa"/>
            <w:vMerge w:val="restart"/>
            <w:tcBorders>
              <w:top w:val="single" w:sz="4" w:space="0" w:color="auto"/>
              <w:left w:val="single" w:sz="4" w:space="0" w:color="auto"/>
              <w:bottom w:val="single" w:sz="4" w:space="0" w:color="auto"/>
              <w:right w:val="single" w:sz="4" w:space="0" w:color="auto"/>
            </w:tcBorders>
            <w:noWrap/>
            <w:hideMark/>
          </w:tcPr>
          <w:p w:rsidR="002412CC" w:rsidRDefault="002412CC">
            <w:pPr>
              <w:tabs>
                <w:tab w:val="left" w:pos="9914"/>
              </w:tabs>
              <w:spacing w:line="276" w:lineRule="auto"/>
              <w:rPr>
                <w:rFonts w:asciiTheme="minorHAnsi" w:hAnsiTheme="minorHAnsi"/>
              </w:rPr>
            </w:pPr>
            <w:r>
              <w:rPr>
                <w:rFonts w:asciiTheme="minorHAnsi" w:hAnsiTheme="minorHAnsi"/>
              </w:rPr>
              <w:t>Stałość objętości</w:t>
            </w:r>
          </w:p>
          <w:p w:rsidR="002412CC" w:rsidRDefault="002412CC">
            <w:pPr>
              <w:widowControl w:val="0"/>
              <w:tabs>
                <w:tab w:val="left" w:pos="9914"/>
              </w:tabs>
              <w:spacing w:line="276" w:lineRule="auto"/>
              <w:rPr>
                <w:rFonts w:asciiTheme="minorHAnsi" w:hAnsiTheme="minorHAnsi"/>
              </w:rPr>
            </w:pPr>
            <w:r>
              <w:rPr>
                <w:rFonts w:asciiTheme="minorHAnsi" w:hAnsiTheme="minorHAnsi"/>
              </w:rPr>
              <w:t>(rozszerzalność), mm</w:t>
            </w:r>
          </w:p>
        </w:tc>
      </w:tr>
      <w:tr w:rsidR="002412CC" w:rsidTr="002412CC">
        <w:trPr>
          <w:cantSplit/>
          <w:trHeight w:val="2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c>
          <w:tcPr>
            <w:tcW w:w="2001" w:type="dxa"/>
            <w:gridSpan w:val="2"/>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wczesna</w:t>
            </w:r>
          </w:p>
        </w:tc>
        <w:tc>
          <w:tcPr>
            <w:tcW w:w="1779" w:type="dxa"/>
            <w:gridSpan w:val="2"/>
            <w:vMerge w:val="restart"/>
            <w:tcBorders>
              <w:top w:val="single" w:sz="4" w:space="0" w:color="auto"/>
              <w:left w:val="single" w:sz="4" w:space="0" w:color="auto"/>
              <w:bottom w:val="single" w:sz="4" w:space="0" w:color="auto"/>
              <w:right w:val="single" w:sz="4" w:space="0" w:color="auto"/>
            </w:tcBorders>
            <w:noWrap/>
            <w:hideMark/>
          </w:tcPr>
          <w:p w:rsidR="002412CC" w:rsidRDefault="002412CC">
            <w:pPr>
              <w:tabs>
                <w:tab w:val="left" w:pos="9914"/>
              </w:tabs>
              <w:spacing w:line="276" w:lineRule="auto"/>
              <w:rPr>
                <w:rFonts w:asciiTheme="minorHAnsi" w:hAnsiTheme="minorHAnsi"/>
              </w:rPr>
            </w:pPr>
            <w:r>
              <w:rPr>
                <w:rFonts w:asciiTheme="minorHAnsi" w:hAnsiTheme="minorHAnsi"/>
              </w:rPr>
              <w:t xml:space="preserve">normowa, </w:t>
            </w:r>
          </w:p>
          <w:p w:rsidR="002412CC" w:rsidRDefault="002412CC">
            <w:pPr>
              <w:widowControl w:val="0"/>
              <w:tabs>
                <w:tab w:val="left" w:pos="9914"/>
              </w:tabs>
              <w:spacing w:line="276" w:lineRule="auto"/>
              <w:rPr>
                <w:rFonts w:asciiTheme="minorHAnsi" w:hAnsiTheme="minorHAnsi"/>
              </w:rPr>
            </w:pPr>
            <w:r>
              <w:rPr>
                <w:rFonts w:asciiTheme="minorHAnsi" w:hAnsiTheme="minorHAnsi"/>
              </w:rPr>
              <w:t>po 28 dniach</w:t>
            </w:r>
          </w:p>
        </w:tc>
        <w:tc>
          <w:tcPr>
            <w:tcW w:w="1800" w:type="dxa"/>
            <w:vMerge w:val="restart"/>
            <w:tcBorders>
              <w:top w:val="nil"/>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 czasu wią-zania, min</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r>
      <w:tr w:rsidR="002412CC" w:rsidTr="002412CC">
        <w:trPr>
          <w:cantSplit/>
          <w:trHeight w:val="258"/>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c>
          <w:tcPr>
            <w:tcW w:w="108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po 2 dniach</w:t>
            </w:r>
          </w:p>
        </w:tc>
        <w:tc>
          <w:tcPr>
            <w:tcW w:w="92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po 7 dniach</w:t>
            </w: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c>
          <w:tcPr>
            <w:tcW w:w="0" w:type="auto"/>
            <w:vMerge/>
            <w:tcBorders>
              <w:top w:val="nil"/>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r>
      <w:tr w:rsidR="002412CC" w:rsidTr="002412CC">
        <w:trPr>
          <w:cantSplit/>
          <w:jc w:val="center"/>
        </w:trPr>
        <w:tc>
          <w:tcPr>
            <w:tcW w:w="133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Klasa 32,5 </w:t>
            </w:r>
          </w:p>
        </w:tc>
        <w:tc>
          <w:tcPr>
            <w:tcW w:w="108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92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16</w:t>
            </w:r>
          </w:p>
        </w:tc>
        <w:tc>
          <w:tcPr>
            <w:tcW w:w="85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32,5</w:t>
            </w:r>
          </w:p>
        </w:tc>
        <w:tc>
          <w:tcPr>
            <w:tcW w:w="929"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A3"/>
            </w:r>
            <w:r>
              <w:rPr>
                <w:rFonts w:asciiTheme="minorHAnsi" w:hAnsiTheme="minorHAnsi"/>
              </w:rPr>
              <w:t xml:space="preserve"> 52,5</w:t>
            </w:r>
          </w:p>
        </w:tc>
        <w:tc>
          <w:tcPr>
            <w:tcW w:w="1800" w:type="dxa"/>
            <w:tcBorders>
              <w:top w:val="single" w:sz="4" w:space="0" w:color="auto"/>
              <w:left w:val="single" w:sz="4" w:space="0" w:color="auto"/>
              <w:bottom w:val="single" w:sz="4" w:space="0" w:color="auto"/>
              <w:right w:val="single" w:sz="4" w:space="0" w:color="auto"/>
            </w:tcBorders>
            <w:noWrap/>
            <w:vAlign w:val="center"/>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75</w:t>
            </w:r>
          </w:p>
        </w:tc>
        <w:tc>
          <w:tcPr>
            <w:tcW w:w="1603" w:type="dxa"/>
            <w:vMerge w:val="restart"/>
            <w:tcBorders>
              <w:top w:val="single" w:sz="4" w:space="0" w:color="auto"/>
              <w:left w:val="single" w:sz="4" w:space="0" w:color="auto"/>
              <w:bottom w:val="single" w:sz="4" w:space="0" w:color="auto"/>
              <w:right w:val="single" w:sz="4" w:space="0" w:color="auto"/>
            </w:tcBorders>
            <w:noWrap/>
            <w:vAlign w:val="center"/>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A3"/>
            </w:r>
            <w:r>
              <w:rPr>
                <w:rFonts w:asciiTheme="minorHAnsi" w:hAnsiTheme="minorHAnsi"/>
              </w:rPr>
              <w:t xml:space="preserve"> 10</w:t>
            </w:r>
          </w:p>
        </w:tc>
      </w:tr>
      <w:tr w:rsidR="002412CC" w:rsidTr="002412CC">
        <w:trPr>
          <w:cantSplit/>
          <w:jc w:val="center"/>
        </w:trPr>
        <w:tc>
          <w:tcPr>
            <w:tcW w:w="133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Klasa 42,5</w:t>
            </w:r>
          </w:p>
        </w:tc>
        <w:tc>
          <w:tcPr>
            <w:tcW w:w="108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10</w:t>
            </w:r>
          </w:p>
        </w:tc>
        <w:tc>
          <w:tcPr>
            <w:tcW w:w="92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85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42,5</w:t>
            </w:r>
          </w:p>
        </w:tc>
        <w:tc>
          <w:tcPr>
            <w:tcW w:w="929"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A3"/>
            </w:r>
            <w:r>
              <w:rPr>
                <w:rFonts w:asciiTheme="minorHAnsi" w:hAnsiTheme="minorHAnsi"/>
              </w:rPr>
              <w:t xml:space="preserve"> 62,5</w:t>
            </w:r>
          </w:p>
        </w:tc>
        <w:tc>
          <w:tcPr>
            <w:tcW w:w="1800" w:type="dxa"/>
            <w:tcBorders>
              <w:top w:val="nil"/>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60</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r>
      <w:tr w:rsidR="002412CC" w:rsidTr="002412CC">
        <w:trPr>
          <w:cantSplit/>
          <w:jc w:val="center"/>
        </w:trPr>
        <w:tc>
          <w:tcPr>
            <w:tcW w:w="133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 xml:space="preserve">Klasa 52,5 </w:t>
            </w:r>
          </w:p>
        </w:tc>
        <w:tc>
          <w:tcPr>
            <w:tcW w:w="108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20</w:t>
            </w:r>
          </w:p>
        </w:tc>
        <w:tc>
          <w:tcPr>
            <w:tcW w:w="921"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85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52,5</w:t>
            </w:r>
          </w:p>
        </w:tc>
        <w:tc>
          <w:tcPr>
            <w:tcW w:w="929"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t>-</w:t>
            </w:r>
          </w:p>
        </w:tc>
        <w:tc>
          <w:tcPr>
            <w:tcW w:w="1800" w:type="dxa"/>
            <w:tcBorders>
              <w:top w:val="single" w:sz="4" w:space="0" w:color="auto"/>
              <w:left w:val="single" w:sz="4" w:space="0" w:color="auto"/>
              <w:bottom w:val="single" w:sz="4" w:space="0" w:color="auto"/>
              <w:right w:val="single" w:sz="4" w:space="0" w:color="auto"/>
            </w:tcBorders>
            <w:noWrap/>
            <w:hideMark/>
          </w:tcPr>
          <w:p w:rsidR="002412CC" w:rsidRDefault="002412CC">
            <w:pPr>
              <w:widowControl w:val="0"/>
              <w:tabs>
                <w:tab w:val="left" w:pos="9914"/>
              </w:tabs>
              <w:spacing w:line="276" w:lineRule="auto"/>
              <w:rPr>
                <w:rFonts w:asciiTheme="minorHAnsi" w:hAnsiTheme="minorHAnsi"/>
              </w:rPr>
            </w:pPr>
            <w:r>
              <w:rPr>
                <w:rFonts w:asciiTheme="minorHAnsi" w:hAnsiTheme="minorHAnsi"/>
              </w:rPr>
              <w:sym w:font="Symbol" w:char="F0B3"/>
            </w:r>
            <w:r>
              <w:rPr>
                <w:rFonts w:asciiTheme="minorHAnsi" w:hAnsiTheme="minorHAnsi"/>
              </w:rPr>
              <w:t xml:space="preserve"> 45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412CC" w:rsidRDefault="002412CC">
            <w:pPr>
              <w:autoSpaceDE/>
              <w:autoSpaceDN/>
              <w:adjustRightInd/>
              <w:rPr>
                <w:rFonts w:asciiTheme="minorHAnsi" w:hAnsiTheme="minorHAnsi"/>
              </w:rPr>
            </w:pPr>
          </w:p>
        </w:tc>
      </w:tr>
    </w:tbl>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Nie dopuszcza się obecności grudek gliny.</w:t>
      </w:r>
    </w:p>
    <w:p w:rsidR="002412CC" w:rsidRDefault="002412CC" w:rsidP="002412CC">
      <w:pPr>
        <w:tabs>
          <w:tab w:val="left" w:pos="9914"/>
        </w:tabs>
        <w:rPr>
          <w:rFonts w:asciiTheme="minorHAnsi" w:hAnsiTheme="minorHAnsi"/>
        </w:rPr>
      </w:pPr>
      <w:r>
        <w:rPr>
          <w:rFonts w:asciiTheme="minorHAnsi" w:hAnsiTheme="minorHAnsi"/>
        </w:rPr>
        <w:lastRenderedPageBreak/>
        <w:t>W przypadku gdy:</w:t>
      </w:r>
    </w:p>
    <w:p w:rsidR="002412CC" w:rsidRDefault="002412CC" w:rsidP="002412CC">
      <w:pPr>
        <w:tabs>
          <w:tab w:val="left" w:pos="9914"/>
        </w:tabs>
        <w:rPr>
          <w:rFonts w:asciiTheme="minorHAnsi" w:hAnsiTheme="minorHAnsi"/>
        </w:rPr>
      </w:pPr>
      <w:r>
        <w:rPr>
          <w:rFonts w:asciiTheme="minorHAnsi" w:hAnsiTheme="minorHAnsi"/>
        </w:rPr>
        <w:t>czas wiązania lub zmiany objętości nie odpowiadają PN-EN 196-3:1996,</w:t>
      </w:r>
    </w:p>
    <w:p w:rsidR="002412CC" w:rsidRDefault="002412CC" w:rsidP="002412CC">
      <w:pPr>
        <w:tabs>
          <w:tab w:val="left" w:pos="9914"/>
        </w:tabs>
        <w:rPr>
          <w:rFonts w:asciiTheme="minorHAnsi" w:hAnsiTheme="minorHAnsi"/>
        </w:rPr>
      </w:pPr>
      <w:r>
        <w:rPr>
          <w:rFonts w:asciiTheme="minorHAnsi" w:hAnsiTheme="minorHAnsi"/>
        </w:rPr>
        <w:t>cement przechowywany jest niezgodnie z postanowieniami PN-EN 197-1:2002,</w:t>
      </w:r>
    </w:p>
    <w:p w:rsidR="002412CC" w:rsidRDefault="002412CC" w:rsidP="002412CC">
      <w:pPr>
        <w:tabs>
          <w:tab w:val="left" w:pos="9914"/>
        </w:tabs>
        <w:rPr>
          <w:rFonts w:asciiTheme="minorHAnsi" w:hAnsiTheme="minorHAnsi"/>
        </w:rPr>
      </w:pPr>
      <w:r>
        <w:rPr>
          <w:rFonts w:asciiTheme="minorHAnsi" w:hAnsiTheme="minorHAnsi"/>
        </w:rPr>
        <w:t>okres przechowywania cementu jest dłuższy niż podano w PN-EN 197-1:2002,</w:t>
      </w:r>
    </w:p>
    <w:p w:rsidR="002412CC" w:rsidRDefault="002412CC" w:rsidP="002412CC">
      <w:pPr>
        <w:tabs>
          <w:tab w:val="left" w:pos="9914"/>
        </w:tabs>
        <w:rPr>
          <w:rFonts w:asciiTheme="minorHAnsi" w:hAnsiTheme="minorHAnsi"/>
        </w:rPr>
      </w:pPr>
      <w:r>
        <w:rPr>
          <w:rFonts w:asciiTheme="minorHAnsi" w:hAnsiTheme="minorHAnsi"/>
        </w:rPr>
        <w:t>obowiązuje oznaczenie wytrzymałości cementu na ściskanie wg PN-EN 196-1:1996.</w:t>
      </w:r>
    </w:p>
    <w:p w:rsidR="002412CC" w:rsidRDefault="002412CC" w:rsidP="002412CC">
      <w:pPr>
        <w:tabs>
          <w:tab w:val="left" w:pos="9914"/>
        </w:tabs>
        <w:rPr>
          <w:rFonts w:asciiTheme="minorHAnsi" w:hAnsiTheme="minorHAnsi"/>
        </w:rPr>
      </w:pPr>
      <w:r>
        <w:rPr>
          <w:rFonts w:asciiTheme="minorHAnsi" w:hAnsiTheme="minorHAnsi"/>
        </w:rPr>
        <w:t>Przed użyciem kruszywa do wykonania mieszanki betonowej, dla każdej dostarczonej partii,  należy przeprowadzić kontrolę obejmującą:</w:t>
      </w:r>
    </w:p>
    <w:p w:rsidR="002412CC" w:rsidRDefault="002412CC" w:rsidP="002412CC">
      <w:pPr>
        <w:tabs>
          <w:tab w:val="left" w:pos="9914"/>
        </w:tabs>
        <w:rPr>
          <w:rFonts w:asciiTheme="minorHAnsi" w:hAnsiTheme="minorHAnsi"/>
        </w:rPr>
      </w:pPr>
      <w:r>
        <w:rPr>
          <w:rFonts w:asciiTheme="minorHAnsi" w:hAnsiTheme="minorHAnsi"/>
        </w:rPr>
        <w:t>oznaczenie składu ziarnowego wg PN-EN 933-2:2000,</w:t>
      </w:r>
    </w:p>
    <w:p w:rsidR="002412CC" w:rsidRDefault="002412CC" w:rsidP="002412CC">
      <w:pPr>
        <w:tabs>
          <w:tab w:val="left" w:pos="9914"/>
        </w:tabs>
        <w:rPr>
          <w:rFonts w:asciiTheme="minorHAnsi" w:hAnsiTheme="minorHAnsi"/>
        </w:rPr>
      </w:pPr>
      <w:r>
        <w:rPr>
          <w:rFonts w:asciiTheme="minorHAnsi" w:hAnsiTheme="minorHAnsi"/>
        </w:rPr>
        <w:t>oznaczenie kształtu ziarn wg PN-EN 933-4:2001 (dotyczy kruszywa grubego),</w:t>
      </w:r>
    </w:p>
    <w:p w:rsidR="002412CC" w:rsidRDefault="002412CC" w:rsidP="002412CC">
      <w:pPr>
        <w:tabs>
          <w:tab w:val="left" w:pos="9914"/>
        </w:tabs>
        <w:rPr>
          <w:rFonts w:asciiTheme="minorHAnsi" w:hAnsiTheme="minorHAnsi"/>
        </w:rPr>
      </w:pPr>
      <w:r>
        <w:rPr>
          <w:rFonts w:asciiTheme="minorHAnsi" w:hAnsiTheme="minorHAnsi"/>
        </w:rPr>
        <w:t>oznaczenie zawartości zanieczyszczeń obcych wg PN-76/B-06714.12,</w:t>
      </w:r>
    </w:p>
    <w:p w:rsidR="002412CC" w:rsidRDefault="002412CC" w:rsidP="002412CC">
      <w:pPr>
        <w:tabs>
          <w:tab w:val="left" w:pos="9914"/>
        </w:tabs>
        <w:rPr>
          <w:rFonts w:asciiTheme="minorHAnsi" w:hAnsiTheme="minorHAnsi"/>
        </w:rPr>
      </w:pPr>
      <w:r>
        <w:rPr>
          <w:rFonts w:asciiTheme="minorHAnsi" w:hAnsiTheme="minorHAnsi"/>
        </w:rPr>
        <w:t>oznaczenie zawartości grudek gliny (oznaczać jak zawartość zanieczyszczeń obcych),</w:t>
      </w:r>
    </w:p>
    <w:p w:rsidR="002412CC" w:rsidRDefault="002412CC" w:rsidP="002412CC">
      <w:pPr>
        <w:tabs>
          <w:tab w:val="left" w:pos="9914"/>
        </w:tabs>
        <w:rPr>
          <w:rFonts w:asciiTheme="minorHAnsi" w:hAnsiTheme="minorHAnsi"/>
        </w:rPr>
      </w:pPr>
      <w:r>
        <w:rPr>
          <w:rFonts w:asciiTheme="minorHAnsi" w:hAnsiTheme="minorHAnsi"/>
        </w:rPr>
        <w:t>oznaczenie zawartości pyłów mineralnych wg PN-78/B-06714.13.</w:t>
      </w:r>
    </w:p>
    <w:p w:rsidR="002412CC" w:rsidRDefault="002412CC" w:rsidP="002412CC">
      <w:pPr>
        <w:tabs>
          <w:tab w:val="left" w:pos="9914"/>
        </w:tabs>
        <w:rPr>
          <w:rFonts w:asciiTheme="minorHAnsi" w:hAnsiTheme="minorHAnsi"/>
        </w:rPr>
      </w:pPr>
      <w:r>
        <w:rPr>
          <w:rFonts w:asciiTheme="minorHAnsi" w:hAnsiTheme="minorHAnsi"/>
        </w:rPr>
        <w:t>Wyniki badań powinny być zgodne z wymaganiami podanymi w pkt 2.3.2.</w:t>
      </w:r>
    </w:p>
    <w:p w:rsidR="002412CC" w:rsidRDefault="002412CC" w:rsidP="002412CC">
      <w:pPr>
        <w:tabs>
          <w:tab w:val="left" w:pos="9914"/>
        </w:tabs>
        <w:rPr>
          <w:rFonts w:asciiTheme="minorHAnsi" w:hAnsiTheme="minorHAnsi"/>
        </w:rPr>
      </w:pPr>
      <w:r>
        <w:rPr>
          <w:rFonts w:asciiTheme="minorHAnsi" w:hAnsiTheme="minorHAnsi"/>
        </w:rPr>
        <w:t xml:space="preserve">Przed użyciem wody do wykonania mieszanki betonowej oraz w przypadku stwierdzenia zanieczyszczeń należy przeprowadzić badania zgodnie z PN-EN 1008:2004. </w:t>
      </w:r>
    </w:p>
    <w:p w:rsidR="002412CC" w:rsidRDefault="002412CC" w:rsidP="002412CC">
      <w:pPr>
        <w:tabs>
          <w:tab w:val="left" w:pos="9914"/>
        </w:tabs>
        <w:rPr>
          <w:rFonts w:asciiTheme="minorHAnsi" w:hAnsiTheme="minorHAnsi"/>
        </w:rPr>
      </w:pPr>
      <w:r>
        <w:rPr>
          <w:rFonts w:asciiTheme="minorHAnsi" w:hAnsiTheme="minorHAnsi"/>
        </w:rPr>
        <w:t>Dodatki i domieszki do betonu należy badać zgodnie z ich aprobatą techniczną wydaną przez IBDiM oraz PN-EN 934-2:2002.</w:t>
      </w:r>
    </w:p>
    <w:p w:rsidR="002412CC" w:rsidRDefault="002412CC" w:rsidP="002412CC">
      <w:pPr>
        <w:tabs>
          <w:tab w:val="left" w:pos="9914"/>
        </w:tabs>
        <w:rPr>
          <w:rFonts w:asciiTheme="minorHAnsi" w:hAnsiTheme="minorHAnsi"/>
        </w:rPr>
      </w:pPr>
      <w:r>
        <w:rPr>
          <w:rFonts w:asciiTheme="minorHAnsi" w:hAnsiTheme="minorHAnsi"/>
        </w:rPr>
        <w:t>Wszystkie dokumenty oraz wyniki badań Wykonawca przedstawi Inżynierowi do akceptacji.</w:t>
      </w:r>
    </w:p>
    <w:p w:rsidR="002412CC" w:rsidRDefault="002412CC" w:rsidP="002412CC">
      <w:pPr>
        <w:pStyle w:val="Nagwek4"/>
        <w:tabs>
          <w:tab w:val="left" w:pos="9914"/>
        </w:tabs>
        <w:rPr>
          <w:rFonts w:asciiTheme="minorHAnsi" w:hAnsiTheme="minorHAnsi"/>
        </w:rPr>
      </w:pPr>
      <w:r>
        <w:t>6.4. Kontrola jakości mieszanki betonowej i betonu</w:t>
      </w:r>
    </w:p>
    <w:p w:rsidR="002412CC" w:rsidRDefault="002412CC" w:rsidP="002412CC">
      <w:pPr>
        <w:tabs>
          <w:tab w:val="left" w:pos="9914"/>
        </w:tabs>
        <w:rPr>
          <w:rFonts w:asciiTheme="minorHAnsi" w:hAnsiTheme="minorHAnsi"/>
        </w:rPr>
      </w:pPr>
      <w:r>
        <w:rPr>
          <w:rFonts w:asciiTheme="minorHAnsi" w:hAnsiTheme="minorHAnsi"/>
          <w:b/>
        </w:rPr>
        <w:t>6.4.1</w:t>
      </w:r>
      <w:r>
        <w:rPr>
          <w:rFonts w:asciiTheme="minorHAnsi" w:hAnsiTheme="minorHAnsi"/>
        </w:rPr>
        <w:t>. Zakres kontroli</w:t>
      </w:r>
    </w:p>
    <w:p w:rsidR="002412CC" w:rsidRDefault="002412CC" w:rsidP="002412CC">
      <w:pPr>
        <w:tabs>
          <w:tab w:val="left" w:pos="9914"/>
        </w:tabs>
        <w:rPr>
          <w:rFonts w:asciiTheme="minorHAnsi" w:hAnsiTheme="minorHAnsi"/>
        </w:rPr>
      </w:pPr>
      <w:r>
        <w:rPr>
          <w:rFonts w:asciiTheme="minorHAnsi" w:hAnsiTheme="minorHAnsi"/>
        </w:rPr>
        <w:t>Kontroli podlegają następujące właściwości mieszanki betonowej:</w:t>
      </w:r>
    </w:p>
    <w:p w:rsidR="002412CC" w:rsidRDefault="002412CC" w:rsidP="002412CC">
      <w:pPr>
        <w:tabs>
          <w:tab w:val="left" w:pos="9914"/>
        </w:tabs>
        <w:rPr>
          <w:rFonts w:asciiTheme="minorHAnsi" w:hAnsiTheme="minorHAnsi"/>
        </w:rPr>
      </w:pPr>
      <w:r>
        <w:rPr>
          <w:rFonts w:asciiTheme="minorHAnsi" w:hAnsiTheme="minorHAnsi"/>
        </w:rPr>
        <w:t>konsystencja mieszanki betonowej,</w:t>
      </w:r>
    </w:p>
    <w:p w:rsidR="002412CC" w:rsidRDefault="002412CC" w:rsidP="002412CC">
      <w:pPr>
        <w:tabs>
          <w:tab w:val="left" w:pos="9914"/>
        </w:tabs>
        <w:rPr>
          <w:rFonts w:asciiTheme="minorHAnsi" w:hAnsiTheme="minorHAnsi"/>
        </w:rPr>
      </w:pPr>
      <w:r>
        <w:rPr>
          <w:rFonts w:asciiTheme="minorHAnsi" w:hAnsiTheme="minorHAnsi"/>
        </w:rPr>
        <w:t>zawartość powietrza w mieszance betonowej,</w:t>
      </w:r>
    </w:p>
    <w:p w:rsidR="002412CC" w:rsidRDefault="002412CC" w:rsidP="002412CC">
      <w:pPr>
        <w:tabs>
          <w:tab w:val="left" w:pos="9914"/>
        </w:tabs>
        <w:rPr>
          <w:rFonts w:asciiTheme="minorHAnsi" w:hAnsiTheme="minorHAnsi"/>
        </w:rPr>
      </w:pPr>
      <w:r>
        <w:rPr>
          <w:rFonts w:asciiTheme="minorHAnsi" w:hAnsiTheme="minorHAnsi"/>
        </w:rPr>
        <w:t>oraz betonu:</w:t>
      </w:r>
    </w:p>
    <w:p w:rsidR="002412CC" w:rsidRDefault="002412CC" w:rsidP="002412CC">
      <w:pPr>
        <w:tabs>
          <w:tab w:val="left" w:pos="9914"/>
        </w:tabs>
        <w:rPr>
          <w:rFonts w:asciiTheme="minorHAnsi" w:hAnsiTheme="minorHAnsi"/>
        </w:rPr>
      </w:pPr>
      <w:r>
        <w:rPr>
          <w:rFonts w:asciiTheme="minorHAnsi" w:hAnsiTheme="minorHAnsi"/>
        </w:rPr>
        <w:t>wytrzymałość betonu na ściskanie,</w:t>
      </w:r>
    </w:p>
    <w:p w:rsidR="002412CC" w:rsidRDefault="002412CC" w:rsidP="002412CC">
      <w:pPr>
        <w:tabs>
          <w:tab w:val="left" w:pos="9914"/>
        </w:tabs>
        <w:rPr>
          <w:rFonts w:asciiTheme="minorHAnsi" w:hAnsiTheme="minorHAnsi"/>
        </w:rPr>
      </w:pPr>
      <w:r>
        <w:rPr>
          <w:rFonts w:asciiTheme="minorHAnsi" w:hAnsiTheme="minorHAnsi"/>
        </w:rPr>
        <w:t>nasiąkliwość betonu,</w:t>
      </w:r>
    </w:p>
    <w:p w:rsidR="002412CC" w:rsidRDefault="002412CC" w:rsidP="002412CC">
      <w:pPr>
        <w:tabs>
          <w:tab w:val="left" w:pos="9914"/>
        </w:tabs>
        <w:rPr>
          <w:rFonts w:asciiTheme="minorHAnsi" w:hAnsiTheme="minorHAnsi"/>
        </w:rPr>
      </w:pPr>
      <w:r>
        <w:rPr>
          <w:rFonts w:asciiTheme="minorHAnsi" w:hAnsiTheme="minorHAnsi"/>
        </w:rPr>
        <w:t>odporność betonu na działanie mrozu,</w:t>
      </w:r>
    </w:p>
    <w:p w:rsidR="002412CC" w:rsidRDefault="002412CC" w:rsidP="002412CC">
      <w:pPr>
        <w:tabs>
          <w:tab w:val="left" w:pos="9914"/>
        </w:tabs>
        <w:rPr>
          <w:rFonts w:asciiTheme="minorHAnsi" w:hAnsiTheme="minorHAnsi"/>
        </w:rPr>
      </w:pPr>
      <w:r>
        <w:rPr>
          <w:rFonts w:asciiTheme="minorHAnsi" w:hAnsiTheme="minorHAnsi"/>
        </w:rPr>
        <w:t>przepuszczalność wody przez beton.</w:t>
      </w:r>
    </w:p>
    <w:p w:rsidR="002412CC" w:rsidRDefault="002412CC" w:rsidP="002412CC">
      <w:pPr>
        <w:tabs>
          <w:tab w:val="left" w:pos="9914"/>
        </w:tabs>
        <w:rPr>
          <w:rFonts w:asciiTheme="minorHAnsi" w:hAnsiTheme="minorHAnsi"/>
        </w:rPr>
      </w:pPr>
      <w:r>
        <w:rPr>
          <w:rFonts w:asciiTheme="minorHAnsi" w:hAnsiTheme="minorHAnsi"/>
        </w:rPr>
        <w:t>Ilość pobieranych próbek do kontroli jakości betonu powinna być zgodna z wymaganiami podanymi w PN-88/B-06250 oraz w planie kontroli jakości betonu zawierającego m.in. podział obiektu (konstrukcji) na części podlegające osobnej ocenie oraz szczegółowe określenie liczebności i terminów pobierania próbek do kontroli jakości mieszanki i betonu. Plan kontroli jakości betonu podlega akceptacji Inżyniera. Projektant może określić dodatkowe wymagania dotyczące kontroli jakości betonu.</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6.4.2.</w:t>
      </w:r>
      <w:r>
        <w:rPr>
          <w:rFonts w:asciiTheme="minorHAnsi" w:hAnsiTheme="minorHAnsi"/>
        </w:rPr>
        <w:t xml:space="preserve"> Sprawdzenie konsystencji mieszanki betonowej</w:t>
      </w:r>
    </w:p>
    <w:p w:rsidR="002412CC" w:rsidRDefault="002412CC" w:rsidP="002412CC">
      <w:pPr>
        <w:tabs>
          <w:tab w:val="left" w:pos="9914"/>
        </w:tabs>
        <w:rPr>
          <w:rFonts w:asciiTheme="minorHAnsi" w:hAnsiTheme="minorHAnsi"/>
        </w:rPr>
      </w:pPr>
      <w:r>
        <w:rPr>
          <w:rFonts w:asciiTheme="minorHAnsi" w:hAnsiTheme="minorHAnsi"/>
        </w:rPr>
        <w:t>Sprawdzenie konsystencji przeprowadza się zgodnie z planem kontroli jakości betonu a także na próbkach laboratoryjnych podczas projektowania składu mieszanki betonowej i następnie przy stanowisku betonowania, co najmniej 2 razy w czasie jednej zmiany roboczej, a w tym raz na jej początku. Badanie należy przeprowadzić zgodnie z PN-88/B-06250. Różnice pomiędzy przyjętą konsystencją mieszanki a kontrolowaną nie powinny przekroczyć wartości podanych w pkt. 2.4.1.</w:t>
      </w:r>
    </w:p>
    <w:p w:rsidR="002412CC" w:rsidRDefault="002412CC" w:rsidP="002412CC">
      <w:pPr>
        <w:tabs>
          <w:tab w:val="left" w:pos="9914"/>
        </w:tabs>
        <w:rPr>
          <w:rFonts w:asciiTheme="minorHAnsi" w:hAnsiTheme="minorHAnsi"/>
        </w:rPr>
      </w:pPr>
      <w:r>
        <w:rPr>
          <w:rFonts w:asciiTheme="minorHAnsi" w:hAnsiTheme="minorHAnsi"/>
        </w:rPr>
        <w:t>Dopuszcza się korygowanie konsystencji mieszanki betonowej wyłącznie poprzez zmianę zawartości zaczynu w mieszance, przy zachowaniu stałego stosunku wodno-cementowego w/c, ewentualnie przez zastosowanie domieszek chemicznych, zgodnie z pkt.  2.3.4 niniejszej specyfikacji technicznej.</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6.4.3</w:t>
      </w:r>
      <w:r>
        <w:rPr>
          <w:rFonts w:asciiTheme="minorHAnsi" w:hAnsiTheme="minorHAnsi"/>
        </w:rPr>
        <w:t>. Sprawdzenie zawartości powietrza w mieszance betonowej</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Sprawdzenie zawartości powietrza w mieszance betonowej przeprowadza się metodą ciśnieniową zgodnie z planem kontroli jakości betonu a także podczas projektowania składu mieszanki betonowej, a przy stosowaniu domieszek napowietrznych co najmniej raz w czasie zmiany roboczej podczas betonowania. Badanie to należy przeprowadzić używając przyrządu pomiarowego wg PN-85/B-04500 zgodnie z PN-88/B-06250.</w:t>
      </w:r>
    </w:p>
    <w:p w:rsidR="002412CC" w:rsidRDefault="002412CC" w:rsidP="002412CC">
      <w:pPr>
        <w:tabs>
          <w:tab w:val="left" w:pos="9914"/>
        </w:tabs>
        <w:rPr>
          <w:rFonts w:asciiTheme="minorHAnsi" w:hAnsiTheme="minorHAnsi"/>
        </w:rPr>
      </w:pPr>
      <w:r>
        <w:rPr>
          <w:rFonts w:asciiTheme="minorHAnsi" w:hAnsiTheme="minorHAnsi"/>
        </w:rPr>
        <w:t>Zawartość powietrza w zagęszczonej mieszance betonowej nie powinna przekraczać przedziałów wartości podanych w rozdz. 2.4.1 niniejszej specyfikacji.</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lastRenderedPageBreak/>
        <w:t>6.4.4.</w:t>
      </w:r>
      <w:r>
        <w:rPr>
          <w:rFonts w:asciiTheme="minorHAnsi" w:hAnsiTheme="minorHAnsi"/>
        </w:rPr>
        <w:t xml:space="preserve"> Sprawdzenie wytrzymałości betonu na ściskanie (klasy betonu)</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W celu sprawdzenia wytrzymałości betonu na ściskanie (klasy betonu) należy pobrać próbki o liczności określonej w planie kontroli jakości, lecz nie mniej niż:  6 próbek na partię betonu lub na jeden element obiektu (np. słup, podporę) o objętości do 50 m</w:t>
      </w:r>
      <w:r>
        <w:rPr>
          <w:rFonts w:asciiTheme="minorHAnsi" w:hAnsiTheme="minorHAnsi"/>
          <w:vertAlign w:val="superscript"/>
        </w:rPr>
        <w:t>3</w:t>
      </w:r>
      <w:r>
        <w:rPr>
          <w:rFonts w:asciiTheme="minorHAnsi" w:hAnsiTheme="minorHAnsi"/>
        </w:rPr>
        <w:t>, 12 próbek w przypadku elementów konstrukcji betonowych o objętości powyżej 50 m</w:t>
      </w:r>
      <w:r>
        <w:rPr>
          <w:rFonts w:asciiTheme="minorHAnsi" w:hAnsiTheme="minorHAnsi"/>
          <w:vertAlign w:val="superscript"/>
        </w:rPr>
        <w:t>3</w:t>
      </w:r>
      <w:r>
        <w:rPr>
          <w:rFonts w:asciiTheme="minorHAnsi" w:hAnsiTheme="minorHAnsi"/>
        </w:rPr>
        <w:t>, 1 próbkę na 100 zarobów, 1 próbkę na 50 m</w:t>
      </w:r>
      <w:r>
        <w:rPr>
          <w:rFonts w:asciiTheme="minorHAnsi" w:hAnsiTheme="minorHAnsi"/>
          <w:vertAlign w:val="superscript"/>
        </w:rPr>
        <w:t>3</w:t>
      </w:r>
      <w:r>
        <w:rPr>
          <w:rFonts w:asciiTheme="minorHAnsi" w:hAnsiTheme="minorHAnsi"/>
        </w:rPr>
        <w:t xml:space="preserve">, 1 próbkę na zmianę roboczą oraz 3 próbki na partię betonu. Próbki pobiera się przy stanowisku betonowania, losowo po jednej, równomiernie w okresie betonowania, a następnie przechowuje się i bada zgodnie z PN-88/B-06250. Ocenie podlegają wszystkie wyniki badania próbek pobranych z partii. </w:t>
      </w:r>
    </w:p>
    <w:p w:rsidR="002412CC" w:rsidRDefault="002412CC" w:rsidP="002412CC">
      <w:pPr>
        <w:tabs>
          <w:tab w:val="left" w:pos="9914"/>
        </w:tabs>
        <w:rPr>
          <w:rFonts w:asciiTheme="minorHAnsi" w:hAnsiTheme="minorHAnsi"/>
        </w:rPr>
      </w:pPr>
      <w:r>
        <w:rPr>
          <w:rFonts w:asciiTheme="minorHAnsi" w:hAnsiTheme="minorHAnsi"/>
        </w:rPr>
        <w:t xml:space="preserve">Typ próbek do badań wytrzymałości na ściskanie określono w normie PN-88/B-06250. W przypadku badania próbek innych niż podstawowe (sześcienne o boku 150 mm), wyniki należy sprowadzić do próbki podstawowej, stosując współczynniki przeliczeniowe wg PN-88/B-06250. </w:t>
      </w:r>
    </w:p>
    <w:p w:rsidR="002412CC" w:rsidRDefault="002412CC" w:rsidP="002412CC">
      <w:pPr>
        <w:tabs>
          <w:tab w:val="left" w:pos="9914"/>
        </w:tabs>
        <w:rPr>
          <w:rFonts w:asciiTheme="minorHAnsi" w:hAnsiTheme="minorHAnsi"/>
        </w:rPr>
      </w:pPr>
      <w:r>
        <w:rPr>
          <w:rFonts w:asciiTheme="minorHAnsi" w:hAnsiTheme="minorHAnsi"/>
        </w:rPr>
        <w:t>Do określonej klasy można zakwalifikować beton o określonej wytrzymałości gwarantowanej określonej wg PN-88/B-06250.</w:t>
      </w:r>
    </w:p>
    <w:p w:rsidR="002412CC" w:rsidRDefault="002412CC" w:rsidP="002412CC">
      <w:pPr>
        <w:tabs>
          <w:tab w:val="left" w:pos="9914"/>
        </w:tabs>
        <w:rPr>
          <w:rFonts w:asciiTheme="minorHAnsi" w:hAnsiTheme="minorHAnsi"/>
        </w:rPr>
      </w:pPr>
      <w:r>
        <w:rPr>
          <w:rFonts w:asciiTheme="minorHAnsi" w:hAnsiTheme="minorHAnsi"/>
        </w:rPr>
        <w:t xml:space="preserve">Badanie betonu, jeżeli dokumentacja projektowa nie zakłada inaczej, powinno być przeprowadzane na próbkach z betonu w wieku 28 dni. Jeżeli badanie jest przeprowadzane na próbkach o innym wieku, należy wynik sprowadzić do wytrzymałości odpowiadającej wiekowi betonu 28 dni, stosując współczynniki przeliczeniowe wg PN-88/B-06250. </w:t>
      </w:r>
    </w:p>
    <w:p w:rsidR="002412CC" w:rsidRDefault="002412CC" w:rsidP="002412CC">
      <w:pPr>
        <w:tabs>
          <w:tab w:val="left" w:pos="9914"/>
        </w:tabs>
        <w:rPr>
          <w:rFonts w:asciiTheme="minorHAnsi" w:hAnsiTheme="minorHAnsi"/>
          <w:b/>
        </w:rPr>
      </w:pPr>
    </w:p>
    <w:p w:rsidR="002412CC" w:rsidRDefault="002412CC" w:rsidP="002412CC">
      <w:pPr>
        <w:tabs>
          <w:tab w:val="left" w:pos="9914"/>
        </w:tabs>
        <w:rPr>
          <w:rFonts w:asciiTheme="minorHAnsi" w:hAnsiTheme="minorHAnsi"/>
        </w:rPr>
      </w:pPr>
      <w:r>
        <w:rPr>
          <w:rFonts w:asciiTheme="minorHAnsi" w:hAnsiTheme="minorHAnsi"/>
          <w:b/>
        </w:rPr>
        <w:t>6.4.5</w:t>
      </w:r>
      <w:r>
        <w:rPr>
          <w:rFonts w:asciiTheme="minorHAnsi" w:hAnsiTheme="minorHAnsi"/>
        </w:rPr>
        <w:t>. Sprawdzenie nasiąkliwości betonu</w:t>
      </w:r>
    </w:p>
    <w:p w:rsidR="002412CC" w:rsidRDefault="002412CC" w:rsidP="002412CC">
      <w:pPr>
        <w:tabs>
          <w:tab w:val="left" w:pos="9914"/>
        </w:tabs>
        <w:rPr>
          <w:rFonts w:asciiTheme="minorHAnsi" w:hAnsiTheme="minorHAnsi"/>
        </w:rPr>
      </w:pPr>
      <w:r>
        <w:rPr>
          <w:rFonts w:asciiTheme="minorHAnsi" w:hAnsiTheme="minorHAnsi"/>
        </w:rPr>
        <w:t>Badanie należy przeprowadzić zgodnie z PN-88/B-06250. Sprawdzenie nasiąkliwości betonu przeprowadza się na próbkach laboratoryjnych przy ustalaniu składu mieszanki betonowej oraz na próbkach pobranych przy stanowisku betonowania zgodnie z planem kontroli, lecz co najmniej 3 razy w okresie wykonywania obiektu oraz nie rzadziej niż 1 raz na 5 tys. m</w:t>
      </w:r>
      <w:r>
        <w:rPr>
          <w:rFonts w:asciiTheme="minorHAnsi" w:hAnsiTheme="minorHAnsi"/>
          <w:vertAlign w:val="superscript"/>
        </w:rPr>
        <w:t>3</w:t>
      </w:r>
      <w:r>
        <w:rPr>
          <w:rFonts w:asciiTheme="minorHAnsi" w:hAnsiTheme="minorHAnsi"/>
        </w:rPr>
        <w:t xml:space="preserve"> betonu.  Zaleca się badanie nasiąkliwości na próbkach wyciętych z konstrukcji. Oznaczanie nasiąkliwości na próbkach wyciętych z konstrukcji przeprowadza się zgodnie z planem kontroli, zaleca się wykonanie badania na co najmniej na 5 próbkach pobranych z wybranych losowo różnych miejsc konstrukcji, po 28 dniach dojrzewania betonu.</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6.4.6</w:t>
      </w:r>
      <w:r>
        <w:rPr>
          <w:rFonts w:asciiTheme="minorHAnsi" w:hAnsiTheme="minorHAnsi"/>
        </w:rPr>
        <w:t>. Sprawdzenie odporności betonu na działanie mrozu</w:t>
      </w:r>
    </w:p>
    <w:p w:rsidR="002412CC" w:rsidRDefault="002412CC" w:rsidP="002412CC">
      <w:pPr>
        <w:tabs>
          <w:tab w:val="left" w:pos="9914"/>
        </w:tabs>
        <w:rPr>
          <w:rFonts w:asciiTheme="minorHAnsi" w:hAnsiTheme="minorHAnsi"/>
        </w:rPr>
      </w:pPr>
      <w:r>
        <w:rPr>
          <w:rFonts w:asciiTheme="minorHAnsi" w:hAnsiTheme="minorHAnsi"/>
        </w:rPr>
        <w:t>Badanie należy przeprowadzić zgodnie z PN-88/B-06250. Sprawdzenie stopnia mrozoodporności betonu przeprowadza się na próbkach wykonanych w warunkach laboratoryjnych podczas ustalania składu mieszanki betonowej oraz na próbkach pobieranych przy stanowisku betonowania zgodnie z planem kontroli, lecz co najmniej 2 razy w okresie wykonywania obiektu oraz nie rzadziej niż 1 raz na 5 tys. m</w:t>
      </w:r>
      <w:r>
        <w:rPr>
          <w:rFonts w:asciiTheme="minorHAnsi" w:hAnsiTheme="minorHAnsi"/>
          <w:vertAlign w:val="superscript"/>
        </w:rPr>
        <w:t>3</w:t>
      </w:r>
      <w:r>
        <w:rPr>
          <w:rFonts w:asciiTheme="minorHAnsi" w:hAnsiTheme="minorHAnsi"/>
        </w:rPr>
        <w:t xml:space="preserve"> betonu. Zaleca się badanie mrozoodporności na próbkach wyciętych z konstrukcji, w liczbie wskazanej w planie kontroli. Do sprawdzania stopnia mrozoodporności betonu w elementach mających styczność ze środkami odmrażającymi, zaleca się stosowanie badania wg metody przyspieszonej (wg PN-88/B-06250).</w:t>
      </w:r>
    </w:p>
    <w:p w:rsidR="002412CC" w:rsidRDefault="002412CC" w:rsidP="002412CC">
      <w:pPr>
        <w:tabs>
          <w:tab w:val="left" w:pos="9914"/>
        </w:tabs>
        <w:rPr>
          <w:rFonts w:asciiTheme="minorHAnsi" w:hAnsiTheme="minorHAnsi"/>
        </w:rPr>
      </w:pPr>
      <w:r>
        <w:rPr>
          <w:rFonts w:asciiTheme="minorHAnsi" w:hAnsiTheme="minorHAnsi"/>
        </w:rPr>
        <w:t>W przypadku zastosowania dodatków i domieszek badanie odporności betonu na działanie mrozu powinno być wykonane wg PN-88/B-06250, z zastosowaniem wody oraz 2% roztworu solnego (NaCl), na oddzielnych próbkach.</w:t>
      </w:r>
    </w:p>
    <w:p w:rsidR="002412CC" w:rsidRDefault="002412CC" w:rsidP="002412CC">
      <w:pPr>
        <w:tabs>
          <w:tab w:val="left" w:pos="9914"/>
        </w:tabs>
        <w:rPr>
          <w:rFonts w:asciiTheme="minorHAnsi" w:hAnsiTheme="minorHAnsi"/>
        </w:rPr>
      </w:pPr>
      <w:r>
        <w:rPr>
          <w:rFonts w:asciiTheme="minorHAnsi" w:hAnsiTheme="minorHAnsi"/>
        </w:rPr>
        <w:t>Wymagany stopień mrozoodporności betonu F150 jest osiągnięty, jeśli spełnione są następujące warunki:</w:t>
      </w:r>
    </w:p>
    <w:p w:rsidR="002412CC" w:rsidRDefault="002412CC" w:rsidP="002412CC">
      <w:pPr>
        <w:tabs>
          <w:tab w:val="left" w:pos="9914"/>
        </w:tabs>
        <w:rPr>
          <w:rFonts w:asciiTheme="minorHAnsi" w:hAnsiTheme="minorHAnsi"/>
        </w:rPr>
      </w:pPr>
      <w:r>
        <w:rPr>
          <w:rFonts w:asciiTheme="minorHAnsi" w:hAnsiTheme="minorHAnsi"/>
        </w:rPr>
        <w:t>po badaniu metodą zwykłą, wg PN-88/B-06250:</w:t>
      </w:r>
    </w:p>
    <w:p w:rsidR="002412CC" w:rsidRDefault="002412CC" w:rsidP="002412CC">
      <w:pPr>
        <w:tabs>
          <w:tab w:val="left" w:pos="9914"/>
        </w:tabs>
        <w:rPr>
          <w:rFonts w:asciiTheme="minorHAnsi" w:hAnsiTheme="minorHAnsi"/>
        </w:rPr>
      </w:pPr>
      <w:r>
        <w:rPr>
          <w:rFonts w:asciiTheme="minorHAnsi" w:hAnsiTheme="minorHAnsi"/>
        </w:rPr>
        <w:t>próbka nie wykazuje pęknięć,</w:t>
      </w:r>
    </w:p>
    <w:p w:rsidR="002412CC" w:rsidRDefault="002412CC" w:rsidP="002412CC">
      <w:pPr>
        <w:tabs>
          <w:tab w:val="left" w:pos="9914"/>
        </w:tabs>
        <w:rPr>
          <w:rFonts w:asciiTheme="minorHAnsi" w:hAnsiTheme="minorHAnsi"/>
        </w:rPr>
      </w:pPr>
      <w:r>
        <w:rPr>
          <w:rFonts w:asciiTheme="minorHAnsi" w:hAnsiTheme="minorHAnsi"/>
        </w:rPr>
        <w:t>łączna masa ubytków betonu w postaci zniszczonych narożników i krawędzi, odprysków kruszywa itp. nie przekracza 5% masy próbek nie zamrażanych,</w:t>
      </w:r>
    </w:p>
    <w:p w:rsidR="002412CC" w:rsidRDefault="002412CC" w:rsidP="002412CC">
      <w:pPr>
        <w:tabs>
          <w:tab w:val="left" w:pos="9914"/>
        </w:tabs>
        <w:rPr>
          <w:rFonts w:asciiTheme="minorHAnsi" w:hAnsiTheme="minorHAnsi"/>
        </w:rPr>
      </w:pPr>
      <w:r>
        <w:rPr>
          <w:rFonts w:asciiTheme="minorHAnsi" w:hAnsiTheme="minorHAnsi"/>
        </w:rPr>
        <w:t>obniżenie wytrzymałości na ściskanie w stosunku do wytrzymałości próbek nie    zamrażanych nie jest większe niż 20%,</w:t>
      </w:r>
    </w:p>
    <w:p w:rsidR="002412CC" w:rsidRDefault="002412CC" w:rsidP="002412CC">
      <w:pPr>
        <w:tabs>
          <w:tab w:val="left" w:pos="9914"/>
        </w:tabs>
        <w:rPr>
          <w:rFonts w:asciiTheme="minorHAnsi" w:hAnsiTheme="minorHAnsi"/>
        </w:rPr>
      </w:pPr>
      <w:r>
        <w:rPr>
          <w:rFonts w:asciiTheme="minorHAnsi" w:hAnsiTheme="minorHAnsi"/>
        </w:rPr>
        <w:t>po badaniu metodą przyspieszoną wg PN-88/B-06250:</w:t>
      </w:r>
    </w:p>
    <w:p w:rsidR="002412CC" w:rsidRDefault="002412CC" w:rsidP="002412CC">
      <w:pPr>
        <w:tabs>
          <w:tab w:val="left" w:pos="9914"/>
        </w:tabs>
        <w:rPr>
          <w:rFonts w:asciiTheme="minorHAnsi" w:hAnsiTheme="minorHAnsi"/>
        </w:rPr>
      </w:pPr>
      <w:r>
        <w:rPr>
          <w:rFonts w:asciiTheme="minorHAnsi" w:hAnsiTheme="minorHAnsi"/>
        </w:rPr>
        <w:t xml:space="preserve">próbka nie wykazuje pęknięć, </w:t>
      </w:r>
    </w:p>
    <w:p w:rsidR="002412CC" w:rsidRDefault="002412CC" w:rsidP="002412CC">
      <w:pPr>
        <w:tabs>
          <w:tab w:val="left" w:pos="9914"/>
        </w:tabs>
        <w:rPr>
          <w:rFonts w:asciiTheme="minorHAnsi" w:hAnsiTheme="minorHAnsi"/>
        </w:rPr>
      </w:pPr>
      <w:r>
        <w:rPr>
          <w:rFonts w:asciiTheme="minorHAnsi" w:hAnsiTheme="minorHAnsi"/>
        </w:rPr>
        <w:t>ubytek objętości betonu w postaci złuszczeń, odłamków i odprysków nie przekracza w żadnej próbce wartości 0,05m</w:t>
      </w:r>
      <w:r>
        <w:rPr>
          <w:rFonts w:asciiTheme="minorHAnsi" w:hAnsiTheme="minorHAnsi"/>
          <w:vertAlign w:val="superscript"/>
        </w:rPr>
        <w:t>3</w:t>
      </w:r>
      <w:r>
        <w:rPr>
          <w:rFonts w:asciiTheme="minorHAnsi" w:hAnsiTheme="minorHAnsi"/>
        </w:rPr>
        <w:t>/m</w:t>
      </w:r>
      <w:r>
        <w:rPr>
          <w:rFonts w:asciiTheme="minorHAnsi" w:hAnsiTheme="minorHAnsi"/>
          <w:vertAlign w:val="superscript"/>
        </w:rPr>
        <w:t xml:space="preserve">2 </w:t>
      </w:r>
      <w:r>
        <w:rPr>
          <w:rFonts w:asciiTheme="minorHAnsi" w:hAnsiTheme="minorHAnsi"/>
        </w:rPr>
        <w:t xml:space="preserve">powierzchni zanurzonej w wodzie. </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6.4.7</w:t>
      </w:r>
      <w:r>
        <w:rPr>
          <w:rFonts w:asciiTheme="minorHAnsi" w:hAnsiTheme="minorHAnsi"/>
        </w:rPr>
        <w:t>. Sprawdzenie przepuszczalności wody przez beton (wodoszczelności betonu)</w:t>
      </w:r>
    </w:p>
    <w:p w:rsidR="002412CC" w:rsidRDefault="002412CC" w:rsidP="002412CC">
      <w:pPr>
        <w:tabs>
          <w:tab w:val="left" w:pos="9914"/>
        </w:tabs>
        <w:rPr>
          <w:rFonts w:asciiTheme="minorHAnsi" w:hAnsiTheme="minorHAnsi"/>
        </w:rPr>
      </w:pPr>
      <w:r>
        <w:rPr>
          <w:rFonts w:asciiTheme="minorHAnsi" w:hAnsiTheme="minorHAnsi"/>
        </w:rPr>
        <w:t xml:space="preserve">Badanie należy przeprowadzić zgodnie z PN-88/B-06250. Sprawdzenie stopnia wodoszczelności betonu przeprowadza się na próbkach wykonanych w warunkach laboratoryjnych podczas projektowania składu mieszanki betonowej oraz na próbkach pobieranych przy stanowisku betonowania zgodnie z planem kontroli, lecz co </w:t>
      </w:r>
      <w:r>
        <w:rPr>
          <w:rFonts w:asciiTheme="minorHAnsi" w:hAnsiTheme="minorHAnsi"/>
        </w:rPr>
        <w:lastRenderedPageBreak/>
        <w:t>najmniej 3 razy w okresie betonowania, ale nie rzadziej niż raz na 5000 m</w:t>
      </w:r>
      <w:r>
        <w:rPr>
          <w:rFonts w:asciiTheme="minorHAnsi" w:hAnsiTheme="minorHAnsi"/>
          <w:vertAlign w:val="superscript"/>
        </w:rPr>
        <w:t>3</w:t>
      </w:r>
      <w:r>
        <w:rPr>
          <w:rFonts w:asciiTheme="minorHAnsi" w:hAnsiTheme="minorHAnsi"/>
        </w:rPr>
        <w:t xml:space="preserve"> betonu. Dopuszcza się badanie wodoszczelności na próbkach wyciętych z konstrukcji, pod warunkiem, że nie spowoduje to obniżenia wodoszczelności obiektu. Wymagany stopień wodoszczelności betonu W8 jest osiągnięty, jeśli pod ciśnieniem wody równym 0,8 MPa w czterech na sześć próbek badanych zgodnie z PN-88/B-06250, nie stwierdza się oznak przesiąkania wody.</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6.4.8.</w:t>
      </w:r>
      <w:r>
        <w:rPr>
          <w:rFonts w:asciiTheme="minorHAnsi" w:hAnsiTheme="minorHAnsi"/>
        </w:rPr>
        <w:t xml:space="preserve"> Pobranie próbek i badanie</w:t>
      </w:r>
    </w:p>
    <w:p w:rsidR="002412CC" w:rsidRDefault="002412CC" w:rsidP="002412CC">
      <w:pPr>
        <w:tabs>
          <w:tab w:val="left" w:pos="9914"/>
        </w:tabs>
        <w:rPr>
          <w:rFonts w:asciiTheme="minorHAnsi" w:hAnsiTheme="minorHAnsi"/>
        </w:rPr>
      </w:pPr>
      <w:r>
        <w:rPr>
          <w:rFonts w:asciiTheme="minorHAnsi" w:hAnsiTheme="minorHAnsi"/>
        </w:rPr>
        <w:t xml:space="preserve">Na Wykonawcy spoczywa obowiązek zapewnienia wykonania badań laboratoryjnych przewidzianych normą PN-88/B-06250 i planem kontroli jakości oraz gromadzenie, przechowywanie i okazywanie Inżynierowi wszystkich wyników badań dotyczących jakości betonu i stosowanych materiałów. </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b/>
        </w:rPr>
        <w:t>6.4.9</w:t>
      </w:r>
      <w:r>
        <w:rPr>
          <w:rFonts w:asciiTheme="minorHAnsi" w:hAnsiTheme="minorHAnsi"/>
        </w:rPr>
        <w:t>. Badania nieniszczące betonu w konstrukcji</w:t>
      </w:r>
    </w:p>
    <w:p w:rsidR="002412CC" w:rsidRDefault="002412CC" w:rsidP="002412CC">
      <w:pPr>
        <w:tabs>
          <w:tab w:val="left" w:pos="9914"/>
        </w:tabs>
        <w:rPr>
          <w:rFonts w:asciiTheme="minorHAnsi" w:hAnsiTheme="minorHAnsi"/>
        </w:rPr>
      </w:pPr>
      <w:r>
        <w:rPr>
          <w:rFonts w:asciiTheme="minorHAnsi" w:hAnsiTheme="minorHAnsi"/>
        </w:rPr>
        <w:t>W przypadkach technicznie uzasadnionych Inżynier może zlecić przeprowadzenie badania betonu w konstrukcji.</w:t>
      </w:r>
    </w:p>
    <w:p w:rsidR="002412CC" w:rsidRDefault="002412CC" w:rsidP="002412CC">
      <w:pPr>
        <w:tabs>
          <w:tab w:val="left" w:pos="9914"/>
        </w:tabs>
        <w:rPr>
          <w:rFonts w:asciiTheme="minorHAnsi" w:hAnsiTheme="minorHAnsi"/>
        </w:rPr>
      </w:pPr>
      <w:r>
        <w:rPr>
          <w:rFonts w:asciiTheme="minorHAnsi" w:hAnsiTheme="minorHAnsi"/>
        </w:rPr>
        <w:t>Do badania betonu w konstrukcji mogą być wykorzystane następujące metody:</w:t>
      </w:r>
    </w:p>
    <w:p w:rsidR="002412CC" w:rsidRDefault="002412CC" w:rsidP="002412CC">
      <w:pPr>
        <w:tabs>
          <w:tab w:val="left" w:pos="9914"/>
        </w:tabs>
        <w:rPr>
          <w:rFonts w:asciiTheme="minorHAnsi" w:hAnsiTheme="minorHAnsi"/>
        </w:rPr>
      </w:pPr>
      <w:r>
        <w:rPr>
          <w:rFonts w:asciiTheme="minorHAnsi" w:hAnsiTheme="minorHAnsi"/>
        </w:rPr>
        <w:t xml:space="preserve">sklerometryczna (np. za pomocą młotka Schmidta wg PN-74/B-06262), </w:t>
      </w:r>
    </w:p>
    <w:p w:rsidR="002412CC" w:rsidRDefault="002412CC" w:rsidP="002412CC">
      <w:pPr>
        <w:tabs>
          <w:tab w:val="left" w:pos="9914"/>
        </w:tabs>
        <w:rPr>
          <w:rFonts w:asciiTheme="minorHAnsi" w:hAnsiTheme="minorHAnsi"/>
        </w:rPr>
      </w:pPr>
      <w:r>
        <w:rPr>
          <w:rFonts w:asciiTheme="minorHAnsi" w:hAnsiTheme="minorHAnsi"/>
        </w:rPr>
        <w:t>ultradźwiękowa (wg PN-74/B-06261),</w:t>
      </w:r>
    </w:p>
    <w:p w:rsidR="002412CC" w:rsidRDefault="002412CC" w:rsidP="002412CC">
      <w:pPr>
        <w:tabs>
          <w:tab w:val="left" w:pos="9914"/>
        </w:tabs>
        <w:rPr>
          <w:rFonts w:asciiTheme="minorHAnsi" w:hAnsiTheme="minorHAnsi"/>
        </w:rPr>
      </w:pPr>
      <w:r>
        <w:rPr>
          <w:rFonts w:asciiTheme="minorHAnsi" w:hAnsiTheme="minorHAnsi"/>
        </w:rPr>
        <w:t>lokalnie niszczące (np. metoda badań próbek wyciętych z konstrukcji),</w:t>
      </w:r>
    </w:p>
    <w:p w:rsidR="002412CC" w:rsidRDefault="002412CC" w:rsidP="002412CC">
      <w:pPr>
        <w:tabs>
          <w:tab w:val="left" w:pos="9914"/>
        </w:tabs>
        <w:rPr>
          <w:rFonts w:asciiTheme="minorHAnsi" w:hAnsiTheme="minorHAnsi"/>
        </w:rPr>
      </w:pPr>
      <w:r>
        <w:rPr>
          <w:rFonts w:asciiTheme="minorHAnsi" w:hAnsiTheme="minorHAnsi"/>
        </w:rPr>
        <w:t>inne metody badań pośrednich i bezpośrednich betonu w konstrukcji, pod warunkiem zweryfikowania proponowanej w nich kalibracji cech wytrzymałościowych w konstrukcji i na pobranych z konstrukcji odwiertach lub wykonanych wcześniej próbkach.</w:t>
      </w:r>
    </w:p>
    <w:p w:rsidR="002412CC" w:rsidRDefault="002412CC" w:rsidP="002412CC">
      <w:pPr>
        <w:pStyle w:val="Nagwek4"/>
        <w:tabs>
          <w:tab w:val="left" w:pos="9914"/>
        </w:tabs>
        <w:rPr>
          <w:rFonts w:asciiTheme="minorHAnsi" w:hAnsiTheme="minorHAnsi"/>
        </w:rPr>
      </w:pPr>
      <w:r>
        <w:t>6.5. Tolerancje wymiarów betonowych konstrukcji mostowych</w:t>
      </w:r>
    </w:p>
    <w:p w:rsidR="002412CC" w:rsidRDefault="002412CC" w:rsidP="002412CC">
      <w:pPr>
        <w:tabs>
          <w:tab w:val="left" w:pos="9914"/>
        </w:tabs>
        <w:rPr>
          <w:rFonts w:asciiTheme="minorHAnsi" w:hAnsiTheme="minorHAnsi"/>
        </w:rPr>
      </w:pPr>
      <w:r>
        <w:rPr>
          <w:rFonts w:asciiTheme="minorHAnsi" w:hAnsiTheme="minorHAnsi"/>
        </w:rPr>
        <w:t xml:space="preserve">Podane niżej tolerancje wymiarów można traktować jako miarodajne tylko wtedy, gdy dokumentacja projektowa albo ST nie przewidują inaczej. </w:t>
      </w:r>
    </w:p>
    <w:p w:rsidR="002412CC" w:rsidRDefault="002412CC" w:rsidP="002412CC">
      <w:pPr>
        <w:tabs>
          <w:tab w:val="left" w:pos="9914"/>
        </w:tabs>
        <w:rPr>
          <w:rFonts w:asciiTheme="minorHAnsi" w:hAnsiTheme="minorHAnsi"/>
        </w:rPr>
      </w:pPr>
      <w:r>
        <w:rPr>
          <w:rFonts w:asciiTheme="minorHAnsi" w:hAnsiTheme="minorHAnsi"/>
        </w:rPr>
        <w:t>Dopuszczalne odchyłki wymiarowe od określonych w dokumentacji projektowej wynoszą:</w:t>
      </w:r>
    </w:p>
    <w:p w:rsidR="002412CC" w:rsidRDefault="002412CC" w:rsidP="002412CC">
      <w:pPr>
        <w:tabs>
          <w:tab w:val="left" w:pos="9914"/>
        </w:tabs>
        <w:rPr>
          <w:rFonts w:asciiTheme="minorHAnsi" w:hAnsiTheme="minorHAnsi"/>
        </w:rPr>
      </w:pPr>
      <w:r>
        <w:rPr>
          <w:rFonts w:asciiTheme="minorHAnsi" w:hAnsiTheme="minorHAnsi"/>
        </w:rPr>
        <w:t xml:space="preserve">długość przęsła: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r>
        <w:rPr>
          <w:rFonts w:asciiTheme="minorHAnsi" w:hAnsiTheme="minorHAnsi"/>
        </w:rPr>
        <w:t xml:space="preserve">rozpiętość usytuowania łożysk: </w:t>
      </w:r>
      <w:r>
        <w:rPr>
          <w:rFonts w:asciiTheme="minorHAnsi" w:hAnsiTheme="minorHAnsi"/>
        </w:rPr>
        <w:sym w:font="Symbol" w:char="F0B1"/>
      </w:r>
      <w:r>
        <w:rPr>
          <w:rFonts w:asciiTheme="minorHAnsi" w:hAnsiTheme="minorHAnsi"/>
        </w:rPr>
        <w:t>1,0 cm,</w:t>
      </w:r>
    </w:p>
    <w:p w:rsidR="002412CC" w:rsidRDefault="002412CC" w:rsidP="002412CC">
      <w:pPr>
        <w:tabs>
          <w:tab w:val="left" w:pos="9914"/>
        </w:tabs>
        <w:rPr>
          <w:rFonts w:asciiTheme="minorHAnsi" w:hAnsiTheme="minorHAnsi"/>
        </w:rPr>
      </w:pPr>
      <w:r>
        <w:rPr>
          <w:rFonts w:asciiTheme="minorHAnsi" w:hAnsiTheme="minorHAnsi"/>
        </w:rPr>
        <w:t xml:space="preserve">oś podłużna w planie: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r>
        <w:rPr>
          <w:rFonts w:asciiTheme="minorHAnsi" w:hAnsiTheme="minorHAnsi"/>
        </w:rPr>
        <w:t xml:space="preserve">usytuowanie w planie belek podłużnych i poprzecznych: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r>
        <w:rPr>
          <w:rFonts w:asciiTheme="minorHAnsi" w:hAnsiTheme="minorHAnsi"/>
        </w:rPr>
        <w:t>wysokość dźwigara: +0,5% i -0,2%, lecz nie więcej niż 5 mm,</w:t>
      </w:r>
    </w:p>
    <w:p w:rsidR="002412CC" w:rsidRDefault="002412CC" w:rsidP="002412CC">
      <w:pPr>
        <w:tabs>
          <w:tab w:val="left" w:pos="9914"/>
        </w:tabs>
        <w:rPr>
          <w:rFonts w:asciiTheme="minorHAnsi" w:hAnsiTheme="minorHAnsi"/>
        </w:rPr>
      </w:pPr>
      <w:r>
        <w:rPr>
          <w:rFonts w:asciiTheme="minorHAnsi" w:hAnsiTheme="minorHAnsi"/>
        </w:rPr>
        <w:t>szerokość dźwigara: +0,4% i -0,2%, lecz nie więcej niż 3mm,</w:t>
      </w:r>
    </w:p>
    <w:p w:rsidR="002412CC" w:rsidRDefault="002412CC" w:rsidP="002412CC">
      <w:pPr>
        <w:tabs>
          <w:tab w:val="left" w:pos="9914"/>
        </w:tabs>
        <w:rPr>
          <w:rFonts w:asciiTheme="minorHAnsi" w:hAnsiTheme="minorHAnsi"/>
        </w:rPr>
      </w:pPr>
      <w:r>
        <w:rPr>
          <w:rFonts w:asciiTheme="minorHAnsi" w:hAnsiTheme="minorHAnsi"/>
        </w:rPr>
        <w:t xml:space="preserve">grubość płyt: +1% i -0,5%, lecz nie więcej niż  </w:t>
      </w:r>
      <w:r>
        <w:rPr>
          <w:rFonts w:asciiTheme="minorHAnsi" w:hAnsiTheme="minorHAnsi"/>
        </w:rPr>
        <w:sym w:font="Symbol" w:char="F0B1"/>
      </w:r>
      <w:r>
        <w:rPr>
          <w:rFonts w:asciiTheme="minorHAnsi" w:hAnsiTheme="minorHAnsi"/>
        </w:rPr>
        <w:t>0,5 cm,</w:t>
      </w:r>
    </w:p>
    <w:p w:rsidR="002412CC" w:rsidRDefault="002412CC" w:rsidP="002412CC">
      <w:pPr>
        <w:tabs>
          <w:tab w:val="left" w:pos="9914"/>
        </w:tabs>
        <w:rPr>
          <w:rFonts w:asciiTheme="minorHAnsi" w:hAnsiTheme="minorHAnsi"/>
        </w:rPr>
      </w:pPr>
      <w:r>
        <w:rPr>
          <w:rFonts w:asciiTheme="minorHAnsi" w:hAnsiTheme="minorHAnsi"/>
        </w:rPr>
        <w:t xml:space="preserve">rzędne wysokościowe: </w:t>
      </w:r>
      <w:r>
        <w:rPr>
          <w:rFonts w:asciiTheme="minorHAnsi" w:hAnsiTheme="minorHAnsi"/>
        </w:rPr>
        <w:sym w:font="Symbol" w:char="F0B1"/>
      </w:r>
      <w:r>
        <w:rPr>
          <w:rFonts w:asciiTheme="minorHAnsi" w:hAnsiTheme="minorHAnsi"/>
        </w:rPr>
        <w:t>1,0 cm,</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Tolerancje dla fundamentów:</w:t>
      </w:r>
    </w:p>
    <w:p w:rsidR="002412CC" w:rsidRDefault="002412CC" w:rsidP="002412CC">
      <w:pPr>
        <w:tabs>
          <w:tab w:val="left" w:pos="9914"/>
        </w:tabs>
        <w:rPr>
          <w:rFonts w:asciiTheme="minorHAnsi" w:hAnsiTheme="minorHAnsi"/>
        </w:rPr>
      </w:pPr>
      <w:r>
        <w:rPr>
          <w:rFonts w:asciiTheme="minorHAnsi" w:hAnsiTheme="minorHAnsi"/>
        </w:rPr>
        <w:t xml:space="preserve">usytuowanie w planie: </w:t>
      </w:r>
      <w:r>
        <w:rPr>
          <w:rFonts w:asciiTheme="minorHAnsi" w:hAnsiTheme="minorHAnsi"/>
        </w:rPr>
        <w:sym w:font="Symbol" w:char="F0B1"/>
      </w:r>
      <w:r>
        <w:rPr>
          <w:rFonts w:asciiTheme="minorHAnsi" w:hAnsiTheme="minorHAnsi"/>
        </w:rPr>
        <w:t xml:space="preserve">5,0 cm (dla fundamentów o szer. &lt; 2,0 m: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r>
        <w:rPr>
          <w:rFonts w:asciiTheme="minorHAnsi" w:hAnsiTheme="minorHAnsi"/>
        </w:rPr>
        <w:t xml:space="preserve"> rzędne wierzchu ławy: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r>
        <w:rPr>
          <w:rFonts w:asciiTheme="minorHAnsi" w:hAnsiTheme="minorHAnsi"/>
        </w:rPr>
        <w:t xml:space="preserve">płaszczyzny i krawędzie-  odchylenie od pionu: </w:t>
      </w:r>
      <w:r>
        <w:rPr>
          <w:rFonts w:asciiTheme="minorHAnsi" w:hAnsiTheme="minorHAnsi"/>
        </w:rPr>
        <w:sym w:font="Symbol" w:char="F0B1"/>
      </w:r>
      <w:r>
        <w:rPr>
          <w:rFonts w:asciiTheme="minorHAnsi" w:hAnsiTheme="minorHAnsi"/>
        </w:rPr>
        <w:t>2,0 cm,</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Tolerancje dla podpór masywnych i słupowych:</w:t>
      </w:r>
    </w:p>
    <w:p w:rsidR="002412CC" w:rsidRDefault="002412CC" w:rsidP="002412CC">
      <w:pPr>
        <w:tabs>
          <w:tab w:val="left" w:pos="9914"/>
        </w:tabs>
        <w:rPr>
          <w:rFonts w:asciiTheme="minorHAnsi" w:hAnsiTheme="minorHAnsi"/>
        </w:rPr>
      </w:pPr>
      <w:r>
        <w:rPr>
          <w:rFonts w:asciiTheme="minorHAnsi" w:hAnsiTheme="minorHAnsi"/>
        </w:rPr>
        <w:t>pochylenie ścian i słupów: 0,5% wysokości (jednak dla słupów nie więcej niż 1,5 cm),</w:t>
      </w:r>
    </w:p>
    <w:p w:rsidR="002412CC" w:rsidRDefault="002412CC" w:rsidP="002412CC">
      <w:pPr>
        <w:tabs>
          <w:tab w:val="left" w:pos="9914"/>
        </w:tabs>
        <w:rPr>
          <w:rFonts w:asciiTheme="minorHAnsi" w:hAnsiTheme="minorHAnsi"/>
        </w:rPr>
      </w:pPr>
      <w:r>
        <w:rPr>
          <w:rFonts w:asciiTheme="minorHAnsi" w:hAnsiTheme="minorHAnsi"/>
        </w:rPr>
        <w:t xml:space="preserve">wymiary w planie: </w:t>
      </w:r>
      <w:r>
        <w:rPr>
          <w:rFonts w:asciiTheme="minorHAnsi" w:hAnsiTheme="minorHAnsi"/>
        </w:rPr>
        <w:sym w:font="Symbol" w:char="F0B1"/>
      </w:r>
      <w:r>
        <w:rPr>
          <w:rFonts w:asciiTheme="minorHAnsi" w:hAnsiTheme="minorHAnsi"/>
        </w:rPr>
        <w:t xml:space="preserve">2,0 cm dla podpór masywnych, </w:t>
      </w:r>
      <w:r>
        <w:rPr>
          <w:rFonts w:asciiTheme="minorHAnsi" w:hAnsiTheme="minorHAnsi"/>
        </w:rPr>
        <w:sym w:font="Symbol" w:char="F0B1"/>
      </w:r>
      <w:r>
        <w:rPr>
          <w:rFonts w:asciiTheme="minorHAnsi" w:hAnsiTheme="minorHAnsi"/>
        </w:rPr>
        <w:t>1,0 cm dla podpór słupowych,</w:t>
      </w:r>
    </w:p>
    <w:p w:rsidR="002412CC" w:rsidRDefault="002412CC" w:rsidP="002412CC">
      <w:pPr>
        <w:tabs>
          <w:tab w:val="left" w:pos="9914"/>
        </w:tabs>
        <w:rPr>
          <w:rFonts w:asciiTheme="minorHAnsi" w:hAnsiTheme="minorHAnsi"/>
        </w:rPr>
      </w:pPr>
      <w:r>
        <w:rPr>
          <w:rFonts w:asciiTheme="minorHAnsi" w:hAnsiTheme="minorHAnsi"/>
        </w:rPr>
        <w:t xml:space="preserve">rzędne wierzchu podpory: </w:t>
      </w:r>
      <w:r>
        <w:rPr>
          <w:rFonts w:asciiTheme="minorHAnsi" w:hAnsiTheme="minorHAnsi"/>
        </w:rPr>
        <w:sym w:font="Symbol" w:char="F0B1"/>
      </w:r>
      <w:r>
        <w:rPr>
          <w:rFonts w:asciiTheme="minorHAnsi" w:hAnsiTheme="minorHAnsi"/>
        </w:rPr>
        <w:t>1,0 cm.</w:t>
      </w:r>
    </w:p>
    <w:p w:rsidR="002412CC" w:rsidRDefault="002412CC" w:rsidP="002412CC">
      <w:pPr>
        <w:pStyle w:val="Nagwek4"/>
        <w:tabs>
          <w:tab w:val="left" w:pos="9914"/>
        </w:tabs>
        <w:rPr>
          <w:rFonts w:asciiTheme="minorHAnsi" w:hAnsiTheme="minorHAnsi"/>
        </w:rPr>
      </w:pPr>
      <w:r>
        <w:t>6.6. Kontrola rusztowań i deskowań</w:t>
      </w:r>
    </w:p>
    <w:p w:rsidR="002412CC" w:rsidRDefault="002412CC" w:rsidP="002412CC">
      <w:pPr>
        <w:tabs>
          <w:tab w:val="left" w:pos="9914"/>
        </w:tabs>
        <w:rPr>
          <w:rFonts w:asciiTheme="minorHAnsi" w:hAnsiTheme="minorHAnsi"/>
        </w:rPr>
      </w:pPr>
      <w:r>
        <w:rPr>
          <w:rFonts w:asciiTheme="minorHAnsi" w:hAnsiTheme="minorHAnsi"/>
        </w:rPr>
        <w:t>Badania elementów rusztowań i deskowań należy przeprowadzać w zależności od użytego materiału zgodnie z:</w:t>
      </w:r>
    </w:p>
    <w:p w:rsidR="002412CC" w:rsidRDefault="002412CC" w:rsidP="002412CC">
      <w:pPr>
        <w:tabs>
          <w:tab w:val="left" w:pos="9914"/>
        </w:tabs>
        <w:rPr>
          <w:rFonts w:asciiTheme="minorHAnsi" w:hAnsiTheme="minorHAnsi"/>
        </w:rPr>
      </w:pPr>
      <w:r>
        <w:rPr>
          <w:rFonts w:asciiTheme="minorHAnsi" w:hAnsiTheme="minorHAnsi"/>
        </w:rPr>
        <w:t>PN-89/S-10050 w przypadku elementów stalowych,</w:t>
      </w:r>
    </w:p>
    <w:p w:rsidR="002412CC" w:rsidRDefault="002412CC" w:rsidP="002412CC">
      <w:pPr>
        <w:tabs>
          <w:tab w:val="left" w:pos="9914"/>
        </w:tabs>
        <w:rPr>
          <w:rFonts w:asciiTheme="minorHAnsi" w:hAnsiTheme="minorHAnsi"/>
        </w:rPr>
      </w:pPr>
      <w:r>
        <w:rPr>
          <w:rFonts w:asciiTheme="minorHAnsi" w:hAnsiTheme="minorHAnsi"/>
        </w:rPr>
        <w:t>PN-93/S-10080 w przypadku konstrukcji drewnianych.</w:t>
      </w:r>
    </w:p>
    <w:p w:rsidR="002412CC" w:rsidRDefault="002412CC" w:rsidP="002412CC">
      <w:pPr>
        <w:tabs>
          <w:tab w:val="left" w:pos="9914"/>
        </w:tabs>
        <w:rPr>
          <w:rFonts w:asciiTheme="minorHAnsi" w:hAnsiTheme="minorHAnsi"/>
        </w:rPr>
      </w:pPr>
      <w:r>
        <w:rPr>
          <w:rFonts w:asciiTheme="minorHAnsi" w:hAnsiTheme="minorHAnsi"/>
        </w:rPr>
        <w:t>Każde rusztowanie podlega odbiorowi, w czasie którego należy sprawdzać:</w:t>
      </w:r>
    </w:p>
    <w:p w:rsidR="002412CC" w:rsidRDefault="002412CC" w:rsidP="002412CC">
      <w:pPr>
        <w:tabs>
          <w:tab w:val="left" w:pos="9914"/>
        </w:tabs>
        <w:rPr>
          <w:rFonts w:asciiTheme="minorHAnsi" w:hAnsiTheme="minorHAnsi"/>
        </w:rPr>
      </w:pPr>
      <w:r>
        <w:rPr>
          <w:rFonts w:asciiTheme="minorHAnsi" w:hAnsiTheme="minorHAnsi"/>
        </w:rPr>
        <w:t>rodzaj użytego materiału na zgodność z projektem technologicznym,</w:t>
      </w:r>
    </w:p>
    <w:p w:rsidR="002412CC" w:rsidRDefault="002412CC" w:rsidP="002412CC">
      <w:pPr>
        <w:tabs>
          <w:tab w:val="left" w:pos="9914"/>
        </w:tabs>
        <w:rPr>
          <w:rFonts w:asciiTheme="minorHAnsi" w:hAnsiTheme="minorHAnsi"/>
        </w:rPr>
      </w:pPr>
      <w:r>
        <w:rPr>
          <w:rFonts w:asciiTheme="minorHAnsi" w:hAnsiTheme="minorHAnsi"/>
        </w:rPr>
        <w:t>łączniki, złącza,</w:t>
      </w:r>
    </w:p>
    <w:p w:rsidR="002412CC" w:rsidRDefault="002412CC" w:rsidP="002412CC">
      <w:pPr>
        <w:tabs>
          <w:tab w:val="left" w:pos="9914"/>
        </w:tabs>
        <w:rPr>
          <w:rFonts w:asciiTheme="minorHAnsi" w:hAnsiTheme="minorHAnsi"/>
        </w:rPr>
      </w:pPr>
      <w:r>
        <w:rPr>
          <w:rFonts w:asciiTheme="minorHAnsi" w:hAnsiTheme="minorHAnsi"/>
        </w:rPr>
        <w:t>poziomy górnych krawędzi przed obciążeniem i po obciążeniu oraz krawędzi dolnych stanowiących miarę odkształcalności posadowienia (niwelacyjnie),</w:t>
      </w:r>
    </w:p>
    <w:p w:rsidR="002412CC" w:rsidRDefault="002412CC" w:rsidP="002412CC">
      <w:pPr>
        <w:tabs>
          <w:tab w:val="left" w:pos="9914"/>
        </w:tabs>
        <w:rPr>
          <w:rFonts w:asciiTheme="minorHAnsi" w:hAnsiTheme="minorHAnsi"/>
        </w:rPr>
      </w:pPr>
      <w:r>
        <w:rPr>
          <w:rFonts w:asciiTheme="minorHAnsi" w:hAnsiTheme="minorHAnsi"/>
        </w:rPr>
        <w:t>efektywność stężeń,</w:t>
      </w:r>
    </w:p>
    <w:p w:rsidR="002412CC" w:rsidRDefault="002412CC" w:rsidP="002412CC">
      <w:pPr>
        <w:tabs>
          <w:tab w:val="left" w:pos="9914"/>
        </w:tabs>
        <w:rPr>
          <w:rFonts w:asciiTheme="minorHAnsi" w:hAnsiTheme="minorHAnsi"/>
        </w:rPr>
      </w:pPr>
      <w:r>
        <w:rPr>
          <w:rFonts w:asciiTheme="minorHAnsi" w:hAnsiTheme="minorHAnsi"/>
        </w:rPr>
        <w:lastRenderedPageBreak/>
        <w:t>wielkość podniesienia wykonawczego,</w:t>
      </w:r>
    </w:p>
    <w:p w:rsidR="002412CC" w:rsidRDefault="002412CC" w:rsidP="002412CC">
      <w:pPr>
        <w:tabs>
          <w:tab w:val="left" w:pos="9914"/>
        </w:tabs>
        <w:rPr>
          <w:rFonts w:asciiTheme="minorHAnsi" w:hAnsiTheme="minorHAnsi"/>
        </w:rPr>
      </w:pPr>
      <w:r>
        <w:rPr>
          <w:rFonts w:asciiTheme="minorHAnsi" w:hAnsiTheme="minorHAnsi"/>
        </w:rPr>
        <w:t>przygotowanie podłoża i sposób przezywania nacisków na podłoże.</w:t>
      </w:r>
    </w:p>
    <w:p w:rsidR="002412CC" w:rsidRDefault="002412CC" w:rsidP="002412CC">
      <w:pPr>
        <w:tabs>
          <w:tab w:val="left" w:pos="9914"/>
        </w:tabs>
        <w:rPr>
          <w:rFonts w:asciiTheme="minorHAnsi" w:hAnsiTheme="minorHAnsi"/>
        </w:rPr>
      </w:pPr>
      <w:r>
        <w:rPr>
          <w:rFonts w:asciiTheme="minorHAnsi" w:hAnsiTheme="minorHAnsi"/>
        </w:rPr>
        <w:t>Każde deskowanie powinno podlegać odbiorowi. Przedmiotem kontroli w czasie odbioru powinny być:</w:t>
      </w:r>
    </w:p>
    <w:p w:rsidR="002412CC" w:rsidRDefault="002412CC" w:rsidP="002412CC">
      <w:pPr>
        <w:tabs>
          <w:tab w:val="left" w:pos="9914"/>
        </w:tabs>
        <w:rPr>
          <w:rFonts w:asciiTheme="minorHAnsi" w:hAnsiTheme="minorHAnsi"/>
        </w:rPr>
      </w:pPr>
      <w:r>
        <w:rPr>
          <w:rFonts w:asciiTheme="minorHAnsi" w:hAnsiTheme="minorHAnsi"/>
        </w:rPr>
        <w:t>rodzaj użytego materiału na zgodność z projektem technologicznym,</w:t>
      </w:r>
    </w:p>
    <w:p w:rsidR="002412CC" w:rsidRDefault="002412CC" w:rsidP="002412CC">
      <w:pPr>
        <w:tabs>
          <w:tab w:val="left" w:pos="9914"/>
        </w:tabs>
        <w:rPr>
          <w:rFonts w:asciiTheme="minorHAnsi" w:hAnsiTheme="minorHAnsi"/>
        </w:rPr>
      </w:pPr>
      <w:r>
        <w:rPr>
          <w:rFonts w:asciiTheme="minorHAnsi" w:hAnsiTheme="minorHAnsi"/>
        </w:rPr>
        <w:t>szczelność deskowań w płaszczyznach i narożach,</w:t>
      </w:r>
    </w:p>
    <w:p w:rsidR="002412CC" w:rsidRDefault="002412CC" w:rsidP="002412CC">
      <w:pPr>
        <w:tabs>
          <w:tab w:val="left" w:pos="9914"/>
        </w:tabs>
        <w:rPr>
          <w:rFonts w:asciiTheme="minorHAnsi" w:hAnsiTheme="minorHAnsi"/>
        </w:rPr>
      </w:pPr>
      <w:r>
        <w:rPr>
          <w:rFonts w:asciiTheme="minorHAnsi" w:hAnsiTheme="minorHAnsi"/>
        </w:rPr>
        <w:t>poziom górnej krawędzi i powierzchni deskowań przed betonowaniem i po nim oraz porównanie z poziomem wymaganym.</w:t>
      </w:r>
    </w:p>
    <w:p w:rsidR="002412CC" w:rsidRDefault="002412CC" w:rsidP="002412CC">
      <w:pPr>
        <w:tabs>
          <w:tab w:val="left" w:pos="9914"/>
        </w:tabs>
        <w:rPr>
          <w:rFonts w:asciiTheme="minorHAnsi" w:hAnsiTheme="minorHAnsi"/>
        </w:rPr>
      </w:pPr>
      <w:r>
        <w:rPr>
          <w:rFonts w:asciiTheme="minorHAnsi" w:hAnsiTheme="minorHAnsi"/>
        </w:rPr>
        <w:t xml:space="preserve">Rusztowania i deskowania w czasie betonowania powinny być przedmiotem kontroli geodezyjnej w nawiązaniu do niezależnych reperów. </w:t>
      </w:r>
    </w:p>
    <w:p w:rsidR="002412CC" w:rsidRDefault="002412CC" w:rsidP="002412CC">
      <w:pPr>
        <w:tabs>
          <w:tab w:val="left" w:pos="9914"/>
        </w:tabs>
        <w:rPr>
          <w:rFonts w:asciiTheme="minorHAnsi" w:hAnsiTheme="minorHAnsi"/>
        </w:rPr>
      </w:pPr>
      <w:r>
        <w:rPr>
          <w:rFonts w:asciiTheme="minorHAnsi" w:hAnsiTheme="minorHAnsi"/>
        </w:rPr>
        <w:t>Podczas budowy rusztowań i deskowań oraz podczas ich obciążania świeżym betonem powinny być prowadzone badania geodezyjne w nawiązaniu do reperów państwowych. Pomiary te powinny być prowadzone również w czasie dojrzewania betonu, oraz przy rozbiórce deskowań i rusztowań aż do wykonania próbnego obciążenia.</w:t>
      </w:r>
    </w:p>
    <w:p w:rsidR="002412CC" w:rsidRDefault="002412CC" w:rsidP="002412CC">
      <w:pPr>
        <w:pStyle w:val="Nagwek4"/>
        <w:tabs>
          <w:tab w:val="left" w:pos="9914"/>
        </w:tabs>
        <w:rPr>
          <w:rFonts w:asciiTheme="minorHAnsi" w:hAnsiTheme="minorHAnsi"/>
        </w:rPr>
      </w:pPr>
      <w:r>
        <w:t>6.7. Kontrola wykończenia powierzchni betonowych</w:t>
      </w:r>
    </w:p>
    <w:p w:rsidR="002412CC" w:rsidRDefault="002412CC" w:rsidP="002412CC">
      <w:pPr>
        <w:tabs>
          <w:tab w:val="left" w:pos="9914"/>
        </w:tabs>
        <w:rPr>
          <w:rFonts w:asciiTheme="minorHAnsi" w:hAnsiTheme="minorHAnsi"/>
        </w:rPr>
      </w:pPr>
      <w:r>
        <w:rPr>
          <w:rFonts w:asciiTheme="minorHAnsi" w:hAnsiTheme="minorHAnsi"/>
        </w:rPr>
        <w:t>Wszystkie widoczne powierzchnie betonowe powinny być gładkie i mieć jednolitą barwę i fakturę. Na powierzchniach tych nie mogą być widoczne żadne zabrudzenia, przebarwienia czy inne wady pozostawione przez wewnętrzną wykładzinę deskowań, która powinna być odpowiednio przymocowana do deskowania. Pęknięcia elementów konstrukcyjnych są niedopuszczalne. Dopuszcza się rysy skurczowe przy rozwarciu nie większym niż 0,2 mm; jeżeli otulina zbrojenia jest zgodna z PN-91/S-10042. Rysy te nie powinny przekraczać długości 1,0 m w kierunku podłużnym i połowy szerokości belki w kierunku poprzecznym, lecz nie więcej niż 0,5 m.</w:t>
      </w:r>
    </w:p>
    <w:p w:rsidR="002412CC" w:rsidRDefault="002412CC" w:rsidP="002412CC">
      <w:pPr>
        <w:tabs>
          <w:tab w:val="left" w:pos="9914"/>
        </w:tabs>
        <w:rPr>
          <w:rFonts w:asciiTheme="minorHAnsi" w:hAnsiTheme="minorHAnsi"/>
        </w:rPr>
      </w:pPr>
      <w:r>
        <w:rPr>
          <w:rFonts w:asciiTheme="minorHAnsi" w:hAnsiTheme="minorHAnsi"/>
        </w:rPr>
        <w:t>Należy wykluczyć pustki, raki i wykruszyny. Lokalne ubytki należy wypełnić betonem o minimalnym skurczu i wytrzymałości nie mniejszej niż wytrzymałość betonu w konstrukcji. Wszystkie nieprawidłowości wykończenia powierzchni muszą być naprawione przez Wykonawcę.</w:t>
      </w:r>
    </w:p>
    <w:p w:rsidR="002412CC" w:rsidRPr="00E5206A" w:rsidRDefault="002412CC" w:rsidP="00E5206A">
      <w:pPr>
        <w:pStyle w:val="Nagwek3"/>
      </w:pPr>
      <w:r w:rsidRPr="00E5206A">
        <w:t>7. Obmiar robót</w:t>
      </w:r>
    </w:p>
    <w:p w:rsidR="002412CC" w:rsidRDefault="002412CC" w:rsidP="002412CC">
      <w:pPr>
        <w:tabs>
          <w:tab w:val="left" w:pos="9914"/>
        </w:tabs>
        <w:rPr>
          <w:rFonts w:asciiTheme="minorHAnsi" w:hAnsiTheme="minorHAnsi"/>
        </w:rPr>
      </w:pPr>
      <w:r>
        <w:rPr>
          <w:rFonts w:asciiTheme="minorHAnsi" w:hAnsiTheme="minorHAnsi"/>
        </w:rPr>
        <w:t>Ogólne wymagania dotyczące obmiaru robót podano w STWiORB D-M.00.00.00 „Wymagania Ogólne”.</w:t>
      </w:r>
    </w:p>
    <w:p w:rsidR="002412CC" w:rsidRDefault="002412CC" w:rsidP="002412CC">
      <w:pPr>
        <w:tabs>
          <w:tab w:val="left" w:pos="9914"/>
        </w:tabs>
        <w:rPr>
          <w:rFonts w:asciiTheme="minorHAnsi" w:hAnsiTheme="minorHAnsi"/>
        </w:rPr>
      </w:pPr>
      <w:r>
        <w:rPr>
          <w:rFonts w:asciiTheme="minorHAnsi" w:hAnsiTheme="minorHAnsi"/>
        </w:rPr>
        <w:t>Jednostką obmiarową jest m</w:t>
      </w:r>
      <w:r>
        <w:rPr>
          <w:rFonts w:asciiTheme="minorHAnsi" w:hAnsiTheme="minorHAnsi"/>
          <w:vertAlign w:val="superscript"/>
        </w:rPr>
        <w:t>3</w:t>
      </w:r>
      <w:r>
        <w:rPr>
          <w:rFonts w:asciiTheme="minorHAnsi" w:hAnsiTheme="minorHAnsi"/>
        </w:rPr>
        <w:t xml:space="preserve"> (metr sześcienny) </w:t>
      </w:r>
    </w:p>
    <w:p w:rsidR="002412CC" w:rsidRPr="00E5206A" w:rsidRDefault="002412CC" w:rsidP="00E5206A">
      <w:pPr>
        <w:pStyle w:val="Nagwek3"/>
      </w:pPr>
      <w:r w:rsidRPr="00E5206A">
        <w:t>8. Odbiór robót</w:t>
      </w:r>
    </w:p>
    <w:p w:rsidR="002412CC" w:rsidRDefault="002412CC" w:rsidP="002412CC">
      <w:pPr>
        <w:pStyle w:val="Nagwek4"/>
        <w:tabs>
          <w:tab w:val="left" w:pos="9914"/>
        </w:tabs>
        <w:rPr>
          <w:rFonts w:asciiTheme="minorHAnsi" w:hAnsiTheme="minorHAnsi"/>
        </w:rPr>
      </w:pPr>
      <w:r>
        <w:t>8.1. Ogólne zasady odbioru robót</w:t>
      </w:r>
    </w:p>
    <w:p w:rsidR="002412CC" w:rsidRDefault="002412CC" w:rsidP="002412CC">
      <w:pPr>
        <w:tabs>
          <w:tab w:val="left" w:pos="9914"/>
        </w:tabs>
        <w:rPr>
          <w:rFonts w:asciiTheme="minorHAnsi" w:hAnsiTheme="minorHAnsi"/>
        </w:rPr>
      </w:pPr>
      <w:r>
        <w:rPr>
          <w:rFonts w:asciiTheme="minorHAnsi" w:hAnsiTheme="minorHAnsi"/>
        </w:rPr>
        <w:t>Ogólne zasady odbioru robót podano w STWiORB D-M-00.00.00 „Wymagania ogólne”, pkt 8</w:t>
      </w:r>
    </w:p>
    <w:p w:rsidR="002412CC" w:rsidRDefault="002412CC" w:rsidP="002412CC">
      <w:pPr>
        <w:tabs>
          <w:tab w:val="left" w:pos="9914"/>
        </w:tabs>
        <w:rPr>
          <w:rFonts w:asciiTheme="minorHAnsi" w:hAnsiTheme="minorHAnsi"/>
        </w:rPr>
      </w:pPr>
      <w:r>
        <w:rPr>
          <w:rFonts w:asciiTheme="minorHAnsi" w:hAnsiTheme="minorHAnsi"/>
        </w:rPr>
        <w:t>Roboty uznaje się za wykonane zgodnie z dokumentacją projektową, ST i wymaganiami Inżyniera, jeżeli wszystkie pomiary i badania z zachowaniem tolerancji wg punktu 6 dały wyniki pozytywne.</w:t>
      </w:r>
    </w:p>
    <w:p w:rsidR="002412CC" w:rsidRDefault="002412CC" w:rsidP="002412CC">
      <w:pPr>
        <w:pStyle w:val="Nagwek4"/>
        <w:tabs>
          <w:tab w:val="left" w:pos="9914"/>
        </w:tabs>
        <w:rPr>
          <w:rFonts w:asciiTheme="minorHAnsi" w:hAnsiTheme="minorHAnsi"/>
        </w:rPr>
      </w:pPr>
      <w:r>
        <w:t>8.2. Odbiór robót zanikających i ulegających zakryciu</w:t>
      </w:r>
    </w:p>
    <w:p w:rsidR="002412CC" w:rsidRDefault="002412CC" w:rsidP="002412CC">
      <w:pPr>
        <w:tabs>
          <w:tab w:val="left" w:pos="9914"/>
        </w:tabs>
        <w:rPr>
          <w:rFonts w:asciiTheme="minorHAnsi" w:hAnsiTheme="minorHAnsi"/>
        </w:rPr>
      </w:pPr>
      <w:r>
        <w:rPr>
          <w:rFonts w:asciiTheme="minorHAnsi" w:hAnsiTheme="minorHAnsi"/>
        </w:rPr>
        <w:t>Odbiorowi robót zanikających i ulegających zakryciu podlegają:</w:t>
      </w:r>
    </w:p>
    <w:p w:rsidR="002412CC" w:rsidRDefault="002412CC" w:rsidP="002412CC">
      <w:pPr>
        <w:tabs>
          <w:tab w:val="left" w:pos="9914"/>
        </w:tabs>
        <w:rPr>
          <w:rFonts w:asciiTheme="minorHAnsi" w:hAnsiTheme="minorHAnsi"/>
        </w:rPr>
      </w:pPr>
      <w:r>
        <w:rPr>
          <w:rFonts w:asciiTheme="minorHAnsi" w:hAnsiTheme="minorHAnsi"/>
        </w:rPr>
        <w:t>wykonanie deskowań i rusztowań,</w:t>
      </w:r>
    </w:p>
    <w:p w:rsidR="002412CC" w:rsidRDefault="002412CC" w:rsidP="002412CC">
      <w:pPr>
        <w:tabs>
          <w:tab w:val="left" w:pos="9914"/>
        </w:tabs>
        <w:rPr>
          <w:rFonts w:asciiTheme="minorHAnsi" w:hAnsiTheme="minorHAnsi"/>
        </w:rPr>
      </w:pPr>
      <w:r>
        <w:rPr>
          <w:rFonts w:asciiTheme="minorHAnsi" w:hAnsiTheme="minorHAnsi"/>
        </w:rPr>
        <w:t>wykonanie betonu w konstrukcjach ulegających zakryciu (np. fundamentów).</w:t>
      </w:r>
    </w:p>
    <w:p w:rsidR="002412CC" w:rsidRDefault="002412CC" w:rsidP="002412CC">
      <w:pPr>
        <w:tabs>
          <w:tab w:val="left" w:pos="9914"/>
        </w:tabs>
        <w:rPr>
          <w:rFonts w:asciiTheme="minorHAnsi" w:hAnsiTheme="minorHAnsi"/>
        </w:rPr>
      </w:pPr>
      <w:r>
        <w:rPr>
          <w:rFonts w:asciiTheme="minorHAnsi" w:hAnsiTheme="minorHAnsi"/>
        </w:rPr>
        <w:t>Odbiór tych robót powinien być zgodny z wymaganiami pktu 8.2 STWiORB D-M-00.00.00 „Wymagania ogólne“.</w:t>
      </w:r>
    </w:p>
    <w:p w:rsidR="002412CC" w:rsidRPr="00E5206A" w:rsidRDefault="002412CC" w:rsidP="00E5206A">
      <w:pPr>
        <w:pStyle w:val="Nagwek3"/>
      </w:pPr>
      <w:r w:rsidRPr="00E5206A">
        <w:t>9. Podstawa płatności</w:t>
      </w:r>
    </w:p>
    <w:p w:rsidR="002412CC" w:rsidRDefault="002412CC" w:rsidP="002412CC">
      <w:pPr>
        <w:tabs>
          <w:tab w:val="left" w:pos="9914"/>
        </w:tabs>
        <w:rPr>
          <w:rFonts w:asciiTheme="minorHAnsi" w:hAnsiTheme="minorHAnsi"/>
        </w:rPr>
      </w:pPr>
      <w:r>
        <w:rPr>
          <w:rFonts w:asciiTheme="minorHAnsi" w:hAnsiTheme="minorHAnsi"/>
        </w:rPr>
        <w:t>Ogólne wymagania dotyczące płatności podano w STWiORB D-M.00.00.00 "Wymagania ogólne".</w:t>
      </w:r>
    </w:p>
    <w:p w:rsidR="002412CC" w:rsidRDefault="002412CC" w:rsidP="002412CC">
      <w:pPr>
        <w:tabs>
          <w:tab w:val="left" w:pos="9914"/>
        </w:tabs>
        <w:rPr>
          <w:rFonts w:asciiTheme="minorHAnsi" w:hAnsiTheme="minorHAnsi"/>
        </w:rPr>
      </w:pPr>
      <w:r>
        <w:rPr>
          <w:rFonts w:asciiTheme="minorHAnsi" w:hAnsiTheme="minorHAnsi"/>
        </w:rPr>
        <w:t>Cena wykonania robót obejmuje w szczególności:</w:t>
      </w:r>
    </w:p>
    <w:p w:rsidR="002412CC" w:rsidRDefault="002412CC" w:rsidP="002412CC">
      <w:pPr>
        <w:tabs>
          <w:tab w:val="left" w:pos="9914"/>
        </w:tabs>
        <w:rPr>
          <w:rFonts w:asciiTheme="minorHAnsi" w:hAnsiTheme="minorHAnsi"/>
        </w:rPr>
      </w:pPr>
      <w:r>
        <w:rPr>
          <w:rFonts w:asciiTheme="minorHAnsi" w:hAnsiTheme="minorHAnsi"/>
        </w:rPr>
        <w:t>prace pomiarowe i roboty przygotowawcze,</w:t>
      </w:r>
    </w:p>
    <w:p w:rsidR="002412CC" w:rsidRDefault="002412CC" w:rsidP="002412CC">
      <w:pPr>
        <w:tabs>
          <w:tab w:val="left" w:pos="9914"/>
        </w:tabs>
        <w:rPr>
          <w:rFonts w:asciiTheme="minorHAnsi" w:hAnsiTheme="minorHAnsi"/>
        </w:rPr>
      </w:pPr>
      <w:r>
        <w:rPr>
          <w:rFonts w:asciiTheme="minorHAnsi" w:hAnsiTheme="minorHAnsi"/>
        </w:rPr>
        <w:t>oznakowanie robót,</w:t>
      </w:r>
    </w:p>
    <w:p w:rsidR="002412CC" w:rsidRDefault="002412CC" w:rsidP="002412CC">
      <w:pPr>
        <w:tabs>
          <w:tab w:val="left" w:pos="9914"/>
        </w:tabs>
        <w:rPr>
          <w:rFonts w:asciiTheme="minorHAnsi" w:hAnsiTheme="minorHAnsi"/>
        </w:rPr>
      </w:pPr>
      <w:r>
        <w:rPr>
          <w:rFonts w:asciiTheme="minorHAnsi" w:hAnsiTheme="minorHAnsi"/>
        </w:rPr>
        <w:t>dostarczenie materiałów i sprzętu,</w:t>
      </w:r>
    </w:p>
    <w:p w:rsidR="002412CC" w:rsidRDefault="002412CC" w:rsidP="002412CC">
      <w:pPr>
        <w:tabs>
          <w:tab w:val="left" w:pos="9914"/>
        </w:tabs>
        <w:rPr>
          <w:rFonts w:asciiTheme="minorHAnsi" w:hAnsiTheme="minorHAnsi"/>
        </w:rPr>
      </w:pPr>
      <w:r>
        <w:rPr>
          <w:rFonts w:asciiTheme="minorHAnsi" w:hAnsiTheme="minorHAnsi"/>
        </w:rPr>
        <w:t xml:space="preserve">wykonanie i uzgodnienia projektów technologicznych (w tym projektów deskowań i rusztowań), </w:t>
      </w:r>
    </w:p>
    <w:p w:rsidR="002412CC" w:rsidRDefault="002412CC" w:rsidP="002412CC">
      <w:pPr>
        <w:tabs>
          <w:tab w:val="left" w:pos="9914"/>
        </w:tabs>
        <w:rPr>
          <w:rFonts w:asciiTheme="minorHAnsi" w:hAnsiTheme="minorHAnsi"/>
        </w:rPr>
      </w:pPr>
      <w:r>
        <w:rPr>
          <w:rFonts w:asciiTheme="minorHAnsi" w:hAnsiTheme="minorHAnsi"/>
        </w:rPr>
        <w:t xml:space="preserve">wykonanie operatów wodnoprawnych dla konstrukcji tymczasowych (np. rusztowania) na czas robót nad rzekami i ciekami, uzyskanie wszelkich uzgodnień i pozwoleń, </w:t>
      </w:r>
    </w:p>
    <w:p w:rsidR="002412CC" w:rsidRDefault="002412CC" w:rsidP="002412CC">
      <w:pPr>
        <w:tabs>
          <w:tab w:val="left" w:pos="9914"/>
        </w:tabs>
        <w:rPr>
          <w:rFonts w:asciiTheme="minorHAnsi" w:hAnsiTheme="minorHAnsi"/>
        </w:rPr>
      </w:pPr>
      <w:r>
        <w:rPr>
          <w:rFonts w:asciiTheme="minorHAnsi" w:hAnsiTheme="minorHAnsi"/>
        </w:rPr>
        <w:t>opracowanie recept laboratoryjnych mieszanek betonowych,</w:t>
      </w:r>
    </w:p>
    <w:p w:rsidR="002412CC" w:rsidRDefault="002412CC" w:rsidP="002412CC">
      <w:pPr>
        <w:tabs>
          <w:tab w:val="left" w:pos="9914"/>
        </w:tabs>
        <w:rPr>
          <w:rFonts w:asciiTheme="minorHAnsi" w:hAnsiTheme="minorHAnsi"/>
        </w:rPr>
      </w:pPr>
      <w:r>
        <w:rPr>
          <w:rFonts w:asciiTheme="minorHAnsi" w:hAnsiTheme="minorHAnsi"/>
        </w:rPr>
        <w:t>wykonanie deskowania oraz rusztowania z pomostem,</w:t>
      </w:r>
    </w:p>
    <w:p w:rsidR="002412CC" w:rsidRDefault="002412CC" w:rsidP="002412CC">
      <w:pPr>
        <w:tabs>
          <w:tab w:val="left" w:pos="9914"/>
        </w:tabs>
        <w:rPr>
          <w:rFonts w:asciiTheme="minorHAnsi" w:hAnsiTheme="minorHAnsi"/>
        </w:rPr>
      </w:pPr>
      <w:r>
        <w:rPr>
          <w:rFonts w:asciiTheme="minorHAnsi" w:hAnsiTheme="minorHAnsi"/>
        </w:rPr>
        <w:lastRenderedPageBreak/>
        <w:t>oczyszczenie deskowania,</w:t>
      </w:r>
    </w:p>
    <w:p w:rsidR="002412CC" w:rsidRDefault="002412CC" w:rsidP="002412CC">
      <w:pPr>
        <w:tabs>
          <w:tab w:val="left" w:pos="9914"/>
        </w:tabs>
        <w:rPr>
          <w:rFonts w:asciiTheme="minorHAnsi" w:hAnsiTheme="minorHAnsi"/>
        </w:rPr>
      </w:pPr>
      <w:r>
        <w:rPr>
          <w:rFonts w:asciiTheme="minorHAnsi" w:hAnsiTheme="minorHAnsi"/>
        </w:rPr>
        <w:t>przygotowanie i transport mieszanki,</w:t>
      </w:r>
    </w:p>
    <w:p w:rsidR="002412CC" w:rsidRDefault="002412CC" w:rsidP="002412CC">
      <w:pPr>
        <w:tabs>
          <w:tab w:val="left" w:pos="9914"/>
        </w:tabs>
        <w:rPr>
          <w:rFonts w:asciiTheme="minorHAnsi" w:hAnsiTheme="minorHAnsi"/>
        </w:rPr>
      </w:pPr>
      <w:r>
        <w:rPr>
          <w:rFonts w:asciiTheme="minorHAnsi" w:hAnsiTheme="minorHAnsi"/>
        </w:rPr>
        <w:t xml:space="preserve">ułożenie mieszanki betonowej z zagęszczeniem i pielęgnacją, </w:t>
      </w:r>
    </w:p>
    <w:p w:rsidR="002412CC" w:rsidRDefault="002412CC" w:rsidP="002412CC">
      <w:pPr>
        <w:tabs>
          <w:tab w:val="left" w:pos="9914"/>
        </w:tabs>
        <w:rPr>
          <w:rFonts w:asciiTheme="minorHAnsi" w:hAnsiTheme="minorHAnsi"/>
        </w:rPr>
      </w:pPr>
      <w:r>
        <w:rPr>
          <w:rFonts w:asciiTheme="minorHAnsi" w:hAnsiTheme="minorHAnsi"/>
        </w:rPr>
        <w:t>przygotowanie betonu i wykonanie warstw sczepnych w przypadku przerw roboczych,</w:t>
      </w:r>
    </w:p>
    <w:p w:rsidR="002412CC" w:rsidRDefault="002412CC" w:rsidP="002412CC">
      <w:pPr>
        <w:tabs>
          <w:tab w:val="left" w:pos="9914"/>
        </w:tabs>
        <w:rPr>
          <w:rFonts w:asciiTheme="minorHAnsi" w:hAnsiTheme="minorHAnsi"/>
        </w:rPr>
      </w:pPr>
      <w:r>
        <w:rPr>
          <w:rFonts w:asciiTheme="minorHAnsi" w:hAnsiTheme="minorHAnsi"/>
        </w:rPr>
        <w:t>wykonanie dojazdów i stanowisk roboczych dla sprzętu,</w:t>
      </w:r>
    </w:p>
    <w:p w:rsidR="002412CC" w:rsidRDefault="002412CC" w:rsidP="002412CC">
      <w:pPr>
        <w:tabs>
          <w:tab w:val="left" w:pos="9914"/>
        </w:tabs>
        <w:rPr>
          <w:rFonts w:asciiTheme="minorHAnsi" w:hAnsiTheme="minorHAnsi"/>
        </w:rPr>
      </w:pPr>
      <w:r>
        <w:rPr>
          <w:rFonts w:asciiTheme="minorHAnsi" w:hAnsiTheme="minorHAnsi"/>
        </w:rPr>
        <w:t>wykonanie przerw dylatacyjnych,</w:t>
      </w:r>
    </w:p>
    <w:p w:rsidR="002412CC" w:rsidRDefault="002412CC" w:rsidP="002412CC">
      <w:pPr>
        <w:tabs>
          <w:tab w:val="left" w:pos="9914"/>
        </w:tabs>
        <w:rPr>
          <w:rFonts w:asciiTheme="minorHAnsi" w:hAnsiTheme="minorHAnsi"/>
        </w:rPr>
      </w:pPr>
      <w:r>
        <w:rPr>
          <w:rFonts w:asciiTheme="minorHAnsi" w:hAnsiTheme="minorHAnsi"/>
        </w:rPr>
        <w:t>wykonanie w konstrukcji wszystkich wymaganych dokumentacją projektową otworów jak również osadzenie potrzebnych zakotwień, marek, rur itp.,</w:t>
      </w:r>
    </w:p>
    <w:p w:rsidR="002412CC" w:rsidRDefault="002412CC" w:rsidP="002412CC">
      <w:pPr>
        <w:tabs>
          <w:tab w:val="left" w:pos="9914"/>
        </w:tabs>
        <w:rPr>
          <w:rFonts w:asciiTheme="minorHAnsi" w:hAnsiTheme="minorHAnsi"/>
        </w:rPr>
      </w:pPr>
      <w:r>
        <w:rPr>
          <w:rFonts w:asciiTheme="minorHAnsi" w:hAnsiTheme="minorHAnsi"/>
        </w:rPr>
        <w:t xml:space="preserve">rozbiórkę deskowań, rusztowań i pomostów, </w:t>
      </w:r>
    </w:p>
    <w:p w:rsidR="002412CC" w:rsidRDefault="002412CC" w:rsidP="002412CC">
      <w:pPr>
        <w:tabs>
          <w:tab w:val="left" w:pos="9914"/>
        </w:tabs>
        <w:rPr>
          <w:rFonts w:asciiTheme="minorHAnsi" w:hAnsiTheme="minorHAnsi"/>
        </w:rPr>
      </w:pPr>
      <w:r>
        <w:rPr>
          <w:rFonts w:asciiTheme="minorHAnsi" w:hAnsiTheme="minorHAnsi"/>
        </w:rPr>
        <w:t>oczyszczenie stanowiska pracy i usunięcie, będących własnością Wykonawcy, materiałów rozbiórkowych,</w:t>
      </w:r>
    </w:p>
    <w:p w:rsidR="002412CC" w:rsidRDefault="002412CC" w:rsidP="002412CC">
      <w:pPr>
        <w:tabs>
          <w:tab w:val="left" w:pos="9914"/>
        </w:tabs>
        <w:rPr>
          <w:rFonts w:asciiTheme="minorHAnsi" w:hAnsiTheme="minorHAnsi"/>
        </w:rPr>
      </w:pPr>
      <w:r>
        <w:rPr>
          <w:rFonts w:asciiTheme="minorHAnsi" w:hAnsiTheme="minorHAnsi"/>
        </w:rPr>
        <w:t>wykonanie badań i pomiarów wymaganych w specyfikacji technicznej,</w:t>
      </w:r>
    </w:p>
    <w:p w:rsidR="002412CC" w:rsidRDefault="002412CC" w:rsidP="002412CC">
      <w:pPr>
        <w:tabs>
          <w:tab w:val="left" w:pos="9914"/>
        </w:tabs>
        <w:rPr>
          <w:rFonts w:asciiTheme="minorHAnsi" w:hAnsiTheme="minorHAnsi"/>
        </w:rPr>
      </w:pPr>
      <w:r>
        <w:rPr>
          <w:rFonts w:asciiTheme="minorHAnsi" w:hAnsiTheme="minorHAnsi"/>
        </w:rPr>
        <w:t>odwiezienie sprzętu,</w:t>
      </w:r>
    </w:p>
    <w:p w:rsidR="002412CC" w:rsidRDefault="002412CC" w:rsidP="002412CC">
      <w:pPr>
        <w:tabs>
          <w:tab w:val="left" w:pos="9914"/>
        </w:tabs>
        <w:rPr>
          <w:rFonts w:asciiTheme="minorHAnsi" w:hAnsiTheme="minorHAnsi"/>
        </w:rPr>
      </w:pPr>
      <w:r>
        <w:rPr>
          <w:rFonts w:asciiTheme="minorHAnsi" w:hAnsiTheme="minorHAnsi"/>
        </w:rPr>
        <w:t>roboty tymczasowe, które są potrzebne do wykonania robót podstawowych,</w:t>
      </w:r>
    </w:p>
    <w:p w:rsidR="002412CC" w:rsidRDefault="002412CC" w:rsidP="002412CC">
      <w:pPr>
        <w:tabs>
          <w:tab w:val="left" w:pos="9914"/>
        </w:tabs>
        <w:rPr>
          <w:rFonts w:asciiTheme="minorHAnsi" w:hAnsiTheme="minorHAnsi"/>
        </w:rPr>
      </w:pPr>
      <w:r>
        <w:rPr>
          <w:rFonts w:asciiTheme="minorHAnsi" w:hAnsiTheme="minorHAnsi"/>
        </w:rPr>
        <w:t>prace towarzyszące, które są niezbędne do wykonania robót podstawowych.</w:t>
      </w:r>
    </w:p>
    <w:p w:rsidR="002412CC" w:rsidRPr="00E5206A" w:rsidRDefault="002412CC" w:rsidP="00E5206A">
      <w:pPr>
        <w:pStyle w:val="Nagwek3"/>
      </w:pPr>
      <w:r w:rsidRPr="00E5206A">
        <w:t>10. Przepisy związane</w:t>
      </w:r>
    </w:p>
    <w:p w:rsidR="002412CC" w:rsidRDefault="002412CC" w:rsidP="002412CC">
      <w:pPr>
        <w:tabs>
          <w:tab w:val="left" w:pos="9914"/>
        </w:tabs>
        <w:rPr>
          <w:rFonts w:asciiTheme="minorHAnsi" w:hAnsiTheme="minorHAnsi"/>
        </w:rPr>
      </w:pPr>
      <w:r>
        <w:rPr>
          <w:rFonts w:asciiTheme="minorHAnsi" w:hAnsiTheme="minorHAnsi"/>
        </w:rPr>
        <w:t>PN-EN 197-1:2002 Cement. Część 1: Skład, wymagania i kryteria zgodności dotyczące cementów powszechnego użytku</w:t>
      </w:r>
    </w:p>
    <w:p w:rsidR="002412CC" w:rsidRDefault="002412CC" w:rsidP="002412CC">
      <w:pPr>
        <w:tabs>
          <w:tab w:val="left" w:pos="9914"/>
        </w:tabs>
        <w:rPr>
          <w:rFonts w:asciiTheme="minorHAnsi" w:hAnsiTheme="minorHAnsi"/>
        </w:rPr>
      </w:pPr>
      <w:r>
        <w:rPr>
          <w:rFonts w:asciiTheme="minorHAnsi" w:hAnsiTheme="minorHAnsi"/>
        </w:rPr>
        <w:t>PN-EN 196-1:1996 Metody badania cementu – Oznaczanie wytrzymałości</w:t>
      </w:r>
    </w:p>
    <w:p w:rsidR="002412CC" w:rsidRDefault="002412CC" w:rsidP="002412CC">
      <w:pPr>
        <w:tabs>
          <w:tab w:val="left" w:pos="9914"/>
        </w:tabs>
        <w:rPr>
          <w:rFonts w:asciiTheme="minorHAnsi" w:hAnsiTheme="minorHAnsi"/>
        </w:rPr>
      </w:pPr>
      <w:r>
        <w:rPr>
          <w:rFonts w:asciiTheme="minorHAnsi" w:hAnsiTheme="minorHAnsi"/>
        </w:rPr>
        <w:t>PN-EN 196-3:1996 Metody badania cementu – Oznaczanie czasu wiązania i stałości  objętości</w:t>
      </w:r>
    </w:p>
    <w:p w:rsidR="002412CC" w:rsidRDefault="002412CC" w:rsidP="002412CC">
      <w:pPr>
        <w:tabs>
          <w:tab w:val="left" w:pos="9914"/>
        </w:tabs>
        <w:rPr>
          <w:rFonts w:asciiTheme="minorHAnsi" w:hAnsiTheme="minorHAnsi"/>
        </w:rPr>
      </w:pPr>
      <w:r>
        <w:rPr>
          <w:rFonts w:asciiTheme="minorHAnsi" w:hAnsiTheme="minorHAnsi"/>
        </w:rPr>
        <w:t>BN-88/6731-08 Cement. Transport i przechowywanie</w:t>
      </w:r>
    </w:p>
    <w:p w:rsidR="002412CC" w:rsidRDefault="002412CC" w:rsidP="002412CC">
      <w:pPr>
        <w:tabs>
          <w:tab w:val="left" w:pos="9914"/>
        </w:tabs>
        <w:rPr>
          <w:rFonts w:asciiTheme="minorHAnsi" w:hAnsiTheme="minorHAnsi"/>
        </w:rPr>
      </w:pPr>
      <w:r>
        <w:rPr>
          <w:rFonts w:asciiTheme="minorHAnsi" w:hAnsiTheme="minorHAnsi"/>
        </w:rPr>
        <w:t>PN-86/B-06712 Kruszywa mineralne do betonu</w:t>
      </w:r>
    </w:p>
    <w:p w:rsidR="002412CC" w:rsidRDefault="002412CC" w:rsidP="002412CC">
      <w:pPr>
        <w:tabs>
          <w:tab w:val="left" w:pos="9914"/>
        </w:tabs>
        <w:rPr>
          <w:rFonts w:asciiTheme="minorHAnsi" w:hAnsiTheme="minorHAnsi"/>
        </w:rPr>
      </w:pPr>
      <w:r>
        <w:rPr>
          <w:rFonts w:asciiTheme="minorHAnsi" w:hAnsiTheme="minorHAnsi"/>
        </w:rPr>
        <w:t>PN-91/B-06714.34 Kruszywa mineralne. Badania. Oznaczanie reaktywności alkalicznej</w:t>
      </w:r>
    </w:p>
    <w:p w:rsidR="002412CC" w:rsidRDefault="002412CC" w:rsidP="002412CC">
      <w:pPr>
        <w:tabs>
          <w:tab w:val="left" w:pos="9914"/>
        </w:tabs>
        <w:rPr>
          <w:rFonts w:asciiTheme="minorHAnsi" w:hAnsiTheme="minorHAnsi"/>
        </w:rPr>
      </w:pPr>
      <w:r>
        <w:rPr>
          <w:rFonts w:asciiTheme="minorHAnsi" w:hAnsiTheme="minorHAnsi"/>
        </w:rPr>
        <w:t>PN-B-11112:1996 Kruszywa mineralne. Kruszywa łamane do nawierzchni drogowych</w:t>
      </w:r>
    </w:p>
    <w:p w:rsidR="002412CC" w:rsidRDefault="002412CC" w:rsidP="002412CC">
      <w:pPr>
        <w:tabs>
          <w:tab w:val="left" w:pos="9914"/>
        </w:tabs>
        <w:rPr>
          <w:rFonts w:asciiTheme="minorHAnsi" w:hAnsiTheme="minorHAnsi"/>
        </w:rPr>
      </w:pPr>
      <w:r>
        <w:rPr>
          <w:rFonts w:asciiTheme="minorHAnsi" w:hAnsiTheme="minorHAnsi"/>
          <w:spacing w:val="-3"/>
        </w:rPr>
        <w:t>PN-EN 933-1:2000 Badanie geometrycznych właściwości kruszyw. Oznaczanie składu ziarnowego</w:t>
      </w:r>
    </w:p>
    <w:p w:rsidR="002412CC" w:rsidRDefault="002412CC" w:rsidP="002412CC">
      <w:pPr>
        <w:tabs>
          <w:tab w:val="left" w:pos="9914"/>
        </w:tabs>
        <w:rPr>
          <w:rFonts w:asciiTheme="minorHAnsi" w:hAnsiTheme="minorHAnsi"/>
        </w:rPr>
      </w:pPr>
      <w:r>
        <w:rPr>
          <w:rFonts w:asciiTheme="minorHAnsi" w:hAnsiTheme="minorHAnsi"/>
        </w:rPr>
        <w:t>PN-EN 933-4:2001 Badania geometrycznych właściwości kruszyw. Część 4. Oznaczanie kształtu ziarn</w:t>
      </w:r>
    </w:p>
    <w:p w:rsidR="002412CC" w:rsidRDefault="002412CC" w:rsidP="002412CC">
      <w:pPr>
        <w:tabs>
          <w:tab w:val="left" w:pos="9914"/>
        </w:tabs>
        <w:rPr>
          <w:rFonts w:asciiTheme="minorHAnsi" w:hAnsiTheme="minorHAnsi"/>
        </w:rPr>
      </w:pPr>
      <w:r>
        <w:rPr>
          <w:rFonts w:asciiTheme="minorHAnsi" w:hAnsiTheme="minorHAnsi"/>
        </w:rPr>
        <w:t>PN-76/B-06714.12 Kruszywa mineralne. Badania. Oznaczanie zawartości  zanieczyszczeń obcych</w:t>
      </w:r>
    </w:p>
    <w:p w:rsidR="002412CC" w:rsidRDefault="002412CC" w:rsidP="002412CC">
      <w:pPr>
        <w:tabs>
          <w:tab w:val="left" w:pos="9914"/>
        </w:tabs>
        <w:rPr>
          <w:rFonts w:asciiTheme="minorHAnsi" w:hAnsiTheme="minorHAnsi"/>
        </w:rPr>
      </w:pPr>
      <w:r>
        <w:rPr>
          <w:rFonts w:asciiTheme="minorHAnsi" w:hAnsiTheme="minorHAnsi"/>
        </w:rPr>
        <w:t>PN-78/B-06714.13 Kruszywa mineralne. Badania. Oznaczanie zawartości pyłów mineralnych</w:t>
      </w:r>
    </w:p>
    <w:p w:rsidR="002412CC" w:rsidRDefault="002412CC" w:rsidP="002412CC">
      <w:pPr>
        <w:tabs>
          <w:tab w:val="left" w:pos="9914"/>
        </w:tabs>
        <w:rPr>
          <w:rFonts w:asciiTheme="minorHAnsi" w:hAnsiTheme="minorHAnsi"/>
        </w:rPr>
      </w:pPr>
      <w:r>
        <w:rPr>
          <w:rFonts w:asciiTheme="minorHAnsi" w:hAnsiTheme="minorHAnsi"/>
        </w:rPr>
        <w:t>PN-EN 1097-6:2002 Badanie mechanicznych i fizycznych właściwości kruszyw - Część 6: Oznaczanie gęstości ziaren i nasiąkliwości</w:t>
      </w:r>
    </w:p>
    <w:p w:rsidR="002412CC" w:rsidRDefault="002412CC" w:rsidP="002412CC">
      <w:pPr>
        <w:tabs>
          <w:tab w:val="left" w:pos="9914"/>
        </w:tabs>
        <w:rPr>
          <w:rFonts w:asciiTheme="minorHAnsi" w:hAnsiTheme="minorHAnsi"/>
        </w:rPr>
      </w:pPr>
      <w:r>
        <w:rPr>
          <w:rFonts w:asciiTheme="minorHAnsi" w:hAnsiTheme="minorHAnsi"/>
        </w:rPr>
        <w:t>PN-EN 1008:2004 Woda zarobowa do betonu. Specyfikacja pobierania próbek, badanie i ocena przydatności wody zarobowej do betonu, w tym wody odzyskanej z procesów produkcji betonu</w:t>
      </w:r>
    </w:p>
    <w:p w:rsidR="002412CC" w:rsidRDefault="002412CC" w:rsidP="002412CC">
      <w:pPr>
        <w:tabs>
          <w:tab w:val="left" w:pos="9914"/>
        </w:tabs>
        <w:rPr>
          <w:rFonts w:asciiTheme="minorHAnsi" w:hAnsiTheme="minorHAnsi"/>
        </w:rPr>
      </w:pPr>
      <w:r>
        <w:rPr>
          <w:rFonts w:asciiTheme="minorHAnsi" w:hAnsiTheme="minorHAnsi"/>
        </w:rPr>
        <w:t>PN-88/B-06250 Beton zwykły</w:t>
      </w:r>
    </w:p>
    <w:p w:rsidR="002412CC" w:rsidRDefault="002412CC" w:rsidP="002412CC">
      <w:pPr>
        <w:tabs>
          <w:tab w:val="left" w:pos="9914"/>
        </w:tabs>
        <w:rPr>
          <w:rFonts w:asciiTheme="minorHAnsi" w:hAnsiTheme="minorHAnsi"/>
        </w:rPr>
      </w:pPr>
      <w:r>
        <w:rPr>
          <w:rFonts w:asciiTheme="minorHAnsi" w:hAnsiTheme="minorHAnsi"/>
        </w:rPr>
        <w:t>PN-76/P-79005 Opakowania transportowe. Worki papierowe</w:t>
      </w:r>
    </w:p>
    <w:p w:rsidR="002412CC" w:rsidRDefault="002412CC" w:rsidP="002412CC">
      <w:pPr>
        <w:tabs>
          <w:tab w:val="left" w:pos="9914"/>
        </w:tabs>
        <w:rPr>
          <w:rFonts w:asciiTheme="minorHAnsi" w:hAnsiTheme="minorHAnsi"/>
        </w:rPr>
      </w:pPr>
      <w:r>
        <w:rPr>
          <w:rFonts w:asciiTheme="minorHAnsi" w:hAnsiTheme="minorHAnsi"/>
        </w:rPr>
        <w:t>PN-99/S-10040 Obiekty  mostowe. Konstrukcje betonowe, żelbetowe i sprężone. Wymagania i badania</w:t>
      </w:r>
    </w:p>
    <w:p w:rsidR="002412CC" w:rsidRDefault="002412CC" w:rsidP="002412CC">
      <w:pPr>
        <w:tabs>
          <w:tab w:val="left" w:pos="9914"/>
        </w:tabs>
        <w:rPr>
          <w:rFonts w:asciiTheme="minorHAnsi" w:hAnsiTheme="minorHAnsi"/>
        </w:rPr>
      </w:pPr>
      <w:r>
        <w:rPr>
          <w:rFonts w:asciiTheme="minorHAnsi" w:hAnsiTheme="minorHAnsi"/>
        </w:rPr>
        <w:t>PN-91/S-10042 Obiekty mostowe.  Konstrukcje betonowe, żelbetowe i sprężone. Projektowanie</w:t>
      </w:r>
    </w:p>
    <w:p w:rsidR="002412CC" w:rsidRDefault="002412CC" w:rsidP="002412CC">
      <w:pPr>
        <w:tabs>
          <w:tab w:val="left" w:pos="9914"/>
        </w:tabs>
        <w:rPr>
          <w:rFonts w:asciiTheme="minorHAnsi" w:hAnsiTheme="minorHAnsi"/>
        </w:rPr>
      </w:pPr>
      <w:r>
        <w:rPr>
          <w:rFonts w:asciiTheme="minorHAnsi" w:hAnsiTheme="minorHAnsi"/>
        </w:rPr>
        <w:t>PN-85/B-04500 Zaprawy budowlane. Badanie cech fizycznych i wytrzymałościowych</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74/B</w:t>
      </w:r>
      <w:r>
        <w:rPr>
          <w:rFonts w:asciiTheme="minorHAnsi" w:hAnsiTheme="minorHAnsi"/>
        </w:rPr>
        <w:noBreakHyphen/>
        <w:t>06262 Nieniszczące badania konstrukcji z betonu. Metoda sklerometryczna badania wytrzymałości betonu na ściskanie za pomocą młotka</w:t>
      </w:r>
      <w:r>
        <w:rPr>
          <w:rFonts w:asciiTheme="minorHAnsi" w:hAnsiTheme="minorHAnsi"/>
          <w:i/>
        </w:rPr>
        <w:t xml:space="preserve"> Schmidta </w:t>
      </w:r>
      <w:r>
        <w:rPr>
          <w:rFonts w:asciiTheme="minorHAnsi" w:hAnsiTheme="minorHAnsi"/>
        </w:rPr>
        <w:t xml:space="preserve">typu </w:t>
      </w:r>
      <w:r>
        <w:rPr>
          <w:rFonts w:asciiTheme="minorHAnsi" w:hAnsiTheme="minorHAnsi"/>
          <w:i/>
        </w:rPr>
        <w:t>N</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74/B</w:t>
      </w:r>
      <w:r>
        <w:rPr>
          <w:rFonts w:asciiTheme="minorHAnsi" w:hAnsiTheme="minorHAnsi"/>
        </w:rPr>
        <w:noBreakHyphen/>
        <w:t>06261 Nieniszczące badania konstrukcji z betonu. Metoda ultradźwiękowa badania wytrzymałości betonu na ściskanie</w:t>
      </w:r>
    </w:p>
    <w:p w:rsidR="002412CC" w:rsidRDefault="002412CC" w:rsidP="002412CC">
      <w:pPr>
        <w:tabs>
          <w:tab w:val="left" w:pos="9914"/>
        </w:tabs>
        <w:rPr>
          <w:rFonts w:asciiTheme="minorHAnsi" w:hAnsiTheme="minorHAnsi"/>
        </w:rPr>
      </w:pPr>
      <w:r>
        <w:rPr>
          <w:rFonts w:asciiTheme="minorHAnsi" w:hAnsiTheme="minorHAnsi"/>
        </w:rPr>
        <w:t>PN-89/S-10050 Obiekty mostowe. Konstrukcje stalowe. Wymagania i badania</w:t>
      </w:r>
    </w:p>
    <w:p w:rsidR="002412CC" w:rsidRDefault="002412CC" w:rsidP="002412CC">
      <w:pPr>
        <w:tabs>
          <w:tab w:val="left" w:pos="9914"/>
        </w:tabs>
        <w:rPr>
          <w:rFonts w:asciiTheme="minorHAnsi" w:hAnsiTheme="minorHAnsi"/>
        </w:rPr>
      </w:pPr>
      <w:r>
        <w:rPr>
          <w:rFonts w:asciiTheme="minorHAnsi" w:hAnsiTheme="minorHAnsi"/>
        </w:rPr>
        <w:t>PN-93/S-10080 Obiekty mostowe. Konstrukcje drewniane. Wymagania i  badania</w:t>
      </w:r>
    </w:p>
    <w:p w:rsidR="002412CC" w:rsidRDefault="002412CC" w:rsidP="002412CC">
      <w:pPr>
        <w:tabs>
          <w:tab w:val="left" w:pos="9914"/>
        </w:tabs>
        <w:rPr>
          <w:rFonts w:asciiTheme="minorHAnsi" w:hAnsiTheme="minorHAnsi"/>
        </w:rPr>
      </w:pPr>
      <w:r>
        <w:rPr>
          <w:rFonts w:asciiTheme="minorHAnsi" w:hAnsiTheme="minorHAnsi"/>
        </w:rPr>
        <w:t>PN-EN 934-2:2002 Domieszki do betonu, zaprawy i zaczynu. Część 2. Domieszki do betonu. Definicje, wymagania, zgodność, znakowanie i etykietowanie</w:t>
      </w:r>
    </w:p>
    <w:p w:rsidR="002412CC" w:rsidRDefault="002412CC" w:rsidP="002412CC">
      <w:pPr>
        <w:tabs>
          <w:tab w:val="left" w:pos="9914"/>
        </w:tabs>
        <w:rPr>
          <w:rFonts w:asciiTheme="minorHAnsi" w:hAnsiTheme="minorHAnsi"/>
        </w:rPr>
      </w:pPr>
      <w:r>
        <w:rPr>
          <w:rFonts w:asciiTheme="minorHAnsi" w:hAnsiTheme="minorHAnsi"/>
        </w:rPr>
        <w:t>Rozporządzenie Ministra Transportu i Gospodarki Morskiej z dnia 30 maja 2000 r.  w sprawie warunków technicznych, jakim powinny odpowiadać obiekty inżynierskie i ich usytuowanie. Dz.U. nr 63, poz. 735</w:t>
      </w:r>
    </w:p>
    <w:p w:rsidR="002412CC" w:rsidRDefault="002412CC" w:rsidP="002412CC">
      <w:pPr>
        <w:tabs>
          <w:tab w:val="left" w:pos="9914"/>
        </w:tabs>
        <w:rPr>
          <w:rFonts w:asciiTheme="minorHAnsi" w:hAnsiTheme="minorHAnsi"/>
        </w:rPr>
      </w:pPr>
      <w:r>
        <w:rPr>
          <w:rFonts w:asciiTheme="minorHAnsi" w:hAnsiTheme="minorHAnsi"/>
        </w:rPr>
        <w:t>Zalecenia dotyczące stosowania domieszek i dodatków do betonów i zapraw w budownictwie komunikacyjnym. GDDP, 1998</w:t>
      </w: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2412CC">
      <w:pPr>
        <w:rPr>
          <w:rFonts w:asciiTheme="minorHAnsi" w:hAnsiTheme="minorHAnsi" w:cs="Arial"/>
        </w:rPr>
      </w:pPr>
    </w:p>
    <w:p w:rsidR="002412CC" w:rsidRDefault="002412CC" w:rsidP="00E5206A">
      <w:pPr>
        <w:pStyle w:val="Nagwek2"/>
      </w:pPr>
      <w:r>
        <w:lastRenderedPageBreak/>
        <w:t>SZCZEGÓŁOWA SPECYFIKACJA TECHNICZNA WYKONANIA I ODBIORU ROBÓT BUDOWLANYCH</w:t>
      </w:r>
    </w:p>
    <w:p w:rsidR="002412CC" w:rsidRPr="00E5206A" w:rsidRDefault="002412CC" w:rsidP="00E5206A">
      <w:pPr>
        <w:pStyle w:val="Nagwek1"/>
      </w:pPr>
      <w:bookmarkStart w:id="1378" w:name="_Toc425766147"/>
      <w:bookmarkStart w:id="1379" w:name="_Toc406569805"/>
      <w:bookmarkStart w:id="1380" w:name="_Toc406562994"/>
      <w:bookmarkStart w:id="1381" w:name="_Toc334095467"/>
      <w:bookmarkStart w:id="1382" w:name="_Toc333657281"/>
      <w:bookmarkStart w:id="1383" w:name="_Toc427178304"/>
      <w:bookmarkStart w:id="1384" w:name="_Toc459929689"/>
      <w:r w:rsidRPr="00E5206A">
        <w:t>ST.04.  IZOLACJE BITUMICZNE WYKONANE NA ZIMNO</w:t>
      </w:r>
      <w:bookmarkEnd w:id="1378"/>
      <w:bookmarkEnd w:id="1379"/>
      <w:bookmarkEnd w:id="1380"/>
      <w:bookmarkEnd w:id="1381"/>
      <w:bookmarkEnd w:id="1382"/>
      <w:bookmarkEnd w:id="1383"/>
      <w:bookmarkEnd w:id="1384"/>
    </w:p>
    <w:p w:rsidR="002412CC" w:rsidRPr="00E5206A" w:rsidRDefault="002412CC" w:rsidP="00E5206A">
      <w:pPr>
        <w:pStyle w:val="Nagwek3"/>
      </w:pPr>
      <w:r w:rsidRPr="00E5206A">
        <w:t>1. Wstęp</w:t>
      </w:r>
    </w:p>
    <w:p w:rsidR="002412CC" w:rsidRDefault="002412CC" w:rsidP="002412CC">
      <w:pPr>
        <w:pStyle w:val="Nagwek4"/>
        <w:tabs>
          <w:tab w:val="left" w:pos="9914"/>
        </w:tabs>
        <w:rPr>
          <w:rFonts w:asciiTheme="minorHAnsi" w:hAnsiTheme="minorHAnsi"/>
        </w:rPr>
      </w:pPr>
      <w:r>
        <w:t>1.1. Przedmiot STWiORB</w:t>
      </w:r>
    </w:p>
    <w:p w:rsidR="002412CC" w:rsidRDefault="002412CC" w:rsidP="002412CC">
      <w:pPr>
        <w:tabs>
          <w:tab w:val="left" w:pos="9914"/>
        </w:tabs>
        <w:rPr>
          <w:rFonts w:asciiTheme="minorHAnsi" w:hAnsiTheme="minorHAnsi"/>
        </w:rPr>
      </w:pPr>
      <w:r>
        <w:rPr>
          <w:rFonts w:asciiTheme="minorHAnsi" w:hAnsiTheme="minorHAnsi"/>
        </w:rPr>
        <w:t xml:space="preserve">Przedmiotem niniejszej Specyfikacji Technicznej Wykonania i Odbioru Robót Budowlanych (STWiORB) są wymagania dotyczące wykonania i odbioru izolacji bitumicznej wykonywanej na zimno dla obiektów betonowych. </w:t>
      </w:r>
    </w:p>
    <w:p w:rsidR="002412CC" w:rsidRDefault="002412CC" w:rsidP="002412CC">
      <w:pPr>
        <w:pStyle w:val="Nagwek4"/>
        <w:tabs>
          <w:tab w:val="left" w:pos="9914"/>
        </w:tabs>
        <w:rPr>
          <w:rStyle w:val="minus"/>
        </w:rPr>
      </w:pPr>
      <w:r>
        <w:rPr>
          <w:rStyle w:val="minus"/>
        </w:rPr>
        <w:t>1.2. Zakres stosowania STWiORB</w:t>
      </w:r>
    </w:p>
    <w:p w:rsidR="0030095A" w:rsidRDefault="002412CC" w:rsidP="002412CC">
      <w:pPr>
        <w:pStyle w:val="Nagwek7"/>
        <w:tabs>
          <w:tab w:val="left" w:pos="9914"/>
        </w:tabs>
        <w:rPr>
          <w:rFonts w:asciiTheme="minorHAnsi" w:hAnsiTheme="minorHAnsi"/>
        </w:rPr>
      </w:pPr>
      <w:r>
        <w:rPr>
          <w:rFonts w:asciiTheme="minorHAnsi" w:hAnsiTheme="minorHAnsi"/>
        </w:rPr>
        <w:t>Specyfikacja techniczna stanowi dokument przetargowy i kontraktowy przy realizacji  zadania pn.</w:t>
      </w:r>
      <w:r w:rsidR="0030095A" w:rsidRPr="0030095A">
        <w:rPr>
          <w:rFonts w:ascii="Calibri" w:hAnsi="Calibri" w:cs="Calibri"/>
        </w:rPr>
        <w:t xml:space="preserve"> </w:t>
      </w:r>
      <w:r w:rsidR="0030095A">
        <w:rPr>
          <w:rFonts w:ascii="Calibri" w:hAnsi="Calibri" w:cs="Calibri"/>
        </w:rPr>
        <w:t>„</w:t>
      </w:r>
      <w:r w:rsidR="0030095A" w:rsidRPr="00F57D49">
        <w:rPr>
          <w:rFonts w:asciiTheme="minorHAnsi" w:hAnsiTheme="minorHAnsi"/>
        </w:rPr>
        <w:t>Budowa parkingu wraz z drogą manewrową przy ul. Armii Krajowej w Wałbrzychu zlokalizowanego na dz. nr ew. 113, 116/1, obr. 20 Stary Zdrój (przy budynkach mieszkalnych nr 46 i 54)"</w:t>
      </w:r>
    </w:p>
    <w:p w:rsidR="002412CC" w:rsidRDefault="002412CC" w:rsidP="002412CC">
      <w:pPr>
        <w:pStyle w:val="Nagwek7"/>
        <w:tabs>
          <w:tab w:val="left" w:pos="9914"/>
        </w:tabs>
        <w:rPr>
          <w:rFonts w:asciiTheme="minorHAnsi" w:hAnsiTheme="minorHAnsi"/>
        </w:rPr>
      </w:pPr>
      <w:r>
        <w:rPr>
          <w:rFonts w:ascii="Calibri" w:hAnsi="Calibri" w:cs="Calibri"/>
          <w:b/>
          <w:bCs/>
          <w:color w:val="000000"/>
        </w:rPr>
        <w:t xml:space="preserve">  </w:t>
      </w:r>
    </w:p>
    <w:p w:rsidR="002412CC" w:rsidRDefault="002412CC" w:rsidP="002412CC">
      <w:pPr>
        <w:pStyle w:val="Nagwek4"/>
        <w:tabs>
          <w:tab w:val="left" w:pos="9914"/>
        </w:tabs>
        <w:spacing w:before="0"/>
        <w:rPr>
          <w:rFonts w:asciiTheme="minorHAnsi" w:hAnsiTheme="minorHAnsi"/>
          <w:i/>
        </w:rPr>
      </w:pPr>
      <w:r>
        <w:t>1.3. Zakres robót objętych STWiORB</w:t>
      </w:r>
    </w:p>
    <w:p w:rsidR="002412CC" w:rsidRDefault="002412CC" w:rsidP="002412CC">
      <w:pPr>
        <w:tabs>
          <w:tab w:val="left" w:pos="9914"/>
        </w:tabs>
        <w:rPr>
          <w:rFonts w:asciiTheme="minorHAnsi" w:hAnsiTheme="minorHAnsi"/>
        </w:rPr>
      </w:pPr>
      <w:r>
        <w:rPr>
          <w:rFonts w:asciiTheme="minorHAnsi" w:hAnsiTheme="minorHAnsi"/>
        </w:rPr>
        <w:t>Ustalenia zawarte w niniejszej specyfikacji dotyczą prowadzenia robót izolacyjnych powierzchni podziemnych elementów obiektów  i obejmują:</w:t>
      </w:r>
    </w:p>
    <w:p w:rsidR="002412CC" w:rsidRDefault="002412CC" w:rsidP="00790883">
      <w:pPr>
        <w:numPr>
          <w:ilvl w:val="0"/>
          <w:numId w:val="58"/>
        </w:numPr>
        <w:tabs>
          <w:tab w:val="left" w:pos="9914"/>
        </w:tabs>
        <w:rPr>
          <w:rFonts w:asciiTheme="minorHAnsi" w:hAnsiTheme="minorHAnsi"/>
        </w:rPr>
      </w:pPr>
      <w:r>
        <w:rPr>
          <w:rFonts w:asciiTheme="minorHAnsi" w:hAnsiTheme="minorHAnsi"/>
        </w:rPr>
        <w:t xml:space="preserve">wykonanie izolacji powierzchni podziemnych lica betonowego wykonanego w ramach remontu muru M2  </w:t>
      </w:r>
    </w:p>
    <w:p w:rsidR="002412CC" w:rsidRDefault="002412CC" w:rsidP="002412CC">
      <w:pPr>
        <w:pStyle w:val="Nagwek4"/>
        <w:tabs>
          <w:tab w:val="left" w:pos="9914"/>
        </w:tabs>
        <w:rPr>
          <w:rFonts w:asciiTheme="minorHAnsi" w:hAnsiTheme="minorHAnsi"/>
        </w:rPr>
      </w:pPr>
      <w:r>
        <w:t xml:space="preserve">1.4. Określenia podstawowe </w:t>
      </w:r>
    </w:p>
    <w:p w:rsidR="002412CC" w:rsidRDefault="002412CC" w:rsidP="002412CC">
      <w:pPr>
        <w:tabs>
          <w:tab w:val="left" w:pos="9914"/>
        </w:tabs>
        <w:rPr>
          <w:rFonts w:asciiTheme="minorHAnsi" w:hAnsiTheme="minorHAnsi"/>
        </w:rPr>
      </w:pPr>
      <w:r>
        <w:rPr>
          <w:rFonts w:asciiTheme="minorHAnsi" w:hAnsiTheme="minorHAnsi"/>
        </w:rPr>
        <w:t>Określenia podane w niniejszej STWiORB są zgodne z obowiązującymi odpowiednimi normami i  STWiORB D-M.00.00.00. - "Wymagania ogólne".</w:t>
      </w:r>
    </w:p>
    <w:p w:rsidR="002412CC" w:rsidRDefault="002412CC" w:rsidP="002412CC">
      <w:pPr>
        <w:pStyle w:val="Nagwek4"/>
        <w:tabs>
          <w:tab w:val="left" w:pos="9914"/>
        </w:tabs>
        <w:rPr>
          <w:rFonts w:asciiTheme="minorHAnsi" w:hAnsiTheme="minorHAnsi"/>
        </w:rPr>
      </w:pPr>
      <w:r>
        <w:t xml:space="preserve">1.5. Ogólne wymagania dotyczące robót </w:t>
      </w:r>
    </w:p>
    <w:p w:rsidR="002412CC" w:rsidRDefault="002412CC" w:rsidP="002412CC">
      <w:pPr>
        <w:tabs>
          <w:tab w:val="left" w:pos="9914"/>
        </w:tabs>
        <w:rPr>
          <w:rFonts w:asciiTheme="minorHAnsi" w:hAnsiTheme="minorHAnsi"/>
        </w:rPr>
      </w:pPr>
      <w:r>
        <w:rPr>
          <w:rFonts w:asciiTheme="minorHAnsi" w:hAnsiTheme="minorHAnsi"/>
        </w:rPr>
        <w:t>Wykonawca robót jest odpowiedzialny za jakość ich wykonania oraz za zgodność z Dokumentacją Projektową.</w:t>
      </w:r>
    </w:p>
    <w:p w:rsidR="002412CC" w:rsidRDefault="002412CC" w:rsidP="002412CC">
      <w:pPr>
        <w:tabs>
          <w:tab w:val="left" w:pos="9914"/>
        </w:tabs>
        <w:rPr>
          <w:rFonts w:asciiTheme="minorHAnsi" w:hAnsiTheme="minorHAnsi"/>
        </w:rPr>
      </w:pPr>
      <w:r>
        <w:rPr>
          <w:rFonts w:asciiTheme="minorHAnsi" w:hAnsiTheme="minorHAnsi"/>
        </w:rPr>
        <w:t>Ogólne wymagania dotyczące robót podano w STWiORB D</w:t>
      </w:r>
      <w:r>
        <w:rPr>
          <w:rFonts w:asciiTheme="minorHAnsi" w:hAnsiTheme="minorHAnsi"/>
        </w:rPr>
        <w:noBreakHyphen/>
        <w:t>M.00.00.00 "Wymagania ogólne".</w:t>
      </w:r>
    </w:p>
    <w:p w:rsidR="002412CC" w:rsidRPr="00E5206A" w:rsidRDefault="002412CC" w:rsidP="00E5206A">
      <w:pPr>
        <w:pStyle w:val="Nagwek3"/>
      </w:pPr>
      <w:r w:rsidRPr="00E5206A">
        <w:t>2. Materiały</w:t>
      </w:r>
    </w:p>
    <w:p w:rsidR="002412CC" w:rsidRDefault="002412CC" w:rsidP="002412CC">
      <w:pPr>
        <w:tabs>
          <w:tab w:val="left" w:pos="9914"/>
        </w:tabs>
        <w:rPr>
          <w:rFonts w:asciiTheme="minorHAnsi" w:hAnsiTheme="minorHAnsi"/>
        </w:rPr>
      </w:pPr>
      <w:r>
        <w:rPr>
          <w:rFonts w:asciiTheme="minorHAnsi" w:hAnsiTheme="minorHAnsi"/>
        </w:rPr>
        <w:t>Ogólne wymagania dotyczące materiałów podano w STWiORB D</w:t>
      </w:r>
      <w:r>
        <w:rPr>
          <w:rFonts w:asciiTheme="minorHAnsi" w:hAnsiTheme="minorHAnsi"/>
        </w:rPr>
        <w:noBreakHyphen/>
        <w:t>M.00.00.00 "Wymagania ogólne" pkt 2.</w:t>
      </w:r>
    </w:p>
    <w:p w:rsidR="002412CC" w:rsidRDefault="002412CC" w:rsidP="002412CC">
      <w:pPr>
        <w:pStyle w:val="Nagwek4"/>
        <w:tabs>
          <w:tab w:val="left" w:pos="9914"/>
        </w:tabs>
        <w:rPr>
          <w:rFonts w:asciiTheme="minorHAnsi" w:hAnsiTheme="minorHAnsi"/>
        </w:rPr>
      </w:pPr>
      <w:r>
        <w:t>2.1. Materiał do gruntowania</w:t>
      </w:r>
    </w:p>
    <w:p w:rsidR="002412CC" w:rsidRDefault="002412CC" w:rsidP="002412CC">
      <w:pPr>
        <w:tabs>
          <w:tab w:val="left" w:pos="9914"/>
        </w:tabs>
        <w:rPr>
          <w:rFonts w:asciiTheme="minorHAnsi" w:hAnsiTheme="minorHAnsi"/>
        </w:rPr>
      </w:pPr>
      <w:r>
        <w:rPr>
          <w:rFonts w:asciiTheme="minorHAnsi" w:hAnsiTheme="minorHAnsi"/>
        </w:rPr>
        <w:t>Roztwór asfaltowy do gruntowania powierzchni ścian przed ułożeniem właściwej powłoki izolacyjnej wg PN</w:t>
      </w:r>
      <w:r>
        <w:rPr>
          <w:rFonts w:asciiTheme="minorHAnsi" w:hAnsiTheme="minorHAnsi"/>
        </w:rPr>
        <w:noBreakHyphen/>
        <w:t>B</w:t>
      </w:r>
      <w:r>
        <w:rPr>
          <w:rFonts w:asciiTheme="minorHAnsi" w:hAnsiTheme="minorHAnsi"/>
        </w:rPr>
        <w:noBreakHyphen/>
        <w:t xml:space="preserve">24620:1998 - roztwór plastyfikowanych asfaltów ponaftowych w rozpuszczalnikach. Działanie polega na przenikaniu w pory betonu, uszczelnianiu powierzchni, wiązaniu pozostałych pyłów oraz na stwarzaniu warunków przyczepności warstw izolacyjnych do podłoża. Nie jest odporny na działanie rozpuszczalników organicznych (benzol, benzyna, nafta itp.) oraz temperatury powyżej 60ºC. Nie należy stosować na mokrych i przemrożonych powierzchniach. Rozprowadza się na zimno, bez podgrzewania w temperaturze powyżej +5ºC. Zależnie od stopnia porowatości podłoża jednokrotne smarowanie 0,3 </w:t>
      </w:r>
      <w:r>
        <w:rPr>
          <w:rFonts w:asciiTheme="minorHAnsi" w:hAnsiTheme="minorHAnsi"/>
        </w:rPr>
        <w:sym w:font="Symbol" w:char="F0B8"/>
      </w:r>
      <w:r>
        <w:rPr>
          <w:rFonts w:asciiTheme="minorHAnsi" w:hAnsiTheme="minorHAnsi"/>
        </w:rPr>
        <w:t xml:space="preserve"> 0,45 kg na 1 m</w:t>
      </w:r>
      <w:r>
        <w:rPr>
          <w:rFonts w:asciiTheme="minorHAnsi" w:hAnsiTheme="minorHAnsi"/>
          <w:vertAlign w:val="superscript"/>
        </w:rPr>
        <w:t>2</w:t>
      </w:r>
      <w:r>
        <w:rPr>
          <w:rFonts w:asciiTheme="minorHAnsi" w:hAnsiTheme="minorHAnsi"/>
        </w:rPr>
        <w:t xml:space="preserve"> powierzchni zabezpieczanej. Materiał łatwopalny,</w:t>
      </w:r>
    </w:p>
    <w:p w:rsidR="002412CC" w:rsidRDefault="002412CC" w:rsidP="002412CC">
      <w:pPr>
        <w:pStyle w:val="Nagwek4"/>
        <w:tabs>
          <w:tab w:val="left" w:pos="9914"/>
        </w:tabs>
        <w:rPr>
          <w:rFonts w:asciiTheme="minorHAnsi" w:hAnsiTheme="minorHAnsi"/>
        </w:rPr>
      </w:pPr>
      <w:r>
        <w:t>2.1. Materiały do izolacji właściwej</w:t>
      </w:r>
    </w:p>
    <w:p w:rsidR="002412CC" w:rsidRDefault="002412CC" w:rsidP="002412CC">
      <w:pPr>
        <w:tabs>
          <w:tab w:val="left" w:pos="9914"/>
        </w:tabs>
        <w:rPr>
          <w:rFonts w:asciiTheme="minorHAnsi" w:hAnsiTheme="minorHAnsi"/>
        </w:rPr>
      </w:pPr>
      <w:r>
        <w:rPr>
          <w:rFonts w:asciiTheme="minorHAnsi" w:hAnsiTheme="minorHAnsi"/>
        </w:rPr>
        <w:t>Lepik asfaltowy stosowany na zimno wg PN</w:t>
      </w:r>
      <w:r>
        <w:rPr>
          <w:rFonts w:asciiTheme="minorHAnsi" w:hAnsiTheme="minorHAnsi"/>
        </w:rPr>
        <w:noBreakHyphen/>
        <w:t>B</w:t>
      </w:r>
      <w:r>
        <w:rPr>
          <w:rFonts w:asciiTheme="minorHAnsi" w:hAnsiTheme="minorHAnsi"/>
        </w:rPr>
        <w:noBreakHyphen/>
        <w:t>24620:1998 - produkowany jest z asfaltów ponaftowych, plastyfikowanych olejami i rozcieńczanych rozpuszczalnikami organicznymi. Rozprowadzany na podłożu zagruntowanym tworzy po wyschnięciu silnie przylegającą powłokę asfaltową o dużej plastyczności. Powłoka ta wykazuje odporność na działanie wód agresywnych o słabych stężeniach. Nie jest odporny na działanie rozpuszczalników organicznych oraz temperatury powyżej 60ºC. Rozprowadza się na zimno (bez podgrzewania) cienką warstwą na zagruntowanym podłożu. Roboty należy prowadzić w temperaturze powyżej +5ºC. Przy jednokrotnym smarowaniu powierzchni zabezpieczanej 0,8 do 1,0 kg na 1 m</w:t>
      </w:r>
      <w:r>
        <w:rPr>
          <w:rFonts w:asciiTheme="minorHAnsi" w:hAnsiTheme="minorHAnsi"/>
          <w:vertAlign w:val="superscript"/>
        </w:rPr>
        <w:t>2</w:t>
      </w:r>
      <w:r>
        <w:rPr>
          <w:rFonts w:asciiTheme="minorHAnsi" w:hAnsiTheme="minorHAnsi"/>
        </w:rPr>
        <w:t>. Materiał łatwopalny.</w:t>
      </w:r>
    </w:p>
    <w:p w:rsidR="002412CC" w:rsidRDefault="002412CC" w:rsidP="002412CC">
      <w:pPr>
        <w:pStyle w:val="Nagwek4"/>
        <w:tabs>
          <w:tab w:val="left" w:pos="9914"/>
        </w:tabs>
        <w:rPr>
          <w:rFonts w:asciiTheme="minorHAnsi" w:hAnsiTheme="minorHAnsi"/>
        </w:rPr>
      </w:pPr>
      <w:r>
        <w:lastRenderedPageBreak/>
        <w:t>2.3. Materiały syntetyczne</w:t>
      </w:r>
    </w:p>
    <w:p w:rsidR="002412CC" w:rsidRDefault="002412CC" w:rsidP="002412CC">
      <w:pPr>
        <w:tabs>
          <w:tab w:val="left" w:pos="9914"/>
        </w:tabs>
        <w:rPr>
          <w:rFonts w:asciiTheme="minorHAnsi" w:hAnsiTheme="minorHAnsi"/>
        </w:rPr>
      </w:pPr>
      <w:r>
        <w:rPr>
          <w:rFonts w:asciiTheme="minorHAnsi" w:hAnsiTheme="minorHAnsi"/>
        </w:rPr>
        <w:t>Roztwory bitumiczne (asfaltowe) z rozpuszczalnikami syntetycznymi do gruntowania oraz izolowania powierzchni ścian,</w:t>
      </w:r>
    </w:p>
    <w:p w:rsidR="002412CC" w:rsidRDefault="002412CC" w:rsidP="002412CC">
      <w:pPr>
        <w:tabs>
          <w:tab w:val="left" w:pos="9914"/>
        </w:tabs>
        <w:rPr>
          <w:rFonts w:asciiTheme="minorHAnsi" w:hAnsiTheme="minorHAnsi"/>
        </w:rPr>
      </w:pPr>
      <w:r>
        <w:rPr>
          <w:rFonts w:asciiTheme="minorHAnsi" w:hAnsiTheme="minorHAnsi"/>
        </w:rPr>
        <w:t>Wszystkie materiały stosowane do wykonywania robót powinny być zgodne z PN lub z ważnymi "Aprobatami technicznymi IBDiM" bądź posiadać ważny znak CE.</w:t>
      </w:r>
    </w:p>
    <w:p w:rsidR="002412CC" w:rsidRDefault="002412CC" w:rsidP="002412CC">
      <w:pPr>
        <w:tabs>
          <w:tab w:val="left" w:pos="9914"/>
        </w:tabs>
        <w:rPr>
          <w:rFonts w:asciiTheme="minorHAnsi" w:hAnsiTheme="minorHAnsi"/>
        </w:rPr>
      </w:pPr>
      <w:r>
        <w:rPr>
          <w:rFonts w:asciiTheme="minorHAnsi" w:hAnsiTheme="minorHAnsi"/>
        </w:rPr>
        <w:t>Wykonawca przed przystąpieniem do wykonania robót (izolacji) winien przedstawić Inżynierowi do zaakceptowania proponowane do zastosowania materiały.</w:t>
      </w:r>
    </w:p>
    <w:p w:rsidR="00C32050" w:rsidRPr="00C32050" w:rsidRDefault="00C32050" w:rsidP="002412CC">
      <w:pPr>
        <w:tabs>
          <w:tab w:val="left" w:pos="9914"/>
        </w:tabs>
        <w:rPr>
          <w:rFonts w:asciiTheme="minorHAnsi" w:hAnsiTheme="minorHAnsi"/>
          <w:b/>
        </w:rPr>
      </w:pPr>
      <w:r w:rsidRPr="00C32050">
        <w:rPr>
          <w:rFonts w:asciiTheme="minorHAnsi" w:hAnsiTheme="minorHAnsi"/>
          <w:b/>
        </w:rPr>
        <w:t>2.4 Folia kubełkowa</w:t>
      </w:r>
    </w:p>
    <w:p w:rsidR="00C32050" w:rsidRDefault="00C32050" w:rsidP="002412CC">
      <w:pPr>
        <w:tabs>
          <w:tab w:val="left" w:pos="9914"/>
        </w:tabs>
        <w:rPr>
          <w:rFonts w:asciiTheme="minorHAnsi" w:hAnsiTheme="minorHAnsi"/>
        </w:rPr>
      </w:pPr>
      <w:r>
        <w:rPr>
          <w:rFonts w:asciiTheme="minorHAnsi" w:hAnsiTheme="minorHAnsi"/>
        </w:rPr>
        <w:t>Folia kubełkowa powinna posiadać stosowną aprobatę techniczną</w:t>
      </w:r>
    </w:p>
    <w:p w:rsidR="002412CC" w:rsidRPr="00E5206A" w:rsidRDefault="002412CC" w:rsidP="00E5206A">
      <w:pPr>
        <w:pStyle w:val="Nagwek3"/>
      </w:pPr>
      <w:r w:rsidRPr="00E5206A">
        <w:t>3. Sprzęt</w:t>
      </w:r>
    </w:p>
    <w:p w:rsidR="002412CC" w:rsidRDefault="002412CC" w:rsidP="002412CC">
      <w:pPr>
        <w:tabs>
          <w:tab w:val="left" w:pos="9914"/>
        </w:tabs>
        <w:rPr>
          <w:rFonts w:asciiTheme="minorHAnsi" w:hAnsiTheme="minorHAnsi"/>
        </w:rPr>
      </w:pPr>
      <w:r>
        <w:rPr>
          <w:rFonts w:asciiTheme="minorHAnsi" w:hAnsiTheme="minorHAnsi"/>
        </w:rPr>
        <w:t>Roboty wykonane będą ręcznie.</w:t>
      </w:r>
    </w:p>
    <w:p w:rsidR="002412CC" w:rsidRPr="00E5206A" w:rsidRDefault="002412CC" w:rsidP="00E5206A">
      <w:pPr>
        <w:pStyle w:val="Nagwek3"/>
      </w:pPr>
      <w:r w:rsidRPr="00E5206A">
        <w:t>4. Transport</w:t>
      </w:r>
    </w:p>
    <w:p w:rsidR="002412CC" w:rsidRDefault="002412CC" w:rsidP="002412CC">
      <w:pPr>
        <w:tabs>
          <w:tab w:val="left" w:pos="9914"/>
        </w:tabs>
        <w:rPr>
          <w:rFonts w:asciiTheme="minorHAnsi" w:hAnsiTheme="minorHAnsi"/>
        </w:rPr>
      </w:pPr>
      <w:r>
        <w:rPr>
          <w:rFonts w:asciiTheme="minorHAnsi" w:hAnsiTheme="minorHAnsi"/>
        </w:rPr>
        <w:t>Ogólne wymagania dotyczące transportu podano w STWiORB D</w:t>
      </w:r>
      <w:r>
        <w:rPr>
          <w:rFonts w:asciiTheme="minorHAnsi" w:hAnsiTheme="minorHAnsi"/>
        </w:rPr>
        <w:noBreakHyphen/>
        <w:t>M.00.00.00 "Wymagania ogólne" pkt 4.</w:t>
      </w:r>
    </w:p>
    <w:p w:rsidR="002412CC" w:rsidRDefault="002412CC" w:rsidP="002412CC">
      <w:pPr>
        <w:tabs>
          <w:tab w:val="left" w:pos="9914"/>
        </w:tabs>
        <w:rPr>
          <w:rFonts w:asciiTheme="minorHAnsi" w:hAnsiTheme="minorHAnsi"/>
        </w:rPr>
      </w:pPr>
      <w:r>
        <w:rPr>
          <w:rFonts w:asciiTheme="minorHAnsi" w:hAnsiTheme="minorHAnsi"/>
        </w:rPr>
        <w:t>Materiały mogą być przewożone odpowiednimi do asortymentu materiałów środkami transportu.</w:t>
      </w:r>
    </w:p>
    <w:p w:rsidR="002412CC" w:rsidRDefault="002412CC" w:rsidP="002412CC">
      <w:pPr>
        <w:tabs>
          <w:tab w:val="left" w:pos="9914"/>
        </w:tabs>
        <w:rPr>
          <w:rFonts w:asciiTheme="minorHAnsi" w:hAnsiTheme="minorHAnsi"/>
        </w:rPr>
      </w:pPr>
      <w:r>
        <w:rPr>
          <w:rFonts w:asciiTheme="minorHAnsi" w:hAnsiTheme="minorHAnsi"/>
        </w:rPr>
        <w:t>Należy zadbać o właściwe zabezpieczenie ładunku i bezpieczeństwo transportu.</w:t>
      </w:r>
    </w:p>
    <w:p w:rsidR="002412CC" w:rsidRPr="00E5206A" w:rsidRDefault="002412CC" w:rsidP="00E5206A">
      <w:pPr>
        <w:pStyle w:val="Nagwek3"/>
      </w:pPr>
      <w:r w:rsidRPr="00E5206A">
        <w:t>5. Wykonanie robót</w:t>
      </w:r>
    </w:p>
    <w:p w:rsidR="002412CC" w:rsidRDefault="002412CC" w:rsidP="002412CC">
      <w:pPr>
        <w:pStyle w:val="Nagwek4"/>
        <w:tabs>
          <w:tab w:val="left" w:pos="9914"/>
        </w:tabs>
        <w:rPr>
          <w:rFonts w:asciiTheme="minorHAnsi" w:hAnsiTheme="minorHAnsi"/>
        </w:rPr>
      </w:pPr>
      <w:r>
        <w:t>5.1. Ogólne wymagania dotyczące robót</w:t>
      </w:r>
    </w:p>
    <w:p w:rsidR="002412CC" w:rsidRDefault="002412CC" w:rsidP="002412CC">
      <w:pPr>
        <w:tabs>
          <w:tab w:val="left" w:pos="9914"/>
        </w:tabs>
        <w:rPr>
          <w:rFonts w:asciiTheme="minorHAnsi" w:hAnsiTheme="minorHAnsi"/>
        </w:rPr>
      </w:pPr>
      <w:r>
        <w:rPr>
          <w:rFonts w:asciiTheme="minorHAnsi" w:hAnsiTheme="minorHAnsi"/>
        </w:rPr>
        <w:t>Ogólne wymagania dotyczące wykonania robót podano w STWiORB D-M.00.00.00."Wymagania ogólne" pkt 5.</w:t>
      </w:r>
    </w:p>
    <w:p w:rsidR="002412CC" w:rsidRDefault="002412CC" w:rsidP="002412CC">
      <w:pPr>
        <w:pStyle w:val="Nagwek4"/>
        <w:tabs>
          <w:tab w:val="left" w:pos="9914"/>
        </w:tabs>
        <w:rPr>
          <w:rFonts w:asciiTheme="minorHAnsi" w:hAnsiTheme="minorHAnsi"/>
        </w:rPr>
      </w:pPr>
      <w:r>
        <w:t>5.2. Zakres wykonywanych robót</w:t>
      </w:r>
    </w:p>
    <w:p w:rsidR="002412CC" w:rsidRDefault="002412CC" w:rsidP="002412CC">
      <w:pPr>
        <w:tabs>
          <w:tab w:val="left" w:pos="9914"/>
        </w:tabs>
        <w:rPr>
          <w:rFonts w:asciiTheme="minorHAnsi" w:hAnsiTheme="minorHAnsi"/>
        </w:rPr>
      </w:pPr>
      <w:r>
        <w:rPr>
          <w:rFonts w:asciiTheme="minorHAnsi" w:hAnsiTheme="minorHAnsi"/>
        </w:rPr>
        <w:t xml:space="preserve">5.2.1 Ogólne warunki prowadzenia robót izolacyjnych </w:t>
      </w:r>
    </w:p>
    <w:p w:rsidR="002412CC" w:rsidRDefault="002412CC" w:rsidP="002412CC">
      <w:pPr>
        <w:tabs>
          <w:tab w:val="left" w:pos="9914"/>
        </w:tabs>
        <w:rPr>
          <w:rFonts w:asciiTheme="minorHAnsi" w:hAnsiTheme="minorHAnsi"/>
        </w:rPr>
      </w:pPr>
      <w:r>
        <w:rPr>
          <w:rFonts w:asciiTheme="minorHAnsi" w:hAnsiTheme="minorHAnsi"/>
        </w:rPr>
        <w:t>Izolację przeciwwodną należy układać na podłożu równym, nieodkształcalnym, gładkim, suchym i wolnym od plam olejowych i pyłu. Wiek izolowanego podłoża powinien wynosić co najmniej 14 dni lecz zaleca się aby beton był co najmniej 28 dniowy. Temperatura powietrza i podłoża w czasie układania izolacji powinna być wyższa od 5</w:t>
      </w:r>
      <w:r>
        <w:rPr>
          <w:rFonts w:asciiTheme="minorHAnsi" w:hAnsiTheme="minorHAnsi"/>
          <w:vertAlign w:val="superscript"/>
        </w:rPr>
        <w:t>o</w:t>
      </w:r>
      <w:r>
        <w:rPr>
          <w:rFonts w:asciiTheme="minorHAnsi" w:hAnsiTheme="minorHAnsi"/>
        </w:rPr>
        <w:t>C i niższa od 35</w:t>
      </w:r>
      <w:r>
        <w:rPr>
          <w:rFonts w:asciiTheme="minorHAnsi" w:hAnsiTheme="minorHAnsi"/>
          <w:vertAlign w:val="superscript"/>
        </w:rPr>
        <w:t>o</w:t>
      </w:r>
      <w:r>
        <w:rPr>
          <w:rFonts w:asciiTheme="minorHAnsi" w:hAnsiTheme="minorHAnsi"/>
        </w:rPr>
        <w:t>C.</w:t>
      </w:r>
    </w:p>
    <w:p w:rsidR="002412CC" w:rsidRDefault="002412CC" w:rsidP="002412CC">
      <w:pPr>
        <w:tabs>
          <w:tab w:val="left" w:pos="9914"/>
        </w:tabs>
        <w:rPr>
          <w:rFonts w:asciiTheme="minorHAnsi" w:hAnsiTheme="minorHAnsi"/>
        </w:rPr>
      </w:pPr>
      <w:r>
        <w:rPr>
          <w:rFonts w:asciiTheme="minorHAnsi" w:hAnsiTheme="minorHAnsi"/>
        </w:rPr>
        <w:t xml:space="preserve">Jeżeli nie jest możliwe spełnienie ww. warunków dopuszcza się zastosowanie specjalnych materiałów (zgodnie z wymaganiami określonymi w Aprobacie technicznej) po uzyskaniu pisemnej zgody Inżyniera. </w:t>
      </w:r>
    </w:p>
    <w:p w:rsidR="002412CC" w:rsidRDefault="002412CC" w:rsidP="002412CC">
      <w:pPr>
        <w:tabs>
          <w:tab w:val="left" w:pos="9914"/>
        </w:tabs>
        <w:rPr>
          <w:rFonts w:asciiTheme="minorHAnsi" w:hAnsiTheme="minorHAnsi"/>
        </w:rPr>
      </w:pPr>
      <w:r>
        <w:rPr>
          <w:rFonts w:asciiTheme="minorHAnsi" w:hAnsiTheme="minorHAnsi"/>
        </w:rPr>
        <w:t>5.2.2. Zagruntowanie podłoża</w:t>
      </w:r>
    </w:p>
    <w:p w:rsidR="002412CC" w:rsidRDefault="002412CC" w:rsidP="002412CC">
      <w:pPr>
        <w:tabs>
          <w:tab w:val="left" w:pos="9914"/>
        </w:tabs>
        <w:rPr>
          <w:rFonts w:asciiTheme="minorHAnsi" w:hAnsiTheme="minorHAnsi"/>
        </w:rPr>
      </w:pPr>
      <w:r>
        <w:rPr>
          <w:rFonts w:asciiTheme="minorHAnsi" w:hAnsiTheme="minorHAnsi"/>
        </w:rPr>
        <w:t>Powierzchnie betonowe należy przed gruntowaniem odpowiednio przygotować, po usunięciu nacieków mleczka cementowego powierzchna betonu powinna być odkurzona i odtłuszczona. Ubytki betonu należy wypełnić specjalnymi zaprawami bezskurczowymi do napraw betonu posiadającymi Aprobatę techniczną.</w:t>
      </w:r>
    </w:p>
    <w:p w:rsidR="002412CC" w:rsidRDefault="002412CC" w:rsidP="002412CC">
      <w:pPr>
        <w:tabs>
          <w:tab w:val="left" w:pos="9914"/>
        </w:tabs>
        <w:rPr>
          <w:rFonts w:asciiTheme="minorHAnsi" w:hAnsiTheme="minorHAnsi"/>
        </w:rPr>
      </w:pPr>
      <w:r>
        <w:rPr>
          <w:rFonts w:asciiTheme="minorHAnsi" w:hAnsiTheme="minorHAnsi"/>
        </w:rPr>
        <w:t>Podłoże betonowe należy gruntować firmowymi roztworami asfaltowymi lub innymi zalecanymi przez producentów materiałów hydroizolacyjnych. W przypadku konieczności zagruntowania wilgotnej powierzchni należy użyć roztworów depresyjnych szybkorozpadających np. asfaltowej emulsji kationowej. Jest to jednak przypadek szczególny, wymagający pisemnej zgody Inżyniera.</w:t>
      </w:r>
    </w:p>
    <w:p w:rsidR="002412CC" w:rsidRDefault="002412CC" w:rsidP="002412CC">
      <w:pPr>
        <w:tabs>
          <w:tab w:val="left" w:pos="9914"/>
        </w:tabs>
        <w:rPr>
          <w:rFonts w:asciiTheme="minorHAnsi" w:hAnsiTheme="minorHAnsi"/>
        </w:rPr>
      </w:pPr>
      <w:r>
        <w:rPr>
          <w:rFonts w:asciiTheme="minorHAnsi" w:hAnsiTheme="minorHAnsi"/>
        </w:rPr>
        <w:t>Podłoże betonowe powinno mieć wytrzymałość:</w:t>
      </w:r>
    </w:p>
    <w:p w:rsidR="002412CC" w:rsidRDefault="002412CC" w:rsidP="00790883">
      <w:pPr>
        <w:numPr>
          <w:ilvl w:val="0"/>
          <w:numId w:val="59"/>
        </w:numPr>
        <w:tabs>
          <w:tab w:val="left" w:pos="9914"/>
        </w:tabs>
        <w:rPr>
          <w:rFonts w:asciiTheme="minorHAnsi" w:hAnsiTheme="minorHAnsi"/>
        </w:rPr>
      </w:pPr>
      <w:r>
        <w:rPr>
          <w:rFonts w:asciiTheme="minorHAnsi" w:hAnsiTheme="minorHAnsi"/>
        </w:rPr>
        <w:t>na ściskanie, określoną zgodnie z Polską Normą nie mniejszą niż: ytrzymałość gwarantowaną wynikającą z przyjętej klasy betonu</w:t>
      </w:r>
    </w:p>
    <w:p w:rsidR="002412CC" w:rsidRDefault="002412CC" w:rsidP="00790883">
      <w:pPr>
        <w:numPr>
          <w:ilvl w:val="0"/>
          <w:numId w:val="59"/>
        </w:numPr>
        <w:tabs>
          <w:tab w:val="left" w:pos="9914"/>
        </w:tabs>
        <w:rPr>
          <w:rFonts w:asciiTheme="minorHAnsi" w:hAnsiTheme="minorHAnsi"/>
        </w:rPr>
      </w:pPr>
      <w:r>
        <w:rPr>
          <w:rFonts w:asciiTheme="minorHAnsi" w:hAnsiTheme="minorHAnsi"/>
        </w:rPr>
        <w:t xml:space="preserve">na odrywanie: nie mniejszą niż 1,5 MPa  </w:t>
      </w:r>
    </w:p>
    <w:p w:rsidR="002412CC" w:rsidRDefault="002412CC" w:rsidP="002412CC">
      <w:pPr>
        <w:tabs>
          <w:tab w:val="left" w:pos="9914"/>
        </w:tabs>
        <w:rPr>
          <w:rFonts w:asciiTheme="minorHAnsi" w:hAnsiTheme="minorHAnsi"/>
        </w:rPr>
      </w:pPr>
      <w:r>
        <w:rPr>
          <w:rFonts w:asciiTheme="minorHAnsi" w:hAnsiTheme="minorHAnsi"/>
        </w:rPr>
        <w:t>Przy gruntowaniu podłoża należy stosować następujące zasady:</w:t>
      </w:r>
    </w:p>
    <w:p w:rsidR="002412CC" w:rsidRDefault="002412CC" w:rsidP="002412CC">
      <w:pPr>
        <w:tabs>
          <w:tab w:val="left" w:pos="9914"/>
        </w:tabs>
        <w:rPr>
          <w:rFonts w:asciiTheme="minorHAnsi" w:hAnsiTheme="minorHAnsi"/>
        </w:rPr>
      </w:pPr>
      <w:r>
        <w:rPr>
          <w:rFonts w:asciiTheme="minorHAnsi" w:hAnsiTheme="minorHAnsi"/>
        </w:rPr>
        <w:t>należy gruntować podłoże wyłącznie dobrze przygotowane i odebrane przez Inżyniera,</w:t>
      </w:r>
    </w:p>
    <w:p w:rsidR="002412CC" w:rsidRDefault="002412CC" w:rsidP="002412CC">
      <w:pPr>
        <w:tabs>
          <w:tab w:val="left" w:pos="9914"/>
        </w:tabs>
        <w:rPr>
          <w:rFonts w:asciiTheme="minorHAnsi" w:hAnsiTheme="minorHAnsi"/>
        </w:rPr>
      </w:pPr>
      <w:r>
        <w:rPr>
          <w:rFonts w:asciiTheme="minorHAnsi" w:hAnsiTheme="minorHAnsi"/>
        </w:rPr>
        <w:t>powierzchnię przewidzianą do zaizolowania należy gruntować tylko jednokrotnie, zużywając tyle środka gruntującego, ile beton zdoła całkowicie wchłonąć tak, aby na powierzchni nie pozostała powłoka z warstewki asfaltu, ilość ta zwykle nie przekracza 0,3 l/m</w:t>
      </w:r>
      <w:r>
        <w:rPr>
          <w:rFonts w:asciiTheme="minorHAnsi" w:hAnsiTheme="minorHAnsi"/>
          <w:vertAlign w:val="superscript"/>
        </w:rPr>
        <w:t>2</w:t>
      </w:r>
      <w:r>
        <w:rPr>
          <w:rFonts w:asciiTheme="minorHAnsi" w:hAnsiTheme="minorHAnsi"/>
        </w:rPr>
        <w:t xml:space="preserve"> (do 0,45 l/m</w:t>
      </w:r>
      <w:r>
        <w:rPr>
          <w:rFonts w:asciiTheme="minorHAnsi" w:hAnsiTheme="minorHAnsi"/>
          <w:vertAlign w:val="superscript"/>
        </w:rPr>
        <w:t>2</w:t>
      </w:r>
      <w:r>
        <w:rPr>
          <w:rFonts w:asciiTheme="minorHAnsi" w:hAnsiTheme="minorHAnsi"/>
        </w:rPr>
        <w:t>),</w:t>
      </w:r>
    </w:p>
    <w:p w:rsidR="002412CC" w:rsidRDefault="002412CC" w:rsidP="002412CC">
      <w:pPr>
        <w:tabs>
          <w:tab w:val="left" w:pos="9914"/>
        </w:tabs>
        <w:rPr>
          <w:rFonts w:asciiTheme="minorHAnsi" w:hAnsiTheme="minorHAnsi"/>
        </w:rPr>
      </w:pPr>
      <w:r>
        <w:rPr>
          <w:rFonts w:asciiTheme="minorHAnsi" w:hAnsiTheme="minorHAnsi"/>
        </w:rPr>
        <w:t>środek gruntujący należy nanosić wałkami malarskimi lub szczotkami do środków gruntujących (odpornych na działanie agresywnych rozpuszczalników, głównie węglowodorów aromatycznych),</w:t>
      </w:r>
    </w:p>
    <w:p w:rsidR="002412CC" w:rsidRDefault="002412CC" w:rsidP="002412CC">
      <w:pPr>
        <w:tabs>
          <w:tab w:val="left" w:pos="9914"/>
        </w:tabs>
        <w:rPr>
          <w:rFonts w:asciiTheme="minorHAnsi" w:hAnsiTheme="minorHAnsi"/>
        </w:rPr>
      </w:pPr>
      <w:r>
        <w:rPr>
          <w:rFonts w:asciiTheme="minorHAnsi" w:hAnsiTheme="minorHAnsi"/>
        </w:rPr>
        <w:t xml:space="preserve">przed ułożeniem izolacji powierzchnia zagruntowana powinna być całkowicie sucha. Można to sprawdzić przez dotknięcie zagruntowanej powierzchni suchą, czystą dłonią (nie zatłuszczoną lub zakurzoną) gdy dłoń nie przykleja </w:t>
      </w:r>
      <w:r>
        <w:rPr>
          <w:rFonts w:asciiTheme="minorHAnsi" w:hAnsiTheme="minorHAnsi"/>
        </w:rPr>
        <w:lastRenderedPageBreak/>
        <w:t>się i pozostaje czysta oznacza to, że roztwór gruntujący jest już dostatecznie suchy. Czas schnięcia roztworów gruntujących jest zróżnicowany w zależności od rodzaju zastosowanych rozpuszczalników i warunków wysychania w większości przypadków wynosi on 15 do 120 minut,</w:t>
      </w:r>
    </w:p>
    <w:p w:rsidR="002412CC" w:rsidRDefault="002412CC" w:rsidP="002412CC">
      <w:pPr>
        <w:tabs>
          <w:tab w:val="left" w:pos="9914"/>
        </w:tabs>
        <w:rPr>
          <w:rFonts w:asciiTheme="minorHAnsi" w:hAnsiTheme="minorHAnsi"/>
        </w:rPr>
      </w:pPr>
      <w:r>
        <w:rPr>
          <w:rFonts w:asciiTheme="minorHAnsi" w:hAnsiTheme="minorHAnsi"/>
        </w:rPr>
        <w:t>w pierwszej kolejności należy zagruntować powierzchnię przy  narożach wklęsłych i wypukłych.</w:t>
      </w:r>
    </w:p>
    <w:p w:rsidR="002412CC" w:rsidRDefault="002412CC" w:rsidP="002412CC">
      <w:pPr>
        <w:tabs>
          <w:tab w:val="left" w:pos="9914"/>
        </w:tabs>
        <w:rPr>
          <w:rFonts w:asciiTheme="minorHAnsi" w:hAnsiTheme="minorHAnsi"/>
        </w:rPr>
      </w:pPr>
    </w:p>
    <w:p w:rsidR="002412CC" w:rsidRDefault="002412CC" w:rsidP="002412CC">
      <w:pPr>
        <w:tabs>
          <w:tab w:val="left" w:pos="9914"/>
        </w:tabs>
        <w:rPr>
          <w:rFonts w:asciiTheme="minorHAnsi" w:hAnsiTheme="minorHAnsi"/>
        </w:rPr>
      </w:pPr>
      <w:r>
        <w:rPr>
          <w:rFonts w:asciiTheme="minorHAnsi" w:hAnsiTheme="minorHAnsi"/>
        </w:rPr>
        <w:t>5.2.3. Wykonanie izolacji</w:t>
      </w:r>
    </w:p>
    <w:p w:rsidR="002412CC" w:rsidRDefault="002412CC" w:rsidP="002412CC">
      <w:pPr>
        <w:tabs>
          <w:tab w:val="left" w:pos="9914"/>
        </w:tabs>
        <w:rPr>
          <w:rFonts w:asciiTheme="minorHAnsi" w:hAnsiTheme="minorHAnsi"/>
        </w:rPr>
      </w:pPr>
      <w:r>
        <w:rPr>
          <w:rFonts w:asciiTheme="minorHAnsi" w:hAnsiTheme="minorHAnsi"/>
        </w:rPr>
        <w:t>Izolacje asfaltowe na zimno należy układać na podkładach zagruntowanych roztworem asfaltowym wg PN</w:t>
      </w:r>
      <w:r>
        <w:rPr>
          <w:rFonts w:asciiTheme="minorHAnsi" w:hAnsiTheme="minorHAnsi"/>
        </w:rPr>
        <w:noBreakHyphen/>
        <w:t>B</w:t>
      </w:r>
      <w:r>
        <w:rPr>
          <w:rFonts w:asciiTheme="minorHAnsi" w:hAnsiTheme="minorHAnsi"/>
        </w:rPr>
        <w:noBreakHyphen/>
        <w:t>24620:1998, emulsją asfaltową wg PN</w:t>
      </w:r>
      <w:r>
        <w:rPr>
          <w:rFonts w:asciiTheme="minorHAnsi" w:hAnsiTheme="minorHAnsi"/>
        </w:rPr>
        <w:noBreakHyphen/>
        <w:t>B-24002:1997 lub środkiem do gruntowania na bazie syntetyków, po wyschnięciu powłoki gruntowej. Występowania złuszczeń, spękanych pęcherzy i itp. wad jest niedopuszczalne.</w:t>
      </w:r>
    </w:p>
    <w:p w:rsidR="002412CC" w:rsidRDefault="002412CC" w:rsidP="002412CC">
      <w:pPr>
        <w:tabs>
          <w:tab w:val="left" w:pos="9914"/>
        </w:tabs>
        <w:rPr>
          <w:rFonts w:asciiTheme="minorHAnsi" w:hAnsiTheme="minorHAnsi"/>
          <w:strike/>
        </w:rPr>
      </w:pPr>
      <w:r>
        <w:rPr>
          <w:rFonts w:asciiTheme="minorHAnsi" w:hAnsiTheme="minorHAnsi"/>
        </w:rPr>
        <w:t>Powierzchnię należy powlec roztworem asfaltowym dwukrotnie na zagruntowanym podłożu. Zużycie materiału około 1,0 l/m</w:t>
      </w:r>
      <w:r>
        <w:rPr>
          <w:rFonts w:asciiTheme="minorHAnsi" w:hAnsiTheme="minorHAnsi"/>
          <w:vertAlign w:val="superscript"/>
        </w:rPr>
        <w:t>2</w:t>
      </w:r>
      <w:r>
        <w:rPr>
          <w:rFonts w:asciiTheme="minorHAnsi" w:hAnsiTheme="minorHAnsi"/>
        </w:rPr>
        <w:t xml:space="preserve"> dla jednej warstwy. Łączna grubość warstw izolacyjnych nie może być mniejsza niż </w:t>
      </w:r>
      <w:r>
        <w:rPr>
          <w:rFonts w:asciiTheme="minorHAnsi" w:hAnsiTheme="minorHAnsi"/>
          <w:bCs/>
        </w:rPr>
        <w:t>2 mm</w:t>
      </w:r>
      <w:r>
        <w:rPr>
          <w:rFonts w:asciiTheme="minorHAnsi" w:hAnsiTheme="minorHAnsi"/>
        </w:rPr>
        <w:t>.</w:t>
      </w:r>
    </w:p>
    <w:p w:rsidR="002412CC" w:rsidRDefault="002412CC" w:rsidP="002412CC">
      <w:pPr>
        <w:tabs>
          <w:tab w:val="left" w:pos="9914"/>
        </w:tabs>
        <w:rPr>
          <w:rFonts w:asciiTheme="minorHAnsi" w:hAnsiTheme="minorHAnsi"/>
        </w:rPr>
      </w:pPr>
      <w:r>
        <w:rPr>
          <w:rFonts w:asciiTheme="minorHAnsi" w:hAnsiTheme="minorHAnsi"/>
        </w:rPr>
        <w:t>Należy dbać, aby lepik asfaltowy miał odpowiednią lepkość przez cały czas smarowania zgodnie z instrukcją Producenta lub PN-B-24620:1998.</w:t>
      </w:r>
    </w:p>
    <w:p w:rsidR="00C32050" w:rsidRDefault="00C32050" w:rsidP="002412CC">
      <w:pPr>
        <w:tabs>
          <w:tab w:val="left" w:pos="9914"/>
        </w:tabs>
        <w:rPr>
          <w:rFonts w:asciiTheme="minorHAnsi" w:hAnsiTheme="minorHAnsi"/>
        </w:rPr>
      </w:pPr>
    </w:p>
    <w:p w:rsidR="00C32050" w:rsidRDefault="00C32050" w:rsidP="002412CC">
      <w:pPr>
        <w:tabs>
          <w:tab w:val="left" w:pos="9914"/>
        </w:tabs>
        <w:rPr>
          <w:rFonts w:asciiTheme="minorHAnsi" w:hAnsiTheme="minorHAnsi"/>
        </w:rPr>
      </w:pPr>
      <w:r>
        <w:rPr>
          <w:rFonts w:asciiTheme="minorHAnsi" w:hAnsiTheme="minorHAnsi"/>
        </w:rPr>
        <w:t>5.2.4 Układanie folii kubełkowej</w:t>
      </w:r>
    </w:p>
    <w:p w:rsidR="00C32050" w:rsidRPr="00C32050" w:rsidRDefault="00C32050" w:rsidP="002412CC">
      <w:pPr>
        <w:tabs>
          <w:tab w:val="left" w:pos="9914"/>
        </w:tabs>
        <w:rPr>
          <w:rFonts w:asciiTheme="minorHAnsi" w:hAnsiTheme="minorHAnsi"/>
        </w:rPr>
      </w:pPr>
      <w:r>
        <w:rPr>
          <w:rFonts w:asciiTheme="minorHAnsi" w:hAnsiTheme="minorHAnsi"/>
        </w:rPr>
        <w:t>Folię układać kubełkami w stronę ściany. Folię należy przymocować do ściany poprzez górną krawędź folii. Mocowanie do podłoża kołkami z podkładkami uszczelniającymi w ilości 5 szt/m2.</w:t>
      </w:r>
      <w:r w:rsidR="00AB3A4A">
        <w:rPr>
          <w:rFonts w:asciiTheme="minorHAnsi" w:hAnsiTheme="minorHAnsi"/>
        </w:rPr>
        <w:t xml:space="preserve"> Folię należy łączyć na zakład 10 – 15 cm. </w:t>
      </w:r>
      <w:r>
        <w:rPr>
          <w:rFonts w:asciiTheme="minorHAnsi" w:hAnsiTheme="minorHAnsi"/>
        </w:rPr>
        <w:t xml:space="preserve"> </w:t>
      </w:r>
      <w:r w:rsidR="00AB3A4A">
        <w:rPr>
          <w:rFonts w:asciiTheme="minorHAnsi" w:hAnsiTheme="minorHAnsi"/>
        </w:rPr>
        <w:t>N</w:t>
      </w:r>
      <w:r>
        <w:rPr>
          <w:rFonts w:asciiTheme="minorHAnsi" w:hAnsiTheme="minorHAnsi"/>
        </w:rPr>
        <w:t xml:space="preserve">astępnie </w:t>
      </w:r>
      <w:r w:rsidR="00AB3A4A">
        <w:rPr>
          <w:rFonts w:asciiTheme="minorHAnsi" w:hAnsiTheme="minorHAnsi"/>
        </w:rPr>
        <w:t xml:space="preserve">należy </w:t>
      </w:r>
      <w:r>
        <w:rPr>
          <w:rFonts w:asciiTheme="minorHAnsi" w:hAnsiTheme="minorHAnsi"/>
        </w:rPr>
        <w:t xml:space="preserve">zasypać </w:t>
      </w:r>
      <w:r w:rsidR="00AB3A4A">
        <w:rPr>
          <w:rFonts w:asciiTheme="minorHAnsi" w:hAnsiTheme="minorHAnsi"/>
        </w:rPr>
        <w:t xml:space="preserve">wykop </w:t>
      </w:r>
      <w:r>
        <w:rPr>
          <w:rFonts w:asciiTheme="minorHAnsi" w:hAnsiTheme="minorHAnsi"/>
        </w:rPr>
        <w:t>starannie ubijają</w:t>
      </w:r>
      <w:r w:rsidR="00AB3A4A">
        <w:rPr>
          <w:rFonts w:asciiTheme="minorHAnsi" w:hAnsiTheme="minorHAnsi"/>
        </w:rPr>
        <w:t>c</w:t>
      </w:r>
      <w:r>
        <w:rPr>
          <w:rFonts w:asciiTheme="minorHAnsi" w:hAnsiTheme="minorHAnsi"/>
        </w:rPr>
        <w:t xml:space="preserve"> zasypkę</w:t>
      </w:r>
    </w:p>
    <w:p w:rsidR="002412CC" w:rsidRPr="00E5206A" w:rsidRDefault="002412CC" w:rsidP="00E5206A">
      <w:pPr>
        <w:pStyle w:val="Nagwek3"/>
      </w:pPr>
      <w:r w:rsidRPr="00E5206A">
        <w:t>6. Kontrola jakości robót</w:t>
      </w:r>
    </w:p>
    <w:p w:rsidR="002412CC" w:rsidRDefault="002412CC" w:rsidP="002412CC">
      <w:pPr>
        <w:tabs>
          <w:tab w:val="left" w:pos="9914"/>
        </w:tabs>
        <w:rPr>
          <w:rFonts w:asciiTheme="minorHAnsi" w:hAnsiTheme="minorHAnsi"/>
        </w:rPr>
      </w:pPr>
      <w:r>
        <w:rPr>
          <w:rFonts w:asciiTheme="minorHAnsi" w:hAnsiTheme="minorHAnsi"/>
        </w:rPr>
        <w:t>Ogólne zasady kontroli jakości robót podano w STWiORB D-M.00.00.00 "Wymagania ogólne"pkt 6.</w:t>
      </w:r>
    </w:p>
    <w:p w:rsidR="002412CC" w:rsidRDefault="002412CC" w:rsidP="002412CC">
      <w:pPr>
        <w:pStyle w:val="Nagwek4"/>
        <w:tabs>
          <w:tab w:val="left" w:pos="9914"/>
        </w:tabs>
        <w:rPr>
          <w:rFonts w:asciiTheme="minorHAnsi" w:hAnsiTheme="minorHAnsi"/>
        </w:rPr>
      </w:pPr>
      <w:r>
        <w:t>6.1. Kontrola jakości robót przy wykonywaniu izolacji przeciwwodnej</w:t>
      </w:r>
    </w:p>
    <w:p w:rsidR="002412CC" w:rsidRDefault="002412CC" w:rsidP="002412CC">
      <w:pPr>
        <w:tabs>
          <w:tab w:val="left" w:pos="9914"/>
        </w:tabs>
        <w:rPr>
          <w:rFonts w:asciiTheme="minorHAnsi" w:hAnsiTheme="minorHAnsi"/>
        </w:rPr>
      </w:pPr>
      <w:r>
        <w:rPr>
          <w:rFonts w:asciiTheme="minorHAnsi" w:hAnsiTheme="minorHAnsi"/>
        </w:rPr>
        <w:t>Kontrolę jakości robót przy wykonywaniu izolacji przeciwwodnej na drogowym obiekcie mostowym sprawują:</w:t>
      </w:r>
    </w:p>
    <w:p w:rsidR="002412CC" w:rsidRDefault="002412CC" w:rsidP="002412CC">
      <w:pPr>
        <w:tabs>
          <w:tab w:val="left" w:pos="9914"/>
        </w:tabs>
        <w:rPr>
          <w:rFonts w:asciiTheme="minorHAnsi" w:hAnsiTheme="minorHAnsi"/>
        </w:rPr>
      </w:pPr>
      <w:r>
        <w:rPr>
          <w:rFonts w:asciiTheme="minorHAnsi" w:hAnsiTheme="minorHAnsi"/>
        </w:rPr>
        <w:t>Inżynier,</w:t>
      </w:r>
    </w:p>
    <w:p w:rsidR="002412CC" w:rsidRDefault="002412CC" w:rsidP="002412CC">
      <w:pPr>
        <w:tabs>
          <w:tab w:val="left" w:pos="9914"/>
        </w:tabs>
        <w:rPr>
          <w:rFonts w:asciiTheme="minorHAnsi" w:hAnsiTheme="minorHAnsi"/>
        </w:rPr>
      </w:pPr>
      <w:r>
        <w:rPr>
          <w:rFonts w:asciiTheme="minorHAnsi" w:hAnsiTheme="minorHAnsi"/>
        </w:rPr>
        <w:t>Wykonawca,.</w:t>
      </w:r>
    </w:p>
    <w:p w:rsidR="002412CC" w:rsidRDefault="002412CC" w:rsidP="002412CC">
      <w:pPr>
        <w:tabs>
          <w:tab w:val="left" w:pos="9914"/>
        </w:tabs>
        <w:rPr>
          <w:rFonts w:asciiTheme="minorHAnsi" w:hAnsiTheme="minorHAnsi"/>
        </w:rPr>
      </w:pPr>
      <w:r>
        <w:rPr>
          <w:rFonts w:asciiTheme="minorHAnsi" w:hAnsiTheme="minorHAnsi"/>
        </w:rPr>
        <w:t>służby pomocnicze, takie jak: laboratoria drogowe i ośrodki badawcze.</w:t>
      </w:r>
    </w:p>
    <w:p w:rsidR="002412CC" w:rsidRDefault="002412CC" w:rsidP="002412CC">
      <w:pPr>
        <w:pStyle w:val="Nagwek4"/>
        <w:tabs>
          <w:tab w:val="left" w:pos="9914"/>
        </w:tabs>
        <w:rPr>
          <w:rFonts w:asciiTheme="minorHAnsi" w:hAnsiTheme="minorHAnsi"/>
        </w:rPr>
      </w:pPr>
      <w:r>
        <w:t xml:space="preserve">6.2. Zakres kontroli jakości </w:t>
      </w:r>
    </w:p>
    <w:p w:rsidR="002412CC" w:rsidRDefault="002412CC" w:rsidP="002412CC">
      <w:pPr>
        <w:tabs>
          <w:tab w:val="left" w:pos="9914"/>
        </w:tabs>
        <w:rPr>
          <w:rFonts w:asciiTheme="minorHAnsi" w:hAnsiTheme="minorHAnsi"/>
        </w:rPr>
      </w:pPr>
      <w:r>
        <w:rPr>
          <w:rFonts w:asciiTheme="minorHAnsi" w:hAnsiTheme="minorHAnsi"/>
        </w:rPr>
        <w:t>Zakres kontroli jakości sprawdzamy za pomocą badań laboratoryjnych.</w:t>
      </w:r>
    </w:p>
    <w:p w:rsidR="002412CC" w:rsidRDefault="002412CC" w:rsidP="002412CC">
      <w:pPr>
        <w:tabs>
          <w:tab w:val="left" w:pos="9914"/>
        </w:tabs>
        <w:rPr>
          <w:rFonts w:asciiTheme="minorHAnsi" w:hAnsiTheme="minorHAnsi"/>
        </w:rPr>
      </w:pPr>
      <w:r>
        <w:rPr>
          <w:rFonts w:asciiTheme="minorHAnsi" w:hAnsiTheme="minorHAnsi"/>
        </w:rPr>
        <w:t>jakość betonu podłoża wg wymagań odnośnie betonu konstrukcyjnego,</w:t>
      </w:r>
    </w:p>
    <w:p w:rsidR="002412CC" w:rsidRDefault="002412CC" w:rsidP="002412CC">
      <w:pPr>
        <w:tabs>
          <w:tab w:val="left" w:pos="9914"/>
        </w:tabs>
        <w:rPr>
          <w:rFonts w:asciiTheme="minorHAnsi" w:hAnsiTheme="minorHAnsi"/>
        </w:rPr>
      </w:pPr>
      <w:r>
        <w:rPr>
          <w:rFonts w:asciiTheme="minorHAnsi" w:hAnsiTheme="minorHAnsi"/>
        </w:rPr>
        <w:t>jakość materiałów do gruntowania i izolowania na zimno powierzchni betonowej wg wymagań określonych w odpowiednich normach przedmiotowych lub Aprobacie Technicznej,</w:t>
      </w:r>
    </w:p>
    <w:p w:rsidR="002412CC" w:rsidRDefault="002412CC" w:rsidP="002412CC">
      <w:pPr>
        <w:tabs>
          <w:tab w:val="left" w:pos="9914"/>
        </w:tabs>
        <w:rPr>
          <w:rFonts w:asciiTheme="minorHAnsi" w:hAnsiTheme="minorHAnsi"/>
        </w:rPr>
      </w:pPr>
      <w:r>
        <w:rPr>
          <w:rFonts w:asciiTheme="minorHAnsi" w:hAnsiTheme="minorHAnsi"/>
        </w:rPr>
        <w:t xml:space="preserve">jakość materiałów warstwy ochronnej </w:t>
      </w:r>
      <w:r>
        <w:rPr>
          <w:rFonts w:asciiTheme="minorHAnsi" w:hAnsiTheme="minorHAnsi"/>
        </w:rPr>
        <w:noBreakHyphen/>
        <w:t xml:space="preserve"> wg norm i zasad badania drogowych materiałów i mas bitumicznych.</w:t>
      </w:r>
    </w:p>
    <w:p w:rsidR="002412CC" w:rsidRPr="00E5206A" w:rsidRDefault="002412CC" w:rsidP="00E5206A">
      <w:pPr>
        <w:pStyle w:val="Nagwek3"/>
      </w:pPr>
      <w:r w:rsidRPr="00E5206A">
        <w:t>7. Obmiar robót</w:t>
      </w:r>
    </w:p>
    <w:p w:rsidR="002412CC" w:rsidRDefault="002412CC" w:rsidP="002412CC">
      <w:pPr>
        <w:tabs>
          <w:tab w:val="left" w:pos="9914"/>
        </w:tabs>
        <w:rPr>
          <w:rFonts w:asciiTheme="minorHAnsi" w:hAnsiTheme="minorHAnsi"/>
        </w:rPr>
      </w:pPr>
      <w:r>
        <w:rPr>
          <w:rFonts w:asciiTheme="minorHAnsi" w:hAnsiTheme="minorHAnsi"/>
        </w:rPr>
        <w:t>Ogólne wymagania dotyczące obmiaru robót podano w STWiORB D-M.00.00.00 „Wymagania Ogólne” pkt 7.</w:t>
      </w:r>
    </w:p>
    <w:p w:rsidR="002412CC" w:rsidRDefault="002412CC" w:rsidP="002412CC">
      <w:pPr>
        <w:tabs>
          <w:tab w:val="left" w:pos="9914"/>
        </w:tabs>
        <w:rPr>
          <w:rFonts w:asciiTheme="minorHAnsi" w:hAnsiTheme="minorHAnsi"/>
        </w:rPr>
      </w:pPr>
      <w:r>
        <w:rPr>
          <w:rFonts w:asciiTheme="minorHAnsi" w:hAnsiTheme="minorHAnsi"/>
        </w:rPr>
        <w:t>Jednostką obmiarową jest m</w:t>
      </w:r>
      <w:r>
        <w:rPr>
          <w:rFonts w:asciiTheme="minorHAnsi" w:hAnsiTheme="minorHAnsi"/>
          <w:vertAlign w:val="superscript"/>
        </w:rPr>
        <w:t>2</w:t>
      </w:r>
      <w:r>
        <w:rPr>
          <w:rFonts w:asciiTheme="minorHAnsi" w:hAnsiTheme="minorHAnsi"/>
        </w:rPr>
        <w:t xml:space="preserve"> (metr kwadratowy) </w:t>
      </w:r>
    </w:p>
    <w:p w:rsidR="002412CC" w:rsidRPr="00E5206A" w:rsidRDefault="002412CC" w:rsidP="00E5206A">
      <w:pPr>
        <w:pStyle w:val="Nagwek3"/>
      </w:pPr>
      <w:r w:rsidRPr="00E5206A">
        <w:t>8. Odbiór robót</w:t>
      </w:r>
    </w:p>
    <w:p w:rsidR="002412CC" w:rsidRDefault="002412CC" w:rsidP="002412CC">
      <w:pPr>
        <w:tabs>
          <w:tab w:val="left" w:pos="9914"/>
        </w:tabs>
        <w:rPr>
          <w:rFonts w:asciiTheme="minorHAnsi" w:hAnsiTheme="minorHAnsi"/>
        </w:rPr>
      </w:pPr>
      <w:r>
        <w:rPr>
          <w:rFonts w:asciiTheme="minorHAnsi" w:hAnsiTheme="minorHAnsi"/>
        </w:rPr>
        <w:t>Ogólne zasady odbioru robót podano w STWiORB D-M.00.00.00 "Wymagania ogólne" pkt 8.</w:t>
      </w:r>
    </w:p>
    <w:p w:rsidR="002412CC" w:rsidRDefault="002412CC" w:rsidP="002412CC">
      <w:pPr>
        <w:tabs>
          <w:tab w:val="left" w:pos="9914"/>
        </w:tabs>
        <w:rPr>
          <w:rFonts w:asciiTheme="minorHAnsi" w:hAnsiTheme="minorHAnsi"/>
        </w:rPr>
      </w:pPr>
      <w:r>
        <w:rPr>
          <w:rFonts w:asciiTheme="minorHAnsi" w:hAnsiTheme="minorHAnsi"/>
        </w:rPr>
        <w:t>Odbiorom robót podlegają wszystkie operacje związane z wykonaniem izolacji:</w:t>
      </w:r>
    </w:p>
    <w:p w:rsidR="002412CC" w:rsidRDefault="002412CC" w:rsidP="002412CC">
      <w:pPr>
        <w:tabs>
          <w:tab w:val="left" w:pos="9914"/>
        </w:tabs>
        <w:rPr>
          <w:rFonts w:asciiTheme="minorHAnsi" w:hAnsiTheme="minorHAnsi"/>
        </w:rPr>
      </w:pPr>
      <w:r>
        <w:rPr>
          <w:rFonts w:asciiTheme="minorHAnsi" w:hAnsiTheme="minorHAnsi"/>
        </w:rPr>
        <w:t>przygotowanie powierzchni do ułożenia izolacji,</w:t>
      </w:r>
    </w:p>
    <w:p w:rsidR="002412CC" w:rsidRDefault="002412CC" w:rsidP="002412CC">
      <w:pPr>
        <w:tabs>
          <w:tab w:val="left" w:pos="9914"/>
        </w:tabs>
        <w:rPr>
          <w:rFonts w:asciiTheme="minorHAnsi" w:hAnsiTheme="minorHAnsi"/>
        </w:rPr>
      </w:pPr>
      <w:r>
        <w:rPr>
          <w:rFonts w:asciiTheme="minorHAnsi" w:hAnsiTheme="minorHAnsi"/>
        </w:rPr>
        <w:t>zagruntowanie podłoża,</w:t>
      </w:r>
    </w:p>
    <w:p w:rsidR="002412CC" w:rsidRDefault="002412CC" w:rsidP="002412CC">
      <w:pPr>
        <w:tabs>
          <w:tab w:val="left" w:pos="9914"/>
        </w:tabs>
        <w:rPr>
          <w:rFonts w:asciiTheme="minorHAnsi" w:hAnsiTheme="minorHAnsi"/>
        </w:rPr>
      </w:pPr>
      <w:r>
        <w:rPr>
          <w:rFonts w:asciiTheme="minorHAnsi" w:hAnsiTheme="minorHAnsi"/>
        </w:rPr>
        <w:t>wykonanie warstwy izolacji,</w:t>
      </w:r>
    </w:p>
    <w:p w:rsidR="002412CC" w:rsidRDefault="002412CC" w:rsidP="002412CC">
      <w:pPr>
        <w:tabs>
          <w:tab w:val="left" w:pos="9914"/>
        </w:tabs>
        <w:rPr>
          <w:rFonts w:asciiTheme="minorHAnsi" w:hAnsiTheme="minorHAnsi"/>
        </w:rPr>
      </w:pPr>
      <w:r>
        <w:rPr>
          <w:rFonts w:asciiTheme="minorHAnsi" w:hAnsiTheme="minorHAnsi"/>
        </w:rPr>
        <w:t>warstwy ochronnej izolacji w formie zasypki wokół izolowanych powierzchni.</w:t>
      </w:r>
    </w:p>
    <w:p w:rsidR="002412CC" w:rsidRDefault="002412CC" w:rsidP="002412CC">
      <w:pPr>
        <w:tabs>
          <w:tab w:val="left" w:pos="9914"/>
        </w:tabs>
        <w:rPr>
          <w:rFonts w:asciiTheme="minorHAnsi" w:hAnsiTheme="minorHAnsi"/>
        </w:rPr>
      </w:pPr>
      <w:r>
        <w:rPr>
          <w:rFonts w:asciiTheme="minorHAnsi" w:hAnsiTheme="minorHAnsi"/>
        </w:rPr>
        <w:t xml:space="preserve">Odbiór każdego etapu powinien być potwierdzony wpisem do Dziennika Budowy. </w:t>
      </w:r>
    </w:p>
    <w:p w:rsidR="002412CC" w:rsidRDefault="002412CC" w:rsidP="002412CC">
      <w:pPr>
        <w:tabs>
          <w:tab w:val="left" w:pos="9914"/>
        </w:tabs>
        <w:rPr>
          <w:rFonts w:asciiTheme="minorHAnsi" w:hAnsiTheme="minorHAnsi"/>
        </w:rPr>
      </w:pPr>
      <w:r>
        <w:rPr>
          <w:rFonts w:asciiTheme="minorHAnsi" w:hAnsiTheme="minorHAnsi"/>
        </w:rPr>
        <w:t>Czynność odbioru winna być wykonana i udokumentowana odpowiednim protokółem zgodnie z przyjętymi w STWiORB D-M.00.00.00. zasadami.</w:t>
      </w:r>
    </w:p>
    <w:p w:rsidR="002412CC" w:rsidRPr="00E5206A" w:rsidRDefault="002412CC" w:rsidP="00E5206A">
      <w:pPr>
        <w:pStyle w:val="Nagwek3"/>
      </w:pPr>
      <w:r w:rsidRPr="00E5206A">
        <w:lastRenderedPageBreak/>
        <w:t>9. Podstawa płatności</w:t>
      </w:r>
    </w:p>
    <w:p w:rsidR="002412CC" w:rsidRDefault="002412CC" w:rsidP="002412CC">
      <w:pPr>
        <w:tabs>
          <w:tab w:val="left" w:pos="9914"/>
        </w:tabs>
        <w:rPr>
          <w:rFonts w:asciiTheme="minorHAnsi" w:hAnsiTheme="minorHAnsi"/>
        </w:rPr>
      </w:pPr>
      <w:r>
        <w:rPr>
          <w:rFonts w:asciiTheme="minorHAnsi" w:hAnsiTheme="minorHAnsi"/>
        </w:rPr>
        <w:t>Ogólne wymagania dotyczące płatności podano w STWiORB D</w:t>
      </w:r>
      <w:r>
        <w:rPr>
          <w:rFonts w:asciiTheme="minorHAnsi" w:hAnsiTheme="minorHAnsi"/>
        </w:rPr>
        <w:noBreakHyphen/>
        <w:t>M.00.00.00 "Wymagania ogólne" pkt 9.</w:t>
      </w:r>
    </w:p>
    <w:p w:rsidR="002412CC" w:rsidRDefault="002412CC" w:rsidP="002412CC">
      <w:pPr>
        <w:tabs>
          <w:tab w:val="left" w:pos="9914"/>
        </w:tabs>
        <w:rPr>
          <w:rFonts w:asciiTheme="minorHAnsi" w:hAnsiTheme="minorHAnsi"/>
        </w:rPr>
      </w:pPr>
      <w:r>
        <w:rPr>
          <w:rFonts w:asciiTheme="minorHAnsi" w:hAnsiTheme="minorHAnsi"/>
        </w:rPr>
        <w:t>Cena wykonania robót obejmuje w szczególności:</w:t>
      </w:r>
    </w:p>
    <w:p w:rsidR="002412CC" w:rsidRDefault="002412CC" w:rsidP="002412CC">
      <w:pPr>
        <w:tabs>
          <w:tab w:val="left" w:pos="9914"/>
        </w:tabs>
        <w:rPr>
          <w:rFonts w:asciiTheme="minorHAnsi" w:hAnsiTheme="minorHAnsi"/>
        </w:rPr>
      </w:pPr>
      <w:r>
        <w:rPr>
          <w:rFonts w:asciiTheme="minorHAnsi" w:hAnsiTheme="minorHAnsi"/>
        </w:rPr>
        <w:t>prace przygotowawcze,</w:t>
      </w:r>
    </w:p>
    <w:p w:rsidR="002412CC" w:rsidRDefault="002412CC" w:rsidP="002412CC">
      <w:pPr>
        <w:tabs>
          <w:tab w:val="left" w:pos="9914"/>
        </w:tabs>
        <w:rPr>
          <w:rFonts w:asciiTheme="minorHAnsi" w:hAnsiTheme="minorHAnsi"/>
        </w:rPr>
      </w:pPr>
      <w:r>
        <w:rPr>
          <w:rFonts w:asciiTheme="minorHAnsi" w:hAnsiTheme="minorHAnsi"/>
        </w:rPr>
        <w:t>transport materiałów przewidzianych do wykonania robót,</w:t>
      </w:r>
    </w:p>
    <w:p w:rsidR="002412CC" w:rsidRDefault="002412CC" w:rsidP="002412CC">
      <w:pPr>
        <w:tabs>
          <w:tab w:val="left" w:pos="9914"/>
        </w:tabs>
        <w:rPr>
          <w:rFonts w:asciiTheme="minorHAnsi" w:hAnsiTheme="minorHAnsi"/>
        </w:rPr>
      </w:pPr>
      <w:r>
        <w:rPr>
          <w:rFonts w:asciiTheme="minorHAnsi" w:hAnsiTheme="minorHAnsi"/>
        </w:rPr>
        <w:t>przygotowanie i oczyszczenie powierzchni przed izolowaniem,</w:t>
      </w:r>
    </w:p>
    <w:p w:rsidR="002412CC" w:rsidRDefault="002412CC" w:rsidP="002412CC">
      <w:pPr>
        <w:tabs>
          <w:tab w:val="left" w:pos="9914"/>
        </w:tabs>
        <w:rPr>
          <w:rFonts w:asciiTheme="minorHAnsi" w:hAnsiTheme="minorHAnsi"/>
        </w:rPr>
      </w:pPr>
      <w:r>
        <w:rPr>
          <w:rFonts w:asciiTheme="minorHAnsi" w:hAnsiTheme="minorHAnsi"/>
        </w:rPr>
        <w:t>zagruntowanie powierzchni elementów betonowych,</w:t>
      </w:r>
    </w:p>
    <w:p w:rsidR="002412CC" w:rsidRDefault="002412CC" w:rsidP="002412CC">
      <w:pPr>
        <w:tabs>
          <w:tab w:val="left" w:pos="9914"/>
        </w:tabs>
        <w:rPr>
          <w:rFonts w:asciiTheme="minorHAnsi" w:hAnsiTheme="minorHAnsi"/>
        </w:rPr>
      </w:pPr>
      <w:r>
        <w:rPr>
          <w:rFonts w:asciiTheme="minorHAnsi" w:hAnsiTheme="minorHAnsi"/>
        </w:rPr>
        <w:t>dwukrotne posmarowanie powierzchni betonu materiałem do izolacji na zimno,</w:t>
      </w:r>
    </w:p>
    <w:p w:rsidR="00AB3A4A" w:rsidRDefault="00AB3A4A" w:rsidP="002412CC">
      <w:pPr>
        <w:tabs>
          <w:tab w:val="left" w:pos="9914"/>
        </w:tabs>
        <w:rPr>
          <w:rFonts w:asciiTheme="minorHAnsi" w:hAnsiTheme="minorHAnsi"/>
        </w:rPr>
      </w:pPr>
      <w:r>
        <w:rPr>
          <w:rFonts w:asciiTheme="minorHAnsi" w:hAnsiTheme="minorHAnsi"/>
        </w:rPr>
        <w:t>ułożenie folii kubełkowej</w:t>
      </w:r>
    </w:p>
    <w:p w:rsidR="002412CC" w:rsidRDefault="002412CC" w:rsidP="002412CC">
      <w:pPr>
        <w:tabs>
          <w:tab w:val="left" w:pos="9914"/>
        </w:tabs>
        <w:rPr>
          <w:rFonts w:asciiTheme="minorHAnsi" w:hAnsiTheme="minorHAnsi"/>
        </w:rPr>
      </w:pPr>
      <w:r>
        <w:rPr>
          <w:rFonts w:asciiTheme="minorHAnsi" w:hAnsiTheme="minorHAnsi"/>
        </w:rPr>
        <w:t>uporządkowanie miejsca robot i usunięcie pozostałych materiałów poza pas drogowy,</w:t>
      </w:r>
    </w:p>
    <w:p w:rsidR="002412CC" w:rsidRDefault="002412CC" w:rsidP="002412CC">
      <w:pPr>
        <w:tabs>
          <w:tab w:val="left" w:pos="9914"/>
        </w:tabs>
        <w:rPr>
          <w:rFonts w:asciiTheme="minorHAnsi" w:hAnsiTheme="minorHAnsi"/>
        </w:rPr>
      </w:pPr>
      <w:r>
        <w:rPr>
          <w:rFonts w:asciiTheme="minorHAnsi" w:hAnsiTheme="minorHAnsi"/>
        </w:rPr>
        <w:t>wykonanie niezbędnych pomiarów i badań laboratoryjnych wymaganych w Specyfikacji.</w:t>
      </w:r>
    </w:p>
    <w:p w:rsidR="002412CC" w:rsidRPr="00E5206A" w:rsidRDefault="002412CC" w:rsidP="00E5206A">
      <w:pPr>
        <w:pStyle w:val="Nagwek3"/>
      </w:pPr>
      <w:r w:rsidRPr="00E5206A">
        <w:t>10. Przepisy związane</w:t>
      </w:r>
    </w:p>
    <w:p w:rsidR="002412CC" w:rsidRDefault="002412CC" w:rsidP="002412CC">
      <w:pPr>
        <w:tabs>
          <w:tab w:val="left" w:pos="9914"/>
        </w:tabs>
        <w:rPr>
          <w:rFonts w:asciiTheme="minorHAnsi" w:hAnsiTheme="minorHAnsi"/>
        </w:rPr>
      </w:pPr>
      <w:r>
        <w:rPr>
          <w:rFonts w:asciiTheme="minorHAnsi" w:hAnsiTheme="minorHAnsi"/>
        </w:rPr>
        <w:t>PN-B-10260 Izolacje bitumiczne. wymagania i badania przy odbiorze</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B</w:t>
      </w:r>
      <w:r>
        <w:rPr>
          <w:rFonts w:asciiTheme="minorHAnsi" w:hAnsiTheme="minorHAnsi"/>
        </w:rPr>
        <w:noBreakHyphen/>
        <w:t>24620:1998 Lepik, masy i roztwory asfaltowe stosowane na zimno.</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B-24002:1997 Asfaltowa emulsja anionowa</w:t>
      </w:r>
    </w:p>
    <w:p w:rsidR="002412CC" w:rsidRDefault="002412CC" w:rsidP="002412CC">
      <w:pPr>
        <w:tabs>
          <w:tab w:val="left" w:pos="9914"/>
        </w:tabs>
        <w:rPr>
          <w:rFonts w:asciiTheme="minorHAnsi" w:hAnsiTheme="minorHAnsi"/>
        </w:rPr>
      </w:pPr>
      <w:r>
        <w:rPr>
          <w:rFonts w:asciiTheme="minorHAnsi" w:hAnsiTheme="minorHAnsi"/>
        </w:rPr>
        <w:t>PN</w:t>
      </w:r>
      <w:r>
        <w:rPr>
          <w:rFonts w:asciiTheme="minorHAnsi" w:hAnsiTheme="minorHAnsi"/>
        </w:rPr>
        <w:noBreakHyphen/>
        <w:t>B-24003:1997 Asfaltowa emulsja kationowa</w:t>
      </w:r>
    </w:p>
    <w:p w:rsidR="002412CC" w:rsidRDefault="002412CC" w:rsidP="002412CC">
      <w:pPr>
        <w:tabs>
          <w:tab w:val="left" w:pos="9914"/>
        </w:tabs>
        <w:rPr>
          <w:rFonts w:asciiTheme="minorHAnsi" w:hAnsiTheme="minorHAnsi"/>
        </w:rPr>
      </w:pPr>
      <w:r>
        <w:rPr>
          <w:rFonts w:asciiTheme="minorHAnsi" w:hAnsiTheme="minorHAnsi"/>
        </w:rPr>
        <w:t xml:space="preserve">ROZPORZĄDZENIE MINISTRA TRANSPORTU I GOSPODARKI MORSKIEJ z dnia 30 maja 2000 r. w sprawie warunków technicznych, jakim powinny odpowiadać drogowe obiekty inżynierskie i ich usytuowanie. (Dz. U. Nr 63 poz. 735 - z dnia 3.08 2000 r.) </w:t>
      </w:r>
    </w:p>
    <w:p w:rsidR="002412CC" w:rsidRDefault="002412CC" w:rsidP="002412CC">
      <w:pPr>
        <w:pStyle w:val="Default"/>
        <w:rPr>
          <w:sz w:val="20"/>
          <w:szCs w:val="20"/>
        </w:rPr>
      </w:pPr>
    </w:p>
    <w:p w:rsidR="002412CC" w:rsidRDefault="002412CC" w:rsidP="002412CC">
      <w:pPr>
        <w:pStyle w:val="Default"/>
        <w:rPr>
          <w:sz w:val="20"/>
          <w:szCs w:val="20"/>
        </w:rPr>
      </w:pPr>
    </w:p>
    <w:p w:rsidR="002412CC" w:rsidRDefault="002412CC" w:rsidP="002412CC">
      <w:pPr>
        <w:pStyle w:val="Default"/>
        <w:rPr>
          <w:sz w:val="20"/>
          <w:szCs w:val="20"/>
        </w:rPr>
      </w:pPr>
    </w:p>
    <w:p w:rsidR="002412CC" w:rsidRDefault="002412CC" w:rsidP="002412CC">
      <w:pPr>
        <w:pStyle w:val="Default"/>
        <w:rPr>
          <w:sz w:val="20"/>
          <w:szCs w:val="20"/>
        </w:rPr>
      </w:pPr>
    </w:p>
    <w:p w:rsidR="002412CC" w:rsidRDefault="002412CC" w:rsidP="002412CC">
      <w:pPr>
        <w:pStyle w:val="Default"/>
        <w:rPr>
          <w:sz w:val="20"/>
          <w:szCs w:val="20"/>
        </w:rPr>
      </w:pPr>
    </w:p>
    <w:p w:rsidR="002412CC" w:rsidRDefault="002412CC" w:rsidP="002412CC">
      <w:pPr>
        <w:pStyle w:val="Default"/>
        <w:rPr>
          <w:sz w:val="20"/>
          <w:szCs w:val="20"/>
        </w:rPr>
      </w:pPr>
    </w:p>
    <w:p w:rsidR="002412CC" w:rsidRDefault="002412CC" w:rsidP="002412CC">
      <w:pPr>
        <w:pStyle w:val="Default"/>
        <w:rPr>
          <w:sz w:val="20"/>
          <w:szCs w:val="20"/>
        </w:rPr>
      </w:pPr>
    </w:p>
    <w:p w:rsidR="002412CC" w:rsidRDefault="002412CC" w:rsidP="002412CC">
      <w:pPr>
        <w:pStyle w:val="Default"/>
        <w:rPr>
          <w:sz w:val="20"/>
          <w:szCs w:val="20"/>
        </w:rPr>
      </w:pPr>
    </w:p>
    <w:p w:rsidR="00E5206A" w:rsidRDefault="00E5206A">
      <w:pPr>
        <w:overflowPunct/>
        <w:autoSpaceDE/>
        <w:autoSpaceDN/>
        <w:adjustRightInd/>
        <w:jc w:val="left"/>
        <w:textAlignment w:val="auto"/>
        <w:rPr>
          <w:rFonts w:asciiTheme="minorHAnsi" w:hAnsiTheme="minorHAnsi" w:cs="Calibri"/>
          <w:b/>
          <w:sz w:val="24"/>
          <w:szCs w:val="24"/>
        </w:rPr>
      </w:pPr>
    </w:p>
    <w:sectPr w:rsidR="00E5206A" w:rsidSect="00AF470B">
      <w:pgSz w:w="11907" w:h="16840" w:code="9"/>
      <w:pgMar w:top="1417" w:right="1134" w:bottom="1417" w:left="1417" w:header="851" w:footer="851"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90883" w:rsidRDefault="00790883" w:rsidP="00BF1041">
      <w:r>
        <w:separator/>
      </w:r>
    </w:p>
  </w:endnote>
  <w:endnote w:type="continuationSeparator" w:id="0">
    <w:p w:rsidR="00790883" w:rsidRDefault="00790883" w:rsidP="00BF1041">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Verdana">
    <w:panose1 w:val="020B0604030504040204"/>
    <w:charset w:val="EE"/>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TTE18C80C0t00">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S Reference Sans Serif">
    <w:panose1 w:val="020B0604030504040204"/>
    <w:charset w:val="EE"/>
    <w:family w:val="swiss"/>
    <w:pitch w:val="variable"/>
    <w:sig w:usb0="20000287" w:usb1="00000000" w:usb2="00000000" w:usb3="00000000" w:csb0="0000019F" w:csb1="00000000"/>
  </w:font>
  <w:font w:name="Aharoni">
    <w:panose1 w:val="02010803020104030203"/>
    <w:charset w:val="B1"/>
    <w:family w:val="auto"/>
    <w:pitch w:val="variable"/>
    <w:sig w:usb0="00000801" w:usb1="00000000" w:usb2="00000000" w:usb3="00000000" w:csb0="00000020" w:csb1="00000000"/>
  </w:font>
  <w:font w:name="Franklin Gothic Demi">
    <w:panose1 w:val="020B07030201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Consolas">
    <w:panose1 w:val="020B0609020204030204"/>
    <w:charset w:val="EE"/>
    <w:family w:val="modern"/>
    <w:pitch w:val="fixed"/>
    <w:sig w:usb0="E10002FF" w:usb1="4000FCFF" w:usb2="00000009" w:usb3="00000000" w:csb0="0000019F" w:csb1="00000000"/>
  </w:font>
  <w:font w:name="Arial Narrow">
    <w:panose1 w:val="020B0606020202030204"/>
    <w:charset w:val="EE"/>
    <w:family w:val="swiss"/>
    <w:pitch w:val="variable"/>
    <w:sig w:usb0="00000287" w:usb1="00000800" w:usb2="00000000" w:usb3="00000000" w:csb0="0000009F" w:csb1="00000000"/>
  </w:font>
  <w:font w:name="TimesNewRoman">
    <w:altName w:val="Arial Unicode MS"/>
    <w:panose1 w:val="00000000000000000000"/>
    <w:charset w:val="80"/>
    <w:family w:val="auto"/>
    <w:notTrueType/>
    <w:pitch w:val="default"/>
    <w:sig w:usb0="00000005" w:usb1="08070000" w:usb2="00000010" w:usb3="00000000" w:csb0="00020002" w:csb1="00000000"/>
  </w:font>
  <w:font w:name="TimesNewRoman,Bold">
    <w:altName w:val="Arial Unicode MS"/>
    <w:panose1 w:val="00000000000000000000"/>
    <w:charset w:val="80"/>
    <w:family w:val="auto"/>
    <w:notTrueType/>
    <w:pitch w:val="default"/>
    <w:sig w:usb0="00000005" w:usb1="08070000" w:usb2="00000010" w:usb3="00000000" w:csb0="00020002" w:csb1="00000000"/>
  </w:font>
  <w:font w:name="TimesNewRomanPSMT">
    <w:panose1 w:val="00000000000000000000"/>
    <w:charset w:val="EE"/>
    <w:family w:val="auto"/>
    <w:notTrueType/>
    <w:pitch w:val="default"/>
    <w:sig w:usb0="00000005" w:usb1="00000000" w:usb2="00000000" w:usb3="00000000" w:csb0="00000002" w:csb1="00000000"/>
  </w:font>
  <w:font w:name="TimesNewRomanPS-BoldMT">
    <w:altName w:val="Times New Roman"/>
    <w:panose1 w:val="00000000000000000000"/>
    <w:charset w:val="00"/>
    <w:family w:val="roman"/>
    <w:notTrueType/>
    <w:pitch w:val="default"/>
    <w:sig w:usb0="00000007" w:usb1="00000000" w:usb2="00000000" w:usb3="00000000" w:csb0="00000003" w:csb1="00000000"/>
  </w:font>
  <w:font w:name="+TimesNewRoman">
    <w:altName w:val="Times New Roman"/>
    <w:panose1 w:val="00000000000000000000"/>
    <w:charset w:val="00"/>
    <w:family w:val="auto"/>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45716" w:rsidRPr="0096286F" w:rsidRDefault="00845716" w:rsidP="0079565D">
    <w:pPr>
      <w:pStyle w:val="Stopka"/>
      <w:pBdr>
        <w:top w:val="single" w:sz="4" w:space="1" w:color="auto"/>
      </w:pBdr>
      <w:jc w:val="center"/>
      <w:rPr>
        <w:rFonts w:ascii="Calibri" w:hAnsi="Calibri"/>
        <w:sz w:val="16"/>
        <w:szCs w:val="16"/>
      </w:rPr>
    </w:pPr>
    <w:r>
      <w:rPr>
        <w:rFonts w:ascii="Calibri" w:hAnsi="Calibri"/>
        <w:sz w:val="16"/>
        <w:szCs w:val="16"/>
      </w:rPr>
      <w:t>Specyfikacje techniczne</w:t>
    </w:r>
    <w:r w:rsidRPr="0096286F">
      <w:rPr>
        <w:rFonts w:ascii="Calibri" w:hAnsi="Calibri"/>
        <w:sz w:val="16"/>
        <w:szCs w:val="16"/>
      </w:rPr>
      <w:t xml:space="preserve"> wykonania i odbioru </w:t>
    </w:r>
    <w:r>
      <w:rPr>
        <w:rFonts w:ascii="Calibri" w:hAnsi="Calibri"/>
        <w:sz w:val="16"/>
        <w:szCs w:val="16"/>
      </w:rPr>
      <w:t xml:space="preserve">robót budowlanych </w:t>
    </w:r>
    <w:r w:rsidRPr="0096286F">
      <w:rPr>
        <w:rFonts w:ascii="Calibri" w:hAnsi="Calibri"/>
        <w:sz w:val="16"/>
        <w:szCs w:val="16"/>
      </w:rPr>
      <w:t>dla zadania</w:t>
    </w:r>
  </w:p>
  <w:tbl>
    <w:tblPr>
      <w:tblW w:w="0" w:type="auto"/>
      <w:tblLook w:val="00A0"/>
    </w:tblPr>
    <w:tblGrid>
      <w:gridCol w:w="3070"/>
      <w:gridCol w:w="3071"/>
      <w:gridCol w:w="3071"/>
    </w:tblGrid>
    <w:tr w:rsidR="00845716" w:rsidRPr="0096286F" w:rsidTr="007A3283">
      <w:tc>
        <w:tcPr>
          <w:tcW w:w="9212" w:type="dxa"/>
          <w:gridSpan w:val="3"/>
        </w:tcPr>
        <w:p w:rsidR="00845716" w:rsidRPr="00F57D49" w:rsidRDefault="00845716" w:rsidP="00B26FFB">
          <w:pPr>
            <w:pStyle w:val="Stopka"/>
            <w:jc w:val="center"/>
            <w:rPr>
              <w:rFonts w:ascii="Calibri" w:hAnsi="Calibri"/>
              <w:sz w:val="16"/>
              <w:szCs w:val="16"/>
            </w:rPr>
          </w:pPr>
          <w:r w:rsidRPr="00F57D49">
            <w:rPr>
              <w:rFonts w:asciiTheme="minorHAnsi" w:hAnsiTheme="minorHAnsi"/>
              <w:sz w:val="16"/>
              <w:szCs w:val="16"/>
            </w:rPr>
            <w:t>„Budowa parkingu wraz z drogą manewrową przy ul. Armii Krajowej w Wałbrzychu zlokalizowanego na dz. nr ew. 113, 116/1, obr. 20 Stary Zdrój (przy budynkach mieszkalnych nr 46 i 54)"</w:t>
          </w:r>
        </w:p>
      </w:tc>
    </w:tr>
    <w:tr w:rsidR="00845716" w:rsidTr="007A3283">
      <w:trPr>
        <w:trHeight w:val="80"/>
      </w:trPr>
      <w:tc>
        <w:tcPr>
          <w:tcW w:w="3070" w:type="dxa"/>
        </w:tcPr>
        <w:p w:rsidR="00845716" w:rsidRPr="00D07453" w:rsidRDefault="00845716" w:rsidP="007A3283">
          <w:pPr>
            <w:pStyle w:val="Stopka"/>
            <w:jc w:val="center"/>
            <w:rPr>
              <w:rFonts w:ascii="Calibri" w:hAnsi="Calibri"/>
              <w:sz w:val="16"/>
              <w:szCs w:val="16"/>
            </w:rPr>
          </w:pPr>
        </w:p>
      </w:tc>
      <w:tc>
        <w:tcPr>
          <w:tcW w:w="3071" w:type="dxa"/>
        </w:tcPr>
        <w:p w:rsidR="00845716" w:rsidRPr="00D07453" w:rsidRDefault="00845716" w:rsidP="007A3283">
          <w:pPr>
            <w:pStyle w:val="Stopka"/>
            <w:jc w:val="center"/>
            <w:rPr>
              <w:rFonts w:ascii="Calibri" w:hAnsi="Calibri"/>
              <w:sz w:val="16"/>
              <w:szCs w:val="16"/>
            </w:rPr>
          </w:pPr>
          <w:r w:rsidRPr="00D07453">
            <w:rPr>
              <w:rFonts w:ascii="Calibri" w:hAnsi="Calibri"/>
              <w:sz w:val="16"/>
              <w:szCs w:val="16"/>
            </w:rPr>
            <w:t xml:space="preserve">- </w:t>
          </w:r>
          <w:r w:rsidRPr="00D07453">
            <w:rPr>
              <w:rFonts w:ascii="Calibri" w:hAnsi="Calibri"/>
              <w:sz w:val="16"/>
              <w:szCs w:val="16"/>
            </w:rPr>
            <w:fldChar w:fldCharType="begin"/>
          </w:r>
          <w:r w:rsidRPr="00D07453">
            <w:rPr>
              <w:rFonts w:ascii="Calibri" w:hAnsi="Calibri"/>
              <w:sz w:val="16"/>
              <w:szCs w:val="16"/>
            </w:rPr>
            <w:instrText xml:space="preserve"> PAGE   \* MERGEFORMAT </w:instrText>
          </w:r>
          <w:r w:rsidRPr="00D07453">
            <w:rPr>
              <w:rFonts w:ascii="Calibri" w:hAnsi="Calibri"/>
              <w:sz w:val="16"/>
              <w:szCs w:val="16"/>
            </w:rPr>
            <w:fldChar w:fldCharType="separate"/>
          </w:r>
          <w:r w:rsidR="00F319D0">
            <w:rPr>
              <w:rFonts w:ascii="Calibri" w:hAnsi="Calibri"/>
              <w:noProof/>
              <w:sz w:val="16"/>
              <w:szCs w:val="16"/>
            </w:rPr>
            <w:t>180</w:t>
          </w:r>
          <w:r w:rsidRPr="00D07453">
            <w:rPr>
              <w:rFonts w:ascii="Calibri" w:hAnsi="Calibri"/>
              <w:sz w:val="16"/>
              <w:szCs w:val="16"/>
            </w:rPr>
            <w:fldChar w:fldCharType="end"/>
          </w:r>
          <w:r w:rsidRPr="00D07453">
            <w:rPr>
              <w:rFonts w:ascii="Calibri" w:hAnsi="Calibri"/>
              <w:sz w:val="16"/>
              <w:szCs w:val="16"/>
            </w:rPr>
            <w:t xml:space="preserve"> -</w:t>
          </w:r>
        </w:p>
      </w:tc>
      <w:tc>
        <w:tcPr>
          <w:tcW w:w="3071" w:type="dxa"/>
        </w:tcPr>
        <w:p w:rsidR="00845716" w:rsidRPr="00D07453" w:rsidRDefault="00845716" w:rsidP="007A3283">
          <w:pPr>
            <w:pStyle w:val="Stopka"/>
            <w:jc w:val="center"/>
            <w:rPr>
              <w:rFonts w:ascii="Calibri" w:hAnsi="Calibri"/>
              <w:sz w:val="16"/>
              <w:szCs w:val="16"/>
            </w:rPr>
          </w:pPr>
        </w:p>
      </w:tc>
    </w:tr>
  </w:tbl>
  <w:p w:rsidR="00845716" w:rsidRDefault="00845716">
    <w:pPr>
      <w:pStyle w:val="Stopk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90883" w:rsidRDefault="00790883" w:rsidP="00BF1041">
      <w:r>
        <w:separator/>
      </w:r>
    </w:p>
  </w:footnote>
  <w:footnote w:type="continuationSeparator" w:id="0">
    <w:p w:rsidR="00790883" w:rsidRDefault="00790883" w:rsidP="00BF104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Look w:val="00A0"/>
    </w:tblPr>
    <w:tblGrid>
      <w:gridCol w:w="1384"/>
      <w:gridCol w:w="284"/>
      <w:gridCol w:w="3827"/>
      <w:gridCol w:w="284"/>
      <w:gridCol w:w="3118"/>
      <w:gridCol w:w="284"/>
    </w:tblGrid>
    <w:tr w:rsidR="00845716" w:rsidRPr="00D07453" w:rsidTr="007A3283">
      <w:trPr>
        <w:gridAfter w:val="1"/>
        <w:wAfter w:w="284" w:type="dxa"/>
      </w:trPr>
      <w:tc>
        <w:tcPr>
          <w:tcW w:w="1384" w:type="dxa"/>
        </w:tcPr>
        <w:p w:rsidR="00845716" w:rsidRDefault="00845716" w:rsidP="007A3283">
          <w:pPr>
            <w:pStyle w:val="Nagwek"/>
            <w:rPr>
              <w:rFonts w:ascii="Calibri" w:hAnsi="Calibri"/>
              <w:sz w:val="16"/>
              <w:szCs w:val="16"/>
              <w:lang w:eastAsia="ar-SA"/>
            </w:rPr>
          </w:pPr>
          <w:r>
            <w:rPr>
              <w:rFonts w:ascii="Calibri" w:hAnsi="Calibri"/>
              <w:sz w:val="16"/>
              <w:szCs w:val="16"/>
            </w:rPr>
            <w:t>Zamawiający</w:t>
          </w:r>
        </w:p>
      </w:tc>
      <w:tc>
        <w:tcPr>
          <w:tcW w:w="4111" w:type="dxa"/>
          <w:gridSpan w:val="2"/>
        </w:tcPr>
        <w:p w:rsidR="00845716" w:rsidRDefault="00845716" w:rsidP="007A3283">
          <w:pPr>
            <w:pStyle w:val="Nagwek"/>
            <w:jc w:val="center"/>
            <w:rPr>
              <w:rFonts w:ascii="Calibri" w:hAnsi="Calibri"/>
              <w:b/>
              <w:sz w:val="16"/>
              <w:szCs w:val="16"/>
              <w:lang w:eastAsia="ar-SA"/>
            </w:rPr>
          </w:pPr>
          <w:r>
            <w:rPr>
              <w:rFonts w:ascii="Calibri" w:hAnsi="Calibri"/>
              <w:b/>
              <w:sz w:val="16"/>
              <w:szCs w:val="16"/>
            </w:rPr>
            <w:t xml:space="preserve">                Gmina Wałbrzych – ZDKiUM w Wałbrzychu</w:t>
          </w:r>
        </w:p>
      </w:tc>
      <w:tc>
        <w:tcPr>
          <w:tcW w:w="3402" w:type="dxa"/>
          <w:gridSpan w:val="2"/>
        </w:tcPr>
        <w:p w:rsidR="00845716" w:rsidRDefault="00845716" w:rsidP="00A95FEE">
          <w:pPr>
            <w:pStyle w:val="Nagwek"/>
            <w:jc w:val="center"/>
            <w:rPr>
              <w:rFonts w:ascii="Calibri" w:hAnsi="Calibri"/>
              <w:sz w:val="16"/>
              <w:szCs w:val="16"/>
              <w:lang w:eastAsia="ar-SA"/>
            </w:rPr>
          </w:pPr>
          <w:r>
            <w:rPr>
              <w:rFonts w:ascii="Calibri" w:hAnsi="Calibri"/>
              <w:sz w:val="16"/>
              <w:szCs w:val="16"/>
            </w:rPr>
            <w:t xml:space="preserve">                     Ul. Jana Matejki 1 58-300 Wałbrzych</w:t>
          </w:r>
        </w:p>
      </w:tc>
    </w:tr>
    <w:tr w:rsidR="00845716" w:rsidRPr="00D07453" w:rsidTr="0079565D">
      <w:tc>
        <w:tcPr>
          <w:tcW w:w="1668" w:type="dxa"/>
          <w:gridSpan w:val="2"/>
          <w:tcBorders>
            <w:bottom w:val="single" w:sz="4" w:space="0" w:color="auto"/>
          </w:tcBorders>
        </w:tcPr>
        <w:p w:rsidR="00845716" w:rsidRDefault="00845716" w:rsidP="007A3283">
          <w:pPr>
            <w:pStyle w:val="Nagwek"/>
            <w:rPr>
              <w:rFonts w:ascii="Calibri" w:hAnsi="Calibri"/>
              <w:sz w:val="16"/>
              <w:szCs w:val="16"/>
              <w:lang w:eastAsia="ar-SA"/>
            </w:rPr>
          </w:pPr>
          <w:r>
            <w:rPr>
              <w:rFonts w:ascii="Calibri" w:hAnsi="Calibri"/>
              <w:sz w:val="16"/>
              <w:szCs w:val="16"/>
            </w:rPr>
            <w:t>Jednostka Projektowa</w:t>
          </w:r>
        </w:p>
      </w:tc>
      <w:tc>
        <w:tcPr>
          <w:tcW w:w="4111" w:type="dxa"/>
          <w:gridSpan w:val="2"/>
          <w:tcBorders>
            <w:bottom w:val="single" w:sz="4" w:space="0" w:color="auto"/>
          </w:tcBorders>
        </w:tcPr>
        <w:p w:rsidR="00845716" w:rsidRDefault="00845716" w:rsidP="00BD53C0">
          <w:pPr>
            <w:pStyle w:val="Nagwek"/>
            <w:rPr>
              <w:rFonts w:ascii="Calibri" w:hAnsi="Calibri"/>
              <w:b/>
              <w:sz w:val="16"/>
              <w:szCs w:val="16"/>
              <w:lang w:eastAsia="ar-SA"/>
            </w:rPr>
          </w:pPr>
          <w:r>
            <w:rPr>
              <w:rFonts w:ascii="Calibri" w:hAnsi="Calibri"/>
              <w:b/>
              <w:sz w:val="16"/>
              <w:szCs w:val="16"/>
            </w:rPr>
            <w:t xml:space="preserve">              Przedsiębiorstwo Robót Inżynieryjnych TRAKT</w:t>
          </w:r>
        </w:p>
      </w:tc>
      <w:tc>
        <w:tcPr>
          <w:tcW w:w="3402" w:type="dxa"/>
          <w:gridSpan w:val="2"/>
          <w:tcBorders>
            <w:bottom w:val="single" w:sz="4" w:space="0" w:color="auto"/>
          </w:tcBorders>
        </w:tcPr>
        <w:p w:rsidR="00845716" w:rsidRDefault="00845716" w:rsidP="00BD53C0">
          <w:pPr>
            <w:pStyle w:val="Nagwek"/>
            <w:jc w:val="center"/>
            <w:rPr>
              <w:rFonts w:ascii="Calibri" w:hAnsi="Calibri"/>
              <w:sz w:val="16"/>
              <w:szCs w:val="16"/>
              <w:lang w:eastAsia="ar-SA"/>
            </w:rPr>
          </w:pPr>
          <w:r>
            <w:rPr>
              <w:rFonts w:ascii="Calibri" w:hAnsi="Calibri"/>
              <w:sz w:val="16"/>
              <w:szCs w:val="16"/>
            </w:rPr>
            <w:t xml:space="preserve"> Sędzisław 50 58-410 Marciszów</w:t>
          </w:r>
        </w:p>
      </w:tc>
    </w:tr>
  </w:tbl>
  <w:p w:rsidR="00845716" w:rsidRDefault="00845716">
    <w:pPr>
      <w:pStyle w:val="Nagwek"/>
      <w:rPr>
        <w:rFonts w:cs="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01E4C536"/>
    <w:lvl w:ilvl="0">
      <w:numFmt w:val="bullet"/>
      <w:lvlText w:val="*"/>
      <w:lvlJc w:val="left"/>
    </w:lvl>
  </w:abstractNum>
  <w:abstractNum w:abstractNumId="1">
    <w:nsid w:val="00000003"/>
    <w:multiLevelType w:val="multilevel"/>
    <w:tmpl w:val="00000003"/>
    <w:name w:val="WW8Num3"/>
    <w:lvl w:ilvl="0">
      <w:start w:val="64"/>
      <w:numFmt w:val="decimal"/>
      <w:lvlText w:val="%1."/>
      <w:lvlJc w:val="left"/>
      <w:pPr>
        <w:tabs>
          <w:tab w:val="num" w:pos="283"/>
        </w:tabs>
        <w:ind w:left="283" w:hanging="283"/>
      </w:pPr>
    </w:lvl>
    <w:lvl w:ilvl="1">
      <w:start w:val="3"/>
      <w:numFmt w:val="decimal"/>
      <w:lvlText w:val="%1.%2."/>
      <w:lvlJc w:val="left"/>
      <w:pPr>
        <w:tabs>
          <w:tab w:val="num" w:pos="495"/>
        </w:tabs>
        <w:ind w:left="495" w:hanging="495"/>
      </w:pPr>
      <w:rPr>
        <w:b/>
        <w:bCs/>
      </w:rPr>
    </w:lvl>
    <w:lvl w:ilvl="2">
      <w:start w:val="2"/>
      <w:numFmt w:val="decimal"/>
      <w:lvlText w:val="%1.%2.%3."/>
      <w:lvlJc w:val="left"/>
      <w:pPr>
        <w:tabs>
          <w:tab w:val="num" w:pos="720"/>
        </w:tabs>
        <w:ind w:left="720" w:hanging="720"/>
      </w:pPr>
      <w:rPr>
        <w:b/>
        <w:bCs/>
      </w:rPr>
    </w:lvl>
    <w:lvl w:ilvl="3">
      <w:start w:val="1"/>
      <w:numFmt w:val="decimal"/>
      <w:lvlText w:val="%1.%2.%3.%4."/>
      <w:lvlJc w:val="left"/>
      <w:pPr>
        <w:tabs>
          <w:tab w:val="num" w:pos="720"/>
        </w:tabs>
        <w:ind w:left="720" w:hanging="720"/>
      </w:pPr>
      <w:rPr>
        <w:b/>
        <w:bCs/>
      </w:rPr>
    </w:lvl>
    <w:lvl w:ilvl="4">
      <w:start w:val="1"/>
      <w:numFmt w:val="decimal"/>
      <w:lvlText w:val="%1.%2.%3.%4.%5."/>
      <w:lvlJc w:val="left"/>
      <w:pPr>
        <w:tabs>
          <w:tab w:val="num" w:pos="1080"/>
        </w:tabs>
        <w:ind w:left="1080" w:hanging="1080"/>
      </w:pPr>
      <w:rPr>
        <w:b/>
        <w:bCs/>
      </w:rPr>
    </w:lvl>
    <w:lvl w:ilvl="5">
      <w:start w:val="1"/>
      <w:numFmt w:val="decimal"/>
      <w:lvlText w:val="%1.%2.%3.%4.%5.%6."/>
      <w:lvlJc w:val="left"/>
      <w:pPr>
        <w:tabs>
          <w:tab w:val="num" w:pos="1080"/>
        </w:tabs>
        <w:ind w:left="1080" w:hanging="1080"/>
      </w:pPr>
      <w:rPr>
        <w:b/>
        <w:bCs/>
      </w:rPr>
    </w:lvl>
    <w:lvl w:ilvl="6">
      <w:start w:val="1"/>
      <w:numFmt w:val="decimal"/>
      <w:lvlText w:val="%1.%2.%3.%4.%5.%6.%7."/>
      <w:lvlJc w:val="left"/>
      <w:pPr>
        <w:tabs>
          <w:tab w:val="num" w:pos="1080"/>
        </w:tabs>
        <w:ind w:left="1080" w:hanging="1080"/>
      </w:pPr>
      <w:rPr>
        <w:b/>
        <w:bCs/>
      </w:rPr>
    </w:lvl>
    <w:lvl w:ilvl="7">
      <w:start w:val="1"/>
      <w:numFmt w:val="decimal"/>
      <w:lvlText w:val="%1.%2.%3.%4.%5.%6.%7.%8."/>
      <w:lvlJc w:val="left"/>
      <w:pPr>
        <w:tabs>
          <w:tab w:val="num" w:pos="1440"/>
        </w:tabs>
        <w:ind w:left="1440" w:hanging="1440"/>
      </w:pPr>
      <w:rPr>
        <w:b/>
        <w:bCs/>
      </w:rPr>
    </w:lvl>
    <w:lvl w:ilvl="8">
      <w:start w:val="1"/>
      <w:numFmt w:val="decimal"/>
      <w:lvlText w:val="%1.%2.%3.%4.%5.%6.%7.%8.%9."/>
      <w:lvlJc w:val="left"/>
      <w:pPr>
        <w:tabs>
          <w:tab w:val="num" w:pos="1440"/>
        </w:tabs>
        <w:ind w:left="1440" w:hanging="1440"/>
      </w:pPr>
      <w:rPr>
        <w:b/>
        <w:bCs/>
      </w:rPr>
    </w:lvl>
  </w:abstractNum>
  <w:abstractNum w:abstractNumId="2">
    <w:nsid w:val="0000000E"/>
    <w:multiLevelType w:val="singleLevel"/>
    <w:tmpl w:val="0000000E"/>
    <w:name w:val="WW8Num5"/>
    <w:lvl w:ilvl="0">
      <w:start w:val="2"/>
      <w:numFmt w:val="decimal"/>
      <w:lvlText w:val="2.3.%1. "/>
      <w:lvlJc w:val="left"/>
      <w:pPr>
        <w:tabs>
          <w:tab w:val="num" w:pos="283"/>
        </w:tabs>
        <w:ind w:left="283" w:hanging="283"/>
      </w:pPr>
      <w:rPr>
        <w:rFonts w:ascii="Times New Roman" w:hAnsi="Times New Roman" w:cs="Times New Roman"/>
        <w:b/>
        <w:bCs/>
        <w:i w:val="0"/>
        <w:iCs w:val="0"/>
        <w:sz w:val="20"/>
        <w:szCs w:val="20"/>
        <w:u w:val="none"/>
      </w:rPr>
    </w:lvl>
  </w:abstractNum>
  <w:abstractNum w:abstractNumId="3">
    <w:nsid w:val="00000013"/>
    <w:multiLevelType w:val="singleLevel"/>
    <w:tmpl w:val="00000013"/>
    <w:name w:val="WW8Num21"/>
    <w:lvl w:ilvl="0">
      <w:start w:val="1"/>
      <w:numFmt w:val="bullet"/>
      <w:lvlText w:val="−"/>
      <w:lvlJc w:val="left"/>
      <w:pPr>
        <w:tabs>
          <w:tab w:val="num" w:pos="680"/>
        </w:tabs>
        <w:ind w:left="680" w:hanging="340"/>
      </w:pPr>
      <w:rPr>
        <w:rFonts w:ascii="Verdana" w:hAnsi="Verdana" w:cs="Verdana"/>
      </w:rPr>
    </w:lvl>
  </w:abstractNum>
  <w:abstractNum w:abstractNumId="4">
    <w:nsid w:val="00000018"/>
    <w:multiLevelType w:val="singleLevel"/>
    <w:tmpl w:val="00000018"/>
    <w:name w:val="WW8Num27"/>
    <w:lvl w:ilvl="0">
      <w:start w:val="1"/>
      <w:numFmt w:val="bullet"/>
      <w:lvlText w:val="−"/>
      <w:lvlJc w:val="left"/>
      <w:pPr>
        <w:tabs>
          <w:tab w:val="num" w:pos="680"/>
        </w:tabs>
        <w:ind w:left="680" w:hanging="340"/>
      </w:pPr>
      <w:rPr>
        <w:rFonts w:ascii="Verdana" w:hAnsi="Verdana" w:cs="Verdana"/>
      </w:rPr>
    </w:lvl>
  </w:abstractNum>
  <w:abstractNum w:abstractNumId="5">
    <w:nsid w:val="00000019"/>
    <w:multiLevelType w:val="singleLevel"/>
    <w:tmpl w:val="00000019"/>
    <w:name w:val="WW8Num28"/>
    <w:lvl w:ilvl="0">
      <w:start w:val="1"/>
      <w:numFmt w:val="bullet"/>
      <w:lvlText w:val="−"/>
      <w:lvlJc w:val="left"/>
      <w:pPr>
        <w:tabs>
          <w:tab w:val="num" w:pos="680"/>
        </w:tabs>
        <w:ind w:left="680" w:hanging="340"/>
      </w:pPr>
      <w:rPr>
        <w:rFonts w:ascii="Verdana" w:hAnsi="Verdana" w:cs="Verdana"/>
      </w:rPr>
    </w:lvl>
  </w:abstractNum>
  <w:abstractNum w:abstractNumId="6">
    <w:nsid w:val="00000021"/>
    <w:multiLevelType w:val="multilevel"/>
    <w:tmpl w:val="00000021"/>
    <w:name w:val="WW8Num41"/>
    <w:lvl w:ilvl="0">
      <w:start w:val="67"/>
      <w:numFmt w:val="decimal"/>
      <w:lvlText w:val="%1."/>
      <w:lvlJc w:val="left"/>
      <w:pPr>
        <w:tabs>
          <w:tab w:val="num" w:pos="283"/>
        </w:tabs>
        <w:ind w:left="283" w:hanging="283"/>
      </w:pPr>
    </w:lvl>
    <w:lvl w:ilvl="1">
      <w:start w:val="3"/>
      <w:numFmt w:val="decimal"/>
      <w:lvlText w:val="%1.%2."/>
      <w:lvlJc w:val="left"/>
      <w:pPr>
        <w:tabs>
          <w:tab w:val="num" w:pos="495"/>
        </w:tabs>
        <w:ind w:left="495" w:hanging="495"/>
      </w:pPr>
      <w:rPr>
        <w:b/>
        <w:bCs/>
      </w:rPr>
    </w:lvl>
    <w:lvl w:ilvl="2">
      <w:start w:val="2"/>
      <w:numFmt w:val="decimal"/>
      <w:lvlText w:val="%1.%2.%3."/>
      <w:lvlJc w:val="left"/>
      <w:pPr>
        <w:tabs>
          <w:tab w:val="num" w:pos="720"/>
        </w:tabs>
        <w:ind w:left="720" w:hanging="720"/>
      </w:pPr>
      <w:rPr>
        <w:b/>
        <w:bCs/>
      </w:rPr>
    </w:lvl>
    <w:lvl w:ilvl="3">
      <w:start w:val="1"/>
      <w:numFmt w:val="decimal"/>
      <w:lvlText w:val="%1.%2.%3.%4."/>
      <w:lvlJc w:val="left"/>
      <w:pPr>
        <w:tabs>
          <w:tab w:val="num" w:pos="720"/>
        </w:tabs>
        <w:ind w:left="720" w:hanging="720"/>
      </w:pPr>
      <w:rPr>
        <w:b/>
        <w:bCs/>
      </w:rPr>
    </w:lvl>
    <w:lvl w:ilvl="4">
      <w:start w:val="1"/>
      <w:numFmt w:val="decimal"/>
      <w:lvlText w:val="%1.%2.%3.%4.%5."/>
      <w:lvlJc w:val="left"/>
      <w:pPr>
        <w:tabs>
          <w:tab w:val="num" w:pos="1080"/>
        </w:tabs>
        <w:ind w:left="1080" w:hanging="1080"/>
      </w:pPr>
      <w:rPr>
        <w:b/>
        <w:bCs/>
      </w:rPr>
    </w:lvl>
    <w:lvl w:ilvl="5">
      <w:start w:val="1"/>
      <w:numFmt w:val="decimal"/>
      <w:lvlText w:val="%1.%2.%3.%4.%5.%6."/>
      <w:lvlJc w:val="left"/>
      <w:pPr>
        <w:tabs>
          <w:tab w:val="num" w:pos="1080"/>
        </w:tabs>
        <w:ind w:left="1080" w:hanging="1080"/>
      </w:pPr>
      <w:rPr>
        <w:b/>
        <w:bCs/>
      </w:rPr>
    </w:lvl>
    <w:lvl w:ilvl="6">
      <w:start w:val="1"/>
      <w:numFmt w:val="decimal"/>
      <w:lvlText w:val="%1.%2.%3.%4.%5.%6.%7."/>
      <w:lvlJc w:val="left"/>
      <w:pPr>
        <w:tabs>
          <w:tab w:val="num" w:pos="1080"/>
        </w:tabs>
        <w:ind w:left="1080" w:hanging="1080"/>
      </w:pPr>
      <w:rPr>
        <w:b/>
        <w:bCs/>
      </w:rPr>
    </w:lvl>
    <w:lvl w:ilvl="7">
      <w:start w:val="1"/>
      <w:numFmt w:val="decimal"/>
      <w:lvlText w:val="%1.%2.%3.%4.%5.%6.%7.%8."/>
      <w:lvlJc w:val="left"/>
      <w:pPr>
        <w:tabs>
          <w:tab w:val="num" w:pos="1440"/>
        </w:tabs>
        <w:ind w:left="1440" w:hanging="1440"/>
      </w:pPr>
      <w:rPr>
        <w:b/>
        <w:bCs/>
      </w:rPr>
    </w:lvl>
    <w:lvl w:ilvl="8">
      <w:start w:val="1"/>
      <w:numFmt w:val="decimal"/>
      <w:lvlText w:val="%1.%2.%3.%4.%5.%6.%7.%8.%9."/>
      <w:lvlJc w:val="left"/>
      <w:pPr>
        <w:tabs>
          <w:tab w:val="num" w:pos="1440"/>
        </w:tabs>
        <w:ind w:left="1440" w:hanging="1440"/>
      </w:pPr>
      <w:rPr>
        <w:b/>
        <w:bCs/>
      </w:rPr>
    </w:lvl>
  </w:abstractNum>
  <w:abstractNum w:abstractNumId="7">
    <w:nsid w:val="0000002C"/>
    <w:multiLevelType w:val="singleLevel"/>
    <w:tmpl w:val="0000002C"/>
    <w:name w:val="WW8Num58"/>
    <w:lvl w:ilvl="0">
      <w:start w:val="1"/>
      <w:numFmt w:val="bullet"/>
      <w:lvlText w:val="−"/>
      <w:lvlJc w:val="left"/>
      <w:pPr>
        <w:tabs>
          <w:tab w:val="num" w:pos="680"/>
        </w:tabs>
        <w:ind w:left="680" w:hanging="340"/>
      </w:pPr>
      <w:rPr>
        <w:rFonts w:ascii="Verdana" w:hAnsi="Verdana" w:cs="Verdana"/>
      </w:rPr>
    </w:lvl>
  </w:abstractNum>
  <w:abstractNum w:abstractNumId="8">
    <w:nsid w:val="00000030"/>
    <w:multiLevelType w:val="singleLevel"/>
    <w:tmpl w:val="00000030"/>
    <w:name w:val="WW8Num62"/>
    <w:lvl w:ilvl="0">
      <w:start w:val="1"/>
      <w:numFmt w:val="bullet"/>
      <w:lvlText w:val="−"/>
      <w:lvlJc w:val="left"/>
      <w:pPr>
        <w:tabs>
          <w:tab w:val="num" w:pos="680"/>
        </w:tabs>
        <w:ind w:left="680" w:hanging="340"/>
      </w:pPr>
      <w:rPr>
        <w:rFonts w:ascii="Verdana" w:hAnsi="Verdana" w:cs="Verdana"/>
      </w:rPr>
    </w:lvl>
  </w:abstractNum>
  <w:abstractNum w:abstractNumId="9">
    <w:nsid w:val="00000036"/>
    <w:multiLevelType w:val="singleLevel"/>
    <w:tmpl w:val="00000036"/>
    <w:name w:val="WW8Num15"/>
    <w:lvl w:ilvl="0">
      <w:start w:val="1"/>
      <w:numFmt w:val="decimal"/>
      <w:lvlText w:val="%1."/>
      <w:lvlJc w:val="left"/>
      <w:pPr>
        <w:tabs>
          <w:tab w:val="num" w:pos="340"/>
        </w:tabs>
        <w:ind w:left="340" w:hanging="340"/>
      </w:pPr>
    </w:lvl>
  </w:abstractNum>
  <w:abstractNum w:abstractNumId="10">
    <w:nsid w:val="0000003B"/>
    <w:multiLevelType w:val="singleLevel"/>
    <w:tmpl w:val="0000003B"/>
    <w:name w:val="WW8Num72"/>
    <w:lvl w:ilvl="0">
      <w:start w:val="1"/>
      <w:numFmt w:val="lowerLetter"/>
      <w:lvlText w:val="%1)"/>
      <w:lvlJc w:val="left"/>
      <w:pPr>
        <w:tabs>
          <w:tab w:val="num" w:pos="284"/>
        </w:tabs>
        <w:ind w:left="284" w:hanging="284"/>
      </w:pPr>
    </w:lvl>
  </w:abstractNum>
  <w:abstractNum w:abstractNumId="11">
    <w:nsid w:val="0000003C"/>
    <w:multiLevelType w:val="singleLevel"/>
    <w:tmpl w:val="0000003C"/>
    <w:name w:val="WW8Num84"/>
    <w:lvl w:ilvl="0">
      <w:start w:val="1"/>
      <w:numFmt w:val="bullet"/>
      <w:lvlText w:val="−"/>
      <w:lvlJc w:val="left"/>
      <w:pPr>
        <w:tabs>
          <w:tab w:val="num" w:pos="680"/>
        </w:tabs>
        <w:ind w:left="680" w:hanging="340"/>
      </w:pPr>
      <w:rPr>
        <w:rFonts w:ascii="Verdana" w:hAnsi="Verdana" w:cs="Verdana"/>
      </w:rPr>
    </w:lvl>
  </w:abstractNum>
  <w:abstractNum w:abstractNumId="12">
    <w:nsid w:val="0000004D"/>
    <w:multiLevelType w:val="singleLevel"/>
    <w:tmpl w:val="0000004D"/>
    <w:name w:val="WW8Num81"/>
    <w:lvl w:ilvl="0">
      <w:start w:val="1"/>
      <w:numFmt w:val="bullet"/>
      <w:lvlText w:val="−"/>
      <w:lvlJc w:val="left"/>
      <w:pPr>
        <w:tabs>
          <w:tab w:val="num" w:pos="680"/>
        </w:tabs>
        <w:ind w:left="680" w:hanging="340"/>
      </w:pPr>
      <w:rPr>
        <w:rFonts w:ascii="Verdana" w:hAnsi="Verdana" w:cs="Verdana"/>
      </w:rPr>
    </w:lvl>
  </w:abstractNum>
  <w:abstractNum w:abstractNumId="13">
    <w:nsid w:val="0000004E"/>
    <w:multiLevelType w:val="multilevel"/>
    <w:tmpl w:val="0000004E"/>
    <w:name w:val="WW8Num103"/>
    <w:lvl w:ilvl="0">
      <w:start w:val="1"/>
      <w:numFmt w:val="decimal"/>
      <w:lvlText w:val="%1."/>
      <w:lvlJc w:val="left"/>
      <w:pPr>
        <w:tabs>
          <w:tab w:val="num" w:pos="720"/>
        </w:tabs>
        <w:ind w:left="720" w:hanging="360"/>
      </w:pPr>
    </w:lvl>
    <w:lvl w:ilvl="1">
      <w:start w:val="2"/>
      <w:numFmt w:val="decimal"/>
      <w:lvlText w:val="%1.%2"/>
      <w:lvlJc w:val="left"/>
      <w:pPr>
        <w:tabs>
          <w:tab w:val="num" w:pos="750"/>
        </w:tabs>
        <w:ind w:left="750" w:hanging="390"/>
      </w:pPr>
    </w:lvl>
    <w:lvl w:ilvl="2">
      <w:start w:val="1"/>
      <w:numFmt w:val="decimal"/>
      <w:lvlText w:val="%1.%2.%3"/>
      <w:lvlJc w:val="left"/>
      <w:pPr>
        <w:tabs>
          <w:tab w:val="num" w:pos="1080"/>
        </w:tabs>
        <w:ind w:left="1080" w:hanging="720"/>
      </w:pPr>
    </w:lvl>
    <w:lvl w:ilvl="3">
      <w:start w:val="1"/>
      <w:numFmt w:val="decimal"/>
      <w:lvlText w:val="%1.%2.%3.%4"/>
      <w:lvlJc w:val="left"/>
      <w:pPr>
        <w:tabs>
          <w:tab w:val="num" w:pos="1080"/>
        </w:tabs>
        <w:ind w:left="1080" w:hanging="720"/>
      </w:pPr>
    </w:lvl>
    <w:lvl w:ilvl="4">
      <w:start w:val="1"/>
      <w:numFmt w:val="decimal"/>
      <w:lvlText w:val="%1.%2.%3.%4.%5"/>
      <w:lvlJc w:val="left"/>
      <w:pPr>
        <w:tabs>
          <w:tab w:val="num" w:pos="1080"/>
        </w:tabs>
        <w:ind w:left="1080" w:hanging="720"/>
      </w:pPr>
    </w:lvl>
    <w:lvl w:ilvl="5">
      <w:start w:val="1"/>
      <w:numFmt w:val="decimal"/>
      <w:lvlText w:val="%1.%2.%3.%4.%5.%6"/>
      <w:lvlJc w:val="left"/>
      <w:pPr>
        <w:tabs>
          <w:tab w:val="num" w:pos="1440"/>
        </w:tabs>
        <w:ind w:left="1440" w:hanging="1080"/>
      </w:pPr>
    </w:lvl>
    <w:lvl w:ilvl="6">
      <w:start w:val="1"/>
      <w:numFmt w:val="decimal"/>
      <w:lvlText w:val="%1.%2.%3.%4.%5.%6.%7"/>
      <w:lvlJc w:val="left"/>
      <w:pPr>
        <w:tabs>
          <w:tab w:val="num" w:pos="1440"/>
        </w:tabs>
        <w:ind w:left="1440" w:hanging="1080"/>
      </w:pPr>
    </w:lvl>
    <w:lvl w:ilvl="7">
      <w:start w:val="1"/>
      <w:numFmt w:val="decimal"/>
      <w:lvlText w:val="%1.%2.%3.%4.%5.%6.%7.%8"/>
      <w:lvlJc w:val="left"/>
      <w:pPr>
        <w:tabs>
          <w:tab w:val="num" w:pos="1800"/>
        </w:tabs>
        <w:ind w:left="1800" w:hanging="1440"/>
      </w:pPr>
    </w:lvl>
    <w:lvl w:ilvl="8">
      <w:start w:val="1"/>
      <w:numFmt w:val="decimal"/>
      <w:lvlText w:val="%1.%2.%3.%4.%5.%6.%7.%8.%9"/>
      <w:lvlJc w:val="left"/>
      <w:pPr>
        <w:tabs>
          <w:tab w:val="num" w:pos="1800"/>
        </w:tabs>
        <w:ind w:left="1800" w:hanging="1440"/>
      </w:pPr>
    </w:lvl>
  </w:abstractNum>
  <w:abstractNum w:abstractNumId="14">
    <w:nsid w:val="00000051"/>
    <w:multiLevelType w:val="singleLevel"/>
    <w:tmpl w:val="00000051"/>
    <w:name w:val="WW8Num106"/>
    <w:lvl w:ilvl="0">
      <w:start w:val="1"/>
      <w:numFmt w:val="decimal"/>
      <w:lvlText w:val="2.3.%1. "/>
      <w:lvlJc w:val="left"/>
      <w:pPr>
        <w:tabs>
          <w:tab w:val="num" w:pos="283"/>
        </w:tabs>
        <w:ind w:left="283" w:hanging="283"/>
      </w:pPr>
      <w:rPr>
        <w:rFonts w:ascii="Times New Roman" w:hAnsi="Times New Roman" w:cs="Times New Roman"/>
        <w:b/>
        <w:bCs/>
        <w:i w:val="0"/>
        <w:iCs w:val="0"/>
        <w:sz w:val="20"/>
        <w:szCs w:val="20"/>
        <w:u w:val="none"/>
      </w:rPr>
    </w:lvl>
  </w:abstractNum>
  <w:abstractNum w:abstractNumId="15">
    <w:nsid w:val="00000053"/>
    <w:multiLevelType w:val="singleLevel"/>
    <w:tmpl w:val="7954FC42"/>
    <w:name w:val="WW8Num110"/>
    <w:lvl w:ilvl="0">
      <w:start w:val="2"/>
      <w:numFmt w:val="decimal"/>
      <w:lvlText w:val="1.4.%1. "/>
      <w:lvlJc w:val="left"/>
      <w:pPr>
        <w:tabs>
          <w:tab w:val="num" w:pos="283"/>
        </w:tabs>
        <w:ind w:left="283" w:hanging="283"/>
      </w:pPr>
      <w:rPr>
        <w:b/>
        <w:bCs/>
        <w:i w:val="0"/>
        <w:iCs w:val="0"/>
        <w:sz w:val="20"/>
        <w:szCs w:val="20"/>
      </w:rPr>
    </w:lvl>
  </w:abstractNum>
  <w:abstractNum w:abstractNumId="16">
    <w:nsid w:val="0000005C"/>
    <w:multiLevelType w:val="singleLevel"/>
    <w:tmpl w:val="4B767800"/>
    <w:name w:val="WW8Num112"/>
    <w:lvl w:ilvl="0">
      <w:start w:val="1"/>
      <w:numFmt w:val="decimal"/>
      <w:lvlText w:val="1.4.%1. "/>
      <w:lvlJc w:val="left"/>
      <w:pPr>
        <w:tabs>
          <w:tab w:val="num" w:pos="283"/>
        </w:tabs>
        <w:ind w:left="283" w:hanging="283"/>
      </w:pPr>
      <w:rPr>
        <w:b/>
        <w:bCs/>
        <w:i w:val="0"/>
        <w:iCs w:val="0"/>
        <w:sz w:val="20"/>
        <w:szCs w:val="20"/>
      </w:rPr>
    </w:lvl>
  </w:abstractNum>
  <w:abstractNum w:abstractNumId="17">
    <w:nsid w:val="00000064"/>
    <w:multiLevelType w:val="multilevel"/>
    <w:tmpl w:val="00000064"/>
    <w:name w:val="WW8Num133"/>
    <w:lvl w:ilvl="0">
      <w:start w:val="1"/>
      <w:numFmt w:val="decimal"/>
      <w:lvlText w:val="%1."/>
      <w:lvlJc w:val="left"/>
      <w:pPr>
        <w:tabs>
          <w:tab w:val="num" w:pos="283"/>
        </w:tabs>
        <w:ind w:left="283" w:hanging="283"/>
      </w:pPr>
    </w:lvl>
    <w:lvl w:ilvl="1">
      <w:start w:val="3"/>
      <w:numFmt w:val="decimal"/>
      <w:lvlText w:val="%1.%2."/>
      <w:lvlJc w:val="left"/>
      <w:pPr>
        <w:tabs>
          <w:tab w:val="num" w:pos="495"/>
        </w:tabs>
        <w:ind w:left="495" w:hanging="495"/>
      </w:pPr>
      <w:rPr>
        <w:b/>
        <w:bCs/>
      </w:rPr>
    </w:lvl>
    <w:lvl w:ilvl="2">
      <w:start w:val="2"/>
      <w:numFmt w:val="decimal"/>
      <w:lvlText w:val="%1.%2.%3."/>
      <w:lvlJc w:val="left"/>
      <w:pPr>
        <w:tabs>
          <w:tab w:val="num" w:pos="720"/>
        </w:tabs>
        <w:ind w:left="720" w:hanging="720"/>
      </w:pPr>
      <w:rPr>
        <w:b/>
        <w:bCs/>
      </w:rPr>
    </w:lvl>
    <w:lvl w:ilvl="3">
      <w:start w:val="1"/>
      <w:numFmt w:val="decimal"/>
      <w:lvlText w:val="%1.%2.%3.%4."/>
      <w:lvlJc w:val="left"/>
      <w:pPr>
        <w:tabs>
          <w:tab w:val="num" w:pos="720"/>
        </w:tabs>
        <w:ind w:left="720" w:hanging="720"/>
      </w:pPr>
      <w:rPr>
        <w:b/>
        <w:bCs/>
      </w:rPr>
    </w:lvl>
    <w:lvl w:ilvl="4">
      <w:start w:val="1"/>
      <w:numFmt w:val="decimal"/>
      <w:lvlText w:val="%1.%2.%3.%4.%5."/>
      <w:lvlJc w:val="left"/>
      <w:pPr>
        <w:tabs>
          <w:tab w:val="num" w:pos="1080"/>
        </w:tabs>
        <w:ind w:left="1080" w:hanging="1080"/>
      </w:pPr>
      <w:rPr>
        <w:b/>
        <w:bCs/>
      </w:rPr>
    </w:lvl>
    <w:lvl w:ilvl="5">
      <w:start w:val="1"/>
      <w:numFmt w:val="decimal"/>
      <w:lvlText w:val="%1.%2.%3.%4.%5.%6."/>
      <w:lvlJc w:val="left"/>
      <w:pPr>
        <w:tabs>
          <w:tab w:val="num" w:pos="1080"/>
        </w:tabs>
        <w:ind w:left="1080" w:hanging="1080"/>
      </w:pPr>
      <w:rPr>
        <w:b/>
        <w:bCs/>
      </w:rPr>
    </w:lvl>
    <w:lvl w:ilvl="6">
      <w:start w:val="1"/>
      <w:numFmt w:val="decimal"/>
      <w:lvlText w:val="%1.%2.%3.%4.%5.%6.%7."/>
      <w:lvlJc w:val="left"/>
      <w:pPr>
        <w:tabs>
          <w:tab w:val="num" w:pos="1080"/>
        </w:tabs>
        <w:ind w:left="1080" w:hanging="1080"/>
      </w:pPr>
      <w:rPr>
        <w:b/>
        <w:bCs/>
      </w:rPr>
    </w:lvl>
    <w:lvl w:ilvl="7">
      <w:start w:val="1"/>
      <w:numFmt w:val="decimal"/>
      <w:lvlText w:val="%1.%2.%3.%4.%5.%6.%7.%8."/>
      <w:lvlJc w:val="left"/>
      <w:pPr>
        <w:tabs>
          <w:tab w:val="num" w:pos="1440"/>
        </w:tabs>
        <w:ind w:left="1440" w:hanging="1440"/>
      </w:pPr>
      <w:rPr>
        <w:b/>
        <w:bCs/>
      </w:rPr>
    </w:lvl>
    <w:lvl w:ilvl="8">
      <w:start w:val="1"/>
      <w:numFmt w:val="decimal"/>
      <w:lvlText w:val="%1.%2.%3.%4.%5.%6.%7.%8.%9."/>
      <w:lvlJc w:val="left"/>
      <w:pPr>
        <w:tabs>
          <w:tab w:val="num" w:pos="1440"/>
        </w:tabs>
        <w:ind w:left="1440" w:hanging="1440"/>
      </w:pPr>
      <w:rPr>
        <w:b/>
        <w:bCs/>
      </w:rPr>
    </w:lvl>
  </w:abstractNum>
  <w:abstractNum w:abstractNumId="18">
    <w:nsid w:val="0000006F"/>
    <w:multiLevelType w:val="singleLevel"/>
    <w:tmpl w:val="0000006F"/>
    <w:name w:val="WW8Num147"/>
    <w:lvl w:ilvl="0">
      <w:start w:val="1"/>
      <w:numFmt w:val="bullet"/>
      <w:lvlText w:val="−"/>
      <w:lvlJc w:val="left"/>
      <w:pPr>
        <w:tabs>
          <w:tab w:val="num" w:pos="680"/>
        </w:tabs>
        <w:ind w:left="680" w:hanging="340"/>
      </w:pPr>
      <w:rPr>
        <w:rFonts w:ascii="Verdana" w:hAnsi="Verdana" w:cs="Verdana"/>
      </w:rPr>
    </w:lvl>
  </w:abstractNum>
  <w:abstractNum w:abstractNumId="19">
    <w:nsid w:val="00000072"/>
    <w:multiLevelType w:val="singleLevel"/>
    <w:tmpl w:val="00000072"/>
    <w:name w:val="WW8Num122"/>
    <w:lvl w:ilvl="0">
      <w:start w:val="10"/>
      <w:numFmt w:val="decimal"/>
      <w:lvlText w:val="%1."/>
      <w:lvlJc w:val="left"/>
      <w:pPr>
        <w:tabs>
          <w:tab w:val="num" w:pos="397"/>
        </w:tabs>
        <w:ind w:left="397" w:hanging="397"/>
      </w:pPr>
    </w:lvl>
  </w:abstractNum>
  <w:abstractNum w:abstractNumId="20">
    <w:nsid w:val="0000007D"/>
    <w:multiLevelType w:val="singleLevel"/>
    <w:tmpl w:val="0000007D"/>
    <w:name w:val="WW8Num151"/>
    <w:lvl w:ilvl="0">
      <w:start w:val="1"/>
      <w:numFmt w:val="lowerLetter"/>
      <w:lvlText w:val="%1)"/>
      <w:lvlJc w:val="left"/>
      <w:pPr>
        <w:tabs>
          <w:tab w:val="num" w:pos="283"/>
        </w:tabs>
        <w:ind w:left="283" w:hanging="283"/>
      </w:pPr>
    </w:lvl>
  </w:abstractNum>
  <w:abstractNum w:abstractNumId="21">
    <w:nsid w:val="00000080"/>
    <w:multiLevelType w:val="singleLevel"/>
    <w:tmpl w:val="00000080"/>
    <w:name w:val="WW8Num164"/>
    <w:lvl w:ilvl="0">
      <w:numFmt w:val="bullet"/>
      <w:lvlText w:val=""/>
      <w:lvlJc w:val="left"/>
      <w:pPr>
        <w:tabs>
          <w:tab w:val="num" w:pos="283"/>
        </w:tabs>
        <w:ind w:left="283" w:hanging="283"/>
      </w:pPr>
      <w:rPr>
        <w:rFonts w:ascii="Symbol" w:hAnsi="Symbol" w:cs="Symbol"/>
      </w:rPr>
    </w:lvl>
  </w:abstractNum>
  <w:abstractNum w:abstractNumId="22">
    <w:nsid w:val="017E68D7"/>
    <w:multiLevelType w:val="singleLevel"/>
    <w:tmpl w:val="BF7ECB7E"/>
    <w:lvl w:ilvl="0">
      <w:start w:val="1"/>
      <w:numFmt w:val="decimal"/>
      <w:lvlText w:val="%1)"/>
      <w:legacy w:legacy="1" w:legacySpace="0" w:legacyIndent="283"/>
      <w:lvlJc w:val="left"/>
      <w:pPr>
        <w:ind w:left="283" w:hanging="283"/>
      </w:pPr>
    </w:lvl>
  </w:abstractNum>
  <w:abstractNum w:abstractNumId="23">
    <w:nsid w:val="01FB1FC2"/>
    <w:multiLevelType w:val="hybridMultilevel"/>
    <w:tmpl w:val="1460E6B6"/>
    <w:lvl w:ilvl="0" w:tplc="01E4C5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2C45761"/>
    <w:multiLevelType w:val="hybridMultilevel"/>
    <w:tmpl w:val="D0D636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04740D65"/>
    <w:multiLevelType w:val="hybridMultilevel"/>
    <w:tmpl w:val="1C8EC5E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6">
    <w:nsid w:val="05F4088F"/>
    <w:multiLevelType w:val="singleLevel"/>
    <w:tmpl w:val="DAB4AD32"/>
    <w:lvl w:ilvl="0">
      <w:start w:val="1"/>
      <w:numFmt w:val="lowerLetter"/>
      <w:lvlText w:val="%1)"/>
      <w:legacy w:legacy="1" w:legacySpace="0" w:legacyIndent="283"/>
      <w:lvlJc w:val="left"/>
      <w:pPr>
        <w:ind w:left="283" w:hanging="283"/>
      </w:pPr>
    </w:lvl>
  </w:abstractNum>
  <w:abstractNum w:abstractNumId="27">
    <w:nsid w:val="06533DA1"/>
    <w:multiLevelType w:val="singleLevel"/>
    <w:tmpl w:val="E8967304"/>
    <w:lvl w:ilvl="0">
      <w:start w:val="1"/>
      <w:numFmt w:val="lowerLetter"/>
      <w:lvlText w:val="%1)"/>
      <w:legacy w:legacy="1" w:legacySpace="0" w:legacyIndent="283"/>
      <w:lvlJc w:val="left"/>
      <w:pPr>
        <w:ind w:left="283" w:hanging="283"/>
      </w:pPr>
    </w:lvl>
  </w:abstractNum>
  <w:abstractNum w:abstractNumId="28">
    <w:nsid w:val="0E921972"/>
    <w:multiLevelType w:val="singleLevel"/>
    <w:tmpl w:val="E8967304"/>
    <w:lvl w:ilvl="0">
      <w:start w:val="1"/>
      <w:numFmt w:val="lowerLetter"/>
      <w:lvlText w:val="%1)"/>
      <w:legacy w:legacy="1" w:legacySpace="0" w:legacyIndent="283"/>
      <w:lvlJc w:val="left"/>
      <w:pPr>
        <w:ind w:left="283" w:hanging="283"/>
      </w:pPr>
    </w:lvl>
  </w:abstractNum>
  <w:abstractNum w:abstractNumId="29">
    <w:nsid w:val="0ED5394B"/>
    <w:multiLevelType w:val="singleLevel"/>
    <w:tmpl w:val="7FF8F2A6"/>
    <w:lvl w:ilvl="0">
      <w:start w:val="1"/>
      <w:numFmt w:val="decimal"/>
      <w:lvlText w:val="1.4.%1. "/>
      <w:legacy w:legacy="1" w:legacySpace="0" w:legacyIndent="283"/>
      <w:lvlJc w:val="left"/>
      <w:pPr>
        <w:ind w:left="283" w:hanging="283"/>
      </w:pPr>
      <w:rPr>
        <w:b/>
        <w:i w:val="0"/>
        <w:sz w:val="20"/>
      </w:rPr>
    </w:lvl>
  </w:abstractNum>
  <w:abstractNum w:abstractNumId="30">
    <w:nsid w:val="108B4A02"/>
    <w:multiLevelType w:val="singleLevel"/>
    <w:tmpl w:val="DAB4AD32"/>
    <w:lvl w:ilvl="0">
      <w:start w:val="1"/>
      <w:numFmt w:val="lowerLetter"/>
      <w:lvlText w:val="%1)"/>
      <w:legacy w:legacy="1" w:legacySpace="0" w:legacyIndent="283"/>
      <w:lvlJc w:val="left"/>
      <w:pPr>
        <w:ind w:left="567" w:hanging="283"/>
      </w:pPr>
    </w:lvl>
  </w:abstractNum>
  <w:abstractNum w:abstractNumId="31">
    <w:nsid w:val="14AB2212"/>
    <w:multiLevelType w:val="hybridMultilevel"/>
    <w:tmpl w:val="7804D580"/>
    <w:lvl w:ilvl="0" w:tplc="1B8E64D6">
      <w:start w:val="1"/>
      <w:numFmt w:val="bullet"/>
      <w:lvlText w:val=""/>
      <w:lvlJc w:val="left"/>
      <w:pPr>
        <w:tabs>
          <w:tab w:val="num" w:pos="680"/>
        </w:tabs>
        <w:ind w:left="680" w:hanging="340"/>
      </w:pPr>
      <w:rPr>
        <w:rFonts w:ascii="Symbol" w:hAnsi="Symbol" w:cs="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32">
    <w:nsid w:val="15FB7FFA"/>
    <w:multiLevelType w:val="singleLevel"/>
    <w:tmpl w:val="F68CF0AC"/>
    <w:lvl w:ilvl="0">
      <w:start w:val="1"/>
      <w:numFmt w:val="lowerLetter"/>
      <w:pStyle w:val="Listapunktowana3"/>
      <w:lvlText w:val="(%1)"/>
      <w:legacy w:legacy="1" w:legacySpace="0" w:legacyIndent="283"/>
      <w:lvlJc w:val="left"/>
      <w:pPr>
        <w:ind w:left="283" w:hanging="283"/>
      </w:pPr>
    </w:lvl>
  </w:abstractNum>
  <w:abstractNum w:abstractNumId="33">
    <w:nsid w:val="17530893"/>
    <w:multiLevelType w:val="multilevel"/>
    <w:tmpl w:val="0415001D"/>
    <w:styleLink w:val="Styl2"/>
    <w:lvl w:ilvl="0">
      <w:start w:val="1"/>
      <w:numFmt w:val="decimal"/>
      <w:lvlText w:val="%1)"/>
      <w:lvlJc w:val="left"/>
      <w:pPr>
        <w:ind w:left="360" w:hanging="360"/>
      </w:pPr>
    </w:lvl>
    <w:lvl w:ilvl="1">
      <w:start w:val="1"/>
      <w:numFmt w:val="decimal"/>
      <w:lvlText w:val="%2)"/>
      <w:lvlJc w:val="left"/>
      <w:pPr>
        <w:ind w:left="720" w:hanging="360"/>
      </w:pPr>
    </w:lvl>
    <w:lvl w:ilvl="2">
      <w:start w:val="1"/>
      <w:numFmt w:val="decimal"/>
      <w:lvlText w:val="%3)"/>
      <w:lvlJc w:val="left"/>
      <w:pPr>
        <w:ind w:left="1080" w:hanging="360"/>
      </w:pPr>
    </w:lvl>
    <w:lvl w:ilvl="3">
      <w:start w:val="1"/>
      <w:numFmt w:val="decimal"/>
      <w:lvlText w:val="(%4)"/>
      <w:lvlJc w:val="left"/>
      <w:pPr>
        <w:ind w:left="1440" w:hanging="360"/>
      </w:pPr>
    </w:lvl>
    <w:lvl w:ilvl="4">
      <w:start w:val="1"/>
      <w:numFmt w:val="decimal"/>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nsid w:val="183B4846"/>
    <w:multiLevelType w:val="singleLevel"/>
    <w:tmpl w:val="A7B412D0"/>
    <w:lvl w:ilvl="0">
      <w:start w:val="1"/>
      <w:numFmt w:val="decimal"/>
      <w:lvlText w:val="2.3.%1. "/>
      <w:legacy w:legacy="1" w:legacySpace="0" w:legacyIndent="283"/>
      <w:lvlJc w:val="left"/>
      <w:pPr>
        <w:ind w:left="283" w:hanging="283"/>
      </w:pPr>
      <w:rPr>
        <w:rFonts w:asciiTheme="minorHAnsi" w:hAnsiTheme="minorHAnsi" w:cs="Times New Roman" w:hint="default"/>
        <w:b/>
        <w:i w:val="0"/>
        <w:sz w:val="20"/>
        <w:u w:val="none"/>
      </w:rPr>
    </w:lvl>
  </w:abstractNum>
  <w:abstractNum w:abstractNumId="35">
    <w:nsid w:val="190F07E2"/>
    <w:multiLevelType w:val="hybridMultilevel"/>
    <w:tmpl w:val="48EAA862"/>
    <w:lvl w:ilvl="0" w:tplc="4A36915C">
      <w:start w:val="1"/>
      <w:numFmt w:val="bullet"/>
      <w:lvlText w:val="−"/>
      <w:lvlJc w:val="left"/>
      <w:pPr>
        <w:tabs>
          <w:tab w:val="num" w:pos="680"/>
        </w:tabs>
        <w:ind w:left="680" w:hanging="340"/>
      </w:pPr>
      <w:rPr>
        <w:rFonts w:ascii="Verdana" w:hAnsi="Verdana" w:cs="Verdana"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36">
    <w:nsid w:val="1D614579"/>
    <w:multiLevelType w:val="hybridMultilevel"/>
    <w:tmpl w:val="2EA6F098"/>
    <w:lvl w:ilvl="0" w:tplc="F6585758">
      <w:start w:val="16"/>
      <w:numFmt w:val="decimal"/>
      <w:lvlText w:val="%1"/>
      <w:lvlJc w:val="left"/>
      <w:pPr>
        <w:tabs>
          <w:tab w:val="num" w:pos="360"/>
        </w:tabs>
        <w:ind w:left="360" w:hanging="360"/>
      </w:pPr>
      <w:rPr>
        <w:rFonts w:hint="default"/>
      </w:rPr>
    </w:lvl>
    <w:lvl w:ilvl="1" w:tplc="3C526BE6">
      <w:start w:val="1"/>
      <w:numFmt w:val="lowerLetter"/>
      <w:lvlText w:val="%2."/>
      <w:lvlJc w:val="left"/>
      <w:pPr>
        <w:tabs>
          <w:tab w:val="num" w:pos="1080"/>
        </w:tabs>
        <w:ind w:left="1080" w:hanging="360"/>
      </w:pPr>
    </w:lvl>
    <w:lvl w:ilvl="2" w:tplc="D5188C4C">
      <w:start w:val="1"/>
      <w:numFmt w:val="lowerRoman"/>
      <w:lvlText w:val="%3."/>
      <w:lvlJc w:val="right"/>
      <w:pPr>
        <w:tabs>
          <w:tab w:val="num" w:pos="1800"/>
        </w:tabs>
        <w:ind w:left="1800" w:hanging="180"/>
      </w:pPr>
    </w:lvl>
    <w:lvl w:ilvl="3" w:tplc="B7385B12">
      <w:start w:val="1"/>
      <w:numFmt w:val="decimal"/>
      <w:lvlText w:val="%4."/>
      <w:lvlJc w:val="left"/>
      <w:pPr>
        <w:tabs>
          <w:tab w:val="num" w:pos="2520"/>
        </w:tabs>
        <w:ind w:left="2520" w:hanging="360"/>
      </w:pPr>
    </w:lvl>
    <w:lvl w:ilvl="4" w:tplc="4A2CEE4C">
      <w:start w:val="1"/>
      <w:numFmt w:val="lowerLetter"/>
      <w:lvlText w:val="%5."/>
      <w:lvlJc w:val="left"/>
      <w:pPr>
        <w:tabs>
          <w:tab w:val="num" w:pos="3240"/>
        </w:tabs>
        <w:ind w:left="3240" w:hanging="360"/>
      </w:pPr>
    </w:lvl>
    <w:lvl w:ilvl="5" w:tplc="602CDA5A">
      <w:start w:val="1"/>
      <w:numFmt w:val="lowerRoman"/>
      <w:lvlText w:val="%6."/>
      <w:lvlJc w:val="right"/>
      <w:pPr>
        <w:tabs>
          <w:tab w:val="num" w:pos="3960"/>
        </w:tabs>
        <w:ind w:left="3960" w:hanging="180"/>
      </w:pPr>
    </w:lvl>
    <w:lvl w:ilvl="6" w:tplc="5EE4CA30">
      <w:start w:val="1"/>
      <w:numFmt w:val="decimal"/>
      <w:lvlText w:val="%7."/>
      <w:lvlJc w:val="left"/>
      <w:pPr>
        <w:tabs>
          <w:tab w:val="num" w:pos="4680"/>
        </w:tabs>
        <w:ind w:left="4680" w:hanging="360"/>
      </w:pPr>
    </w:lvl>
    <w:lvl w:ilvl="7" w:tplc="32AECBD6">
      <w:start w:val="1"/>
      <w:numFmt w:val="lowerLetter"/>
      <w:lvlText w:val="%8."/>
      <w:lvlJc w:val="left"/>
      <w:pPr>
        <w:tabs>
          <w:tab w:val="num" w:pos="5400"/>
        </w:tabs>
        <w:ind w:left="5400" w:hanging="360"/>
      </w:pPr>
    </w:lvl>
    <w:lvl w:ilvl="8" w:tplc="4454B85E">
      <w:start w:val="1"/>
      <w:numFmt w:val="lowerRoman"/>
      <w:lvlText w:val="%9."/>
      <w:lvlJc w:val="right"/>
      <w:pPr>
        <w:tabs>
          <w:tab w:val="num" w:pos="6120"/>
        </w:tabs>
        <w:ind w:left="6120" w:hanging="180"/>
      </w:pPr>
    </w:lvl>
  </w:abstractNum>
  <w:abstractNum w:abstractNumId="37">
    <w:nsid w:val="1F232A9E"/>
    <w:multiLevelType w:val="multilevel"/>
    <w:tmpl w:val="0415001F"/>
    <w:styleLink w:val="Styl5"/>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504" w:hanging="504"/>
      </w:pPr>
    </w:lvl>
    <w:lvl w:ilvl="3">
      <w:start w:val="1"/>
      <w:numFmt w:val="decimal"/>
      <w:lvlText w:val="%1.%2.%3.%4."/>
      <w:lvlJc w:val="left"/>
      <w:pPr>
        <w:ind w:left="648" w:hanging="648"/>
      </w:pPr>
    </w:lvl>
    <w:lvl w:ilvl="4">
      <w:start w:val="1"/>
      <w:numFmt w:val="decimal"/>
      <w:lvlText w:val="%1.%2.%3.%4.%5."/>
      <w:lvlJc w:val="left"/>
      <w:pPr>
        <w:ind w:left="792" w:hanging="792"/>
      </w:pPr>
    </w:lvl>
    <w:lvl w:ilvl="5">
      <w:start w:val="1"/>
      <w:numFmt w:val="decimal"/>
      <w:lvlText w:val="%1.%2.%3.%4.%5.%6."/>
      <w:lvlJc w:val="left"/>
      <w:pPr>
        <w:ind w:left="936" w:hanging="936"/>
      </w:pPr>
    </w:lvl>
    <w:lvl w:ilvl="6">
      <w:start w:val="1"/>
      <w:numFmt w:val="decimal"/>
      <w:lvlText w:val="%1.%2.%3.%4.%5.%6.%7."/>
      <w:lvlJc w:val="left"/>
      <w:pPr>
        <w:ind w:left="108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nsid w:val="1F827E61"/>
    <w:multiLevelType w:val="singleLevel"/>
    <w:tmpl w:val="2DFC9D4C"/>
    <w:lvl w:ilvl="0">
      <w:start w:val="31"/>
      <w:numFmt w:val="decimal"/>
      <w:lvlText w:val="%1."/>
      <w:legacy w:legacy="1" w:legacySpace="0" w:legacyIndent="283"/>
      <w:lvlJc w:val="left"/>
      <w:pPr>
        <w:ind w:left="283" w:hanging="283"/>
      </w:pPr>
    </w:lvl>
  </w:abstractNum>
  <w:abstractNum w:abstractNumId="39">
    <w:nsid w:val="23F7046A"/>
    <w:multiLevelType w:val="hybridMultilevel"/>
    <w:tmpl w:val="A656D55E"/>
    <w:lvl w:ilvl="0" w:tplc="23A010B0">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28516425"/>
    <w:multiLevelType w:val="singleLevel"/>
    <w:tmpl w:val="D3760728"/>
    <w:lvl w:ilvl="0">
      <w:start w:val="3"/>
      <w:numFmt w:val="decimal"/>
      <w:lvlText w:val="2.2.%1. "/>
      <w:legacy w:legacy="1" w:legacySpace="0" w:legacyIndent="283"/>
      <w:lvlJc w:val="left"/>
      <w:pPr>
        <w:ind w:left="283" w:hanging="283"/>
      </w:pPr>
      <w:rPr>
        <w:rFonts w:asciiTheme="minorHAnsi" w:hAnsiTheme="minorHAnsi" w:cs="Times New Roman" w:hint="default"/>
        <w:b/>
        <w:i w:val="0"/>
        <w:sz w:val="20"/>
        <w:u w:val="none"/>
      </w:rPr>
    </w:lvl>
  </w:abstractNum>
  <w:abstractNum w:abstractNumId="41">
    <w:nsid w:val="2A803644"/>
    <w:multiLevelType w:val="singleLevel"/>
    <w:tmpl w:val="39AE28F0"/>
    <w:lvl w:ilvl="0">
      <w:start w:val="1"/>
      <w:numFmt w:val="lowerLetter"/>
      <w:lvlText w:val="%1)"/>
      <w:legacy w:legacy="1" w:legacySpace="0" w:legacyIndent="283"/>
      <w:lvlJc w:val="left"/>
      <w:pPr>
        <w:ind w:left="283" w:hanging="283"/>
      </w:pPr>
    </w:lvl>
  </w:abstractNum>
  <w:abstractNum w:abstractNumId="42">
    <w:nsid w:val="2B034E22"/>
    <w:multiLevelType w:val="hybridMultilevel"/>
    <w:tmpl w:val="1A62A832"/>
    <w:lvl w:ilvl="0" w:tplc="619E4750">
      <w:start w:val="17"/>
      <w:numFmt w:val="decimal"/>
      <w:lvlText w:val="%1."/>
      <w:lvlJc w:val="left"/>
      <w:pPr>
        <w:tabs>
          <w:tab w:val="num" w:pos="323"/>
        </w:tabs>
        <w:ind w:left="323" w:hanging="360"/>
      </w:pPr>
      <w:rPr>
        <w:rFonts w:hint="default"/>
      </w:rPr>
    </w:lvl>
    <w:lvl w:ilvl="1" w:tplc="39EC676E" w:tentative="1">
      <w:start w:val="1"/>
      <w:numFmt w:val="lowerLetter"/>
      <w:lvlText w:val="%2."/>
      <w:lvlJc w:val="left"/>
      <w:pPr>
        <w:tabs>
          <w:tab w:val="num" w:pos="1043"/>
        </w:tabs>
        <w:ind w:left="1043" w:hanging="360"/>
      </w:pPr>
    </w:lvl>
    <w:lvl w:ilvl="2" w:tplc="5964CB2A" w:tentative="1">
      <w:start w:val="1"/>
      <w:numFmt w:val="lowerRoman"/>
      <w:lvlText w:val="%3."/>
      <w:lvlJc w:val="right"/>
      <w:pPr>
        <w:tabs>
          <w:tab w:val="num" w:pos="1763"/>
        </w:tabs>
        <w:ind w:left="1763" w:hanging="180"/>
      </w:pPr>
    </w:lvl>
    <w:lvl w:ilvl="3" w:tplc="C304269C" w:tentative="1">
      <w:start w:val="1"/>
      <w:numFmt w:val="decimal"/>
      <w:lvlText w:val="%4."/>
      <w:lvlJc w:val="left"/>
      <w:pPr>
        <w:tabs>
          <w:tab w:val="num" w:pos="2483"/>
        </w:tabs>
        <w:ind w:left="2483" w:hanging="360"/>
      </w:pPr>
    </w:lvl>
    <w:lvl w:ilvl="4" w:tplc="9970CE62" w:tentative="1">
      <w:start w:val="1"/>
      <w:numFmt w:val="lowerLetter"/>
      <w:lvlText w:val="%5."/>
      <w:lvlJc w:val="left"/>
      <w:pPr>
        <w:tabs>
          <w:tab w:val="num" w:pos="3203"/>
        </w:tabs>
        <w:ind w:left="3203" w:hanging="360"/>
      </w:pPr>
    </w:lvl>
    <w:lvl w:ilvl="5" w:tplc="373C67FA" w:tentative="1">
      <w:start w:val="1"/>
      <w:numFmt w:val="lowerRoman"/>
      <w:lvlText w:val="%6."/>
      <w:lvlJc w:val="right"/>
      <w:pPr>
        <w:tabs>
          <w:tab w:val="num" w:pos="3923"/>
        </w:tabs>
        <w:ind w:left="3923" w:hanging="180"/>
      </w:pPr>
    </w:lvl>
    <w:lvl w:ilvl="6" w:tplc="5C44FF30" w:tentative="1">
      <w:start w:val="1"/>
      <w:numFmt w:val="decimal"/>
      <w:lvlText w:val="%7."/>
      <w:lvlJc w:val="left"/>
      <w:pPr>
        <w:tabs>
          <w:tab w:val="num" w:pos="4643"/>
        </w:tabs>
        <w:ind w:left="4643" w:hanging="360"/>
      </w:pPr>
    </w:lvl>
    <w:lvl w:ilvl="7" w:tplc="72AA7AFC" w:tentative="1">
      <w:start w:val="1"/>
      <w:numFmt w:val="lowerLetter"/>
      <w:lvlText w:val="%8."/>
      <w:lvlJc w:val="left"/>
      <w:pPr>
        <w:tabs>
          <w:tab w:val="num" w:pos="5363"/>
        </w:tabs>
        <w:ind w:left="5363" w:hanging="360"/>
      </w:pPr>
    </w:lvl>
    <w:lvl w:ilvl="8" w:tplc="8DD25E56" w:tentative="1">
      <w:start w:val="1"/>
      <w:numFmt w:val="lowerRoman"/>
      <w:lvlText w:val="%9."/>
      <w:lvlJc w:val="right"/>
      <w:pPr>
        <w:tabs>
          <w:tab w:val="num" w:pos="6083"/>
        </w:tabs>
        <w:ind w:left="6083" w:hanging="180"/>
      </w:pPr>
    </w:lvl>
  </w:abstractNum>
  <w:abstractNum w:abstractNumId="43">
    <w:nsid w:val="2B7D0756"/>
    <w:multiLevelType w:val="hybridMultilevel"/>
    <w:tmpl w:val="6C72D10E"/>
    <w:lvl w:ilvl="0" w:tplc="744AC0C4">
      <w:start w:val="1"/>
      <w:numFmt w:val="bullet"/>
      <w:lvlText w:val=""/>
      <w:lvlJc w:val="left"/>
      <w:pPr>
        <w:tabs>
          <w:tab w:val="num" w:pos="680"/>
        </w:tabs>
        <w:ind w:left="680" w:hanging="340"/>
      </w:pPr>
      <w:rPr>
        <w:rFonts w:ascii="Symbol" w:hAnsi="Symbol" w:cs="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cs="Wingdings" w:hint="default"/>
      </w:rPr>
    </w:lvl>
    <w:lvl w:ilvl="3" w:tplc="04150001">
      <w:start w:val="1"/>
      <w:numFmt w:val="bullet"/>
      <w:lvlText w:val=""/>
      <w:lvlJc w:val="left"/>
      <w:pPr>
        <w:tabs>
          <w:tab w:val="num" w:pos="2880"/>
        </w:tabs>
        <w:ind w:left="2880" w:hanging="360"/>
      </w:pPr>
      <w:rPr>
        <w:rFonts w:ascii="Symbol" w:hAnsi="Symbol" w:cs="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cs="Wingdings" w:hint="default"/>
      </w:rPr>
    </w:lvl>
    <w:lvl w:ilvl="6" w:tplc="04150001">
      <w:start w:val="1"/>
      <w:numFmt w:val="bullet"/>
      <w:lvlText w:val=""/>
      <w:lvlJc w:val="left"/>
      <w:pPr>
        <w:tabs>
          <w:tab w:val="num" w:pos="5040"/>
        </w:tabs>
        <w:ind w:left="5040" w:hanging="360"/>
      </w:pPr>
      <w:rPr>
        <w:rFonts w:ascii="Symbol" w:hAnsi="Symbol" w:cs="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cs="Wingdings" w:hint="default"/>
      </w:rPr>
    </w:lvl>
  </w:abstractNum>
  <w:abstractNum w:abstractNumId="44">
    <w:nsid w:val="2E58145E"/>
    <w:multiLevelType w:val="multilevel"/>
    <w:tmpl w:val="0415001F"/>
    <w:styleLink w:val="Styl3"/>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64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5">
    <w:nsid w:val="2F227174"/>
    <w:multiLevelType w:val="multilevel"/>
    <w:tmpl w:val="73760E22"/>
    <w:lvl w:ilvl="0">
      <w:start w:val="1"/>
      <w:numFmt w:val="bullet"/>
      <w:pStyle w:val="a2"/>
      <w:lvlText w:val=""/>
      <w:lvlJc w:val="left"/>
      <w:pPr>
        <w:tabs>
          <w:tab w:val="num" w:pos="502"/>
        </w:tabs>
        <w:ind w:left="502" w:hanging="360"/>
      </w:pPr>
      <w:rPr>
        <w:rFonts w:ascii="Symbol" w:hAnsi="Symbol" w:hint="default"/>
      </w:rPr>
    </w:lvl>
    <w:lvl w:ilvl="1">
      <w:start w:val="1"/>
      <w:numFmt w:val="decimal"/>
      <w:lvlText w:val="2.%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46">
    <w:nsid w:val="319B35D9"/>
    <w:multiLevelType w:val="hybridMultilevel"/>
    <w:tmpl w:val="BEB48D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nsid w:val="343C27E1"/>
    <w:multiLevelType w:val="singleLevel"/>
    <w:tmpl w:val="06FC33CC"/>
    <w:lvl w:ilvl="0">
      <w:start w:val="1"/>
      <w:numFmt w:val="lowerLetter"/>
      <w:lvlText w:val="%1)"/>
      <w:legacy w:legacy="1" w:legacySpace="0" w:legacyIndent="283"/>
      <w:lvlJc w:val="left"/>
      <w:pPr>
        <w:ind w:left="283" w:hanging="283"/>
      </w:pPr>
    </w:lvl>
  </w:abstractNum>
  <w:abstractNum w:abstractNumId="48">
    <w:nsid w:val="3D6E6459"/>
    <w:multiLevelType w:val="hybridMultilevel"/>
    <w:tmpl w:val="C8DA068E"/>
    <w:lvl w:ilvl="0" w:tplc="25CEB730">
      <w:start w:val="1"/>
      <w:numFmt w:val="bullet"/>
      <w:lvlText w:val=""/>
      <w:lvlJc w:val="left"/>
      <w:pPr>
        <w:tabs>
          <w:tab w:val="num" w:pos="680"/>
        </w:tabs>
        <w:ind w:left="680" w:hanging="340"/>
      </w:pPr>
      <w:rPr>
        <w:rFonts w:ascii="Symbol" w:hAnsi="Symbol"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9">
    <w:nsid w:val="3E712FC4"/>
    <w:multiLevelType w:val="singleLevel"/>
    <w:tmpl w:val="3CF296AC"/>
    <w:lvl w:ilvl="0">
      <w:start w:val="1"/>
      <w:numFmt w:val="decimal"/>
      <w:lvlText w:val="%1."/>
      <w:legacy w:legacy="1" w:legacySpace="0" w:legacyIndent="283"/>
      <w:lvlJc w:val="left"/>
      <w:pPr>
        <w:ind w:left="283" w:hanging="283"/>
      </w:pPr>
    </w:lvl>
  </w:abstractNum>
  <w:abstractNum w:abstractNumId="50">
    <w:nsid w:val="3F7C2CCA"/>
    <w:multiLevelType w:val="hybridMultilevel"/>
    <w:tmpl w:val="EC62EBAE"/>
    <w:lvl w:ilvl="0" w:tplc="01E4C5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414E0D31"/>
    <w:multiLevelType w:val="multilevel"/>
    <w:tmpl w:val="0415001F"/>
    <w:styleLink w:val="StylStylStylKonspektynumerowaneKonspektynumerowane12pt"/>
    <w:lvl w:ilvl="0">
      <w:start w:val="1"/>
      <w:numFmt w:val="decimal"/>
      <w:lvlText w:val="%1."/>
      <w:lvlJc w:val="left"/>
      <w:pPr>
        <w:tabs>
          <w:tab w:val="num" w:pos="360"/>
        </w:tabs>
        <w:ind w:left="360" w:hanging="360"/>
      </w:pPr>
      <w:rPr>
        <w:rFonts w:ascii="Arial" w:hAnsi="Arial"/>
        <w:b/>
        <w:sz w:val="28"/>
      </w:rPr>
    </w:lvl>
    <w:lvl w:ilvl="1">
      <w:start w:val="1"/>
      <w:numFmt w:val="decimal"/>
      <w:lvlText w:val="%1.%2."/>
      <w:lvlJc w:val="left"/>
      <w:pPr>
        <w:tabs>
          <w:tab w:val="num" w:pos="858"/>
        </w:tabs>
        <w:ind w:left="858" w:hanging="432"/>
      </w:pPr>
      <w:rPr>
        <w:rFonts w:ascii="Arial" w:hAnsi="Arial"/>
        <w:b/>
        <w:sz w:val="20"/>
      </w:rPr>
    </w:lvl>
    <w:lvl w:ilvl="2">
      <w:start w:val="1"/>
      <w:numFmt w:val="decimal"/>
      <w:lvlText w:val="%1.%2.%3."/>
      <w:lvlJc w:val="left"/>
      <w:pPr>
        <w:tabs>
          <w:tab w:val="num" w:pos="1224"/>
        </w:tabs>
        <w:ind w:left="1224" w:hanging="504"/>
      </w:pPr>
      <w:rPr>
        <w:rFonts w:ascii="Arial" w:hAnsi="Arial"/>
        <w:sz w:val="24"/>
        <w:szCs w:val="24"/>
      </w:r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52">
    <w:nsid w:val="41A81321"/>
    <w:multiLevelType w:val="singleLevel"/>
    <w:tmpl w:val="3BC43038"/>
    <w:lvl w:ilvl="0">
      <w:start w:val="1"/>
      <w:numFmt w:val="lowerLetter"/>
      <w:lvlText w:val="%1)"/>
      <w:legacy w:legacy="1" w:legacySpace="0" w:legacyIndent="283"/>
      <w:lvlJc w:val="left"/>
      <w:pPr>
        <w:ind w:left="283" w:hanging="283"/>
      </w:pPr>
    </w:lvl>
  </w:abstractNum>
  <w:abstractNum w:abstractNumId="53">
    <w:nsid w:val="423B07C4"/>
    <w:multiLevelType w:val="hybridMultilevel"/>
    <w:tmpl w:val="4BD836AA"/>
    <w:lvl w:ilvl="0" w:tplc="4A36915C">
      <w:start w:val="1"/>
      <w:numFmt w:val="bullet"/>
      <w:lvlText w:val="−"/>
      <w:lvlJc w:val="left"/>
      <w:pPr>
        <w:tabs>
          <w:tab w:val="num" w:pos="680"/>
        </w:tabs>
        <w:ind w:left="680" w:hanging="340"/>
      </w:pPr>
      <w:rPr>
        <w:rFonts w:ascii="Verdana" w:hAnsi="Verdana"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nsid w:val="42B43B5F"/>
    <w:multiLevelType w:val="multilevel"/>
    <w:tmpl w:val="0415001D"/>
    <w:styleLink w:val="Styl1"/>
    <w:lvl w:ilvl="0">
      <w:start w:val="1"/>
      <w:numFmt w:val="decimal"/>
      <w:lvlText w:val="%1)"/>
      <w:lvlJc w:val="left"/>
      <w:pPr>
        <w:ind w:left="360" w:hanging="360"/>
      </w:pPr>
      <w:rPr>
        <w:rFonts w:asciiTheme="minorHAnsi" w:hAnsiTheme="minorHAnsi"/>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5">
    <w:nsid w:val="43E20422"/>
    <w:multiLevelType w:val="singleLevel"/>
    <w:tmpl w:val="DAB4AD32"/>
    <w:lvl w:ilvl="0">
      <w:start w:val="1"/>
      <w:numFmt w:val="lowerLetter"/>
      <w:pStyle w:val="Listapunktowana2"/>
      <w:lvlText w:val="%1)"/>
      <w:legacy w:legacy="1" w:legacySpace="0" w:legacyIndent="283"/>
      <w:lvlJc w:val="left"/>
      <w:pPr>
        <w:ind w:left="283" w:hanging="283"/>
      </w:pPr>
    </w:lvl>
  </w:abstractNum>
  <w:abstractNum w:abstractNumId="56">
    <w:nsid w:val="44007EE4"/>
    <w:multiLevelType w:val="hybridMultilevel"/>
    <w:tmpl w:val="B686B11A"/>
    <w:lvl w:ilvl="0" w:tplc="DF74F368">
      <w:start w:val="1"/>
      <w:numFmt w:val="bullet"/>
      <w:pStyle w:val="KRESKA"/>
      <w:lvlText w:val="–"/>
      <w:lvlJc w:val="left"/>
      <w:pPr>
        <w:tabs>
          <w:tab w:val="num" w:pos="1381"/>
        </w:tabs>
        <w:ind w:left="1361" w:hanging="340"/>
      </w:pPr>
      <w:rPr>
        <w:rFonts w:ascii="Times New Roman" w:hAnsi="Times New Roman" w:cs="Times New Roman" w:hint="default"/>
        <w:color w:val="auto"/>
        <w:sz w:val="16"/>
      </w:rPr>
    </w:lvl>
    <w:lvl w:ilvl="1" w:tplc="89B8E79A">
      <w:start w:val="3"/>
      <w:numFmt w:val="bullet"/>
      <w:lvlText w:val="–"/>
      <w:lvlJc w:val="left"/>
      <w:pPr>
        <w:tabs>
          <w:tab w:val="num" w:pos="1440"/>
        </w:tabs>
        <w:ind w:left="1440" w:hanging="360"/>
      </w:pPr>
      <w:rPr>
        <w:rFonts w:ascii="Times New Roman" w:eastAsia="Times New Roman" w:hAnsi="Times New Roman" w:cs="Times New Roman" w:hint="default"/>
      </w:rPr>
    </w:lvl>
    <w:lvl w:ilvl="2" w:tplc="F6CCB72E">
      <w:start w:val="1"/>
      <w:numFmt w:val="lowerLetter"/>
      <w:lvlText w:val="%3)"/>
      <w:lvlJc w:val="left"/>
      <w:pPr>
        <w:tabs>
          <w:tab w:val="num" w:pos="2197"/>
        </w:tabs>
        <w:ind w:left="2197" w:hanging="397"/>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57">
    <w:nsid w:val="442046B8"/>
    <w:multiLevelType w:val="hybridMultilevel"/>
    <w:tmpl w:val="9A6EEA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46F578BE"/>
    <w:multiLevelType w:val="singleLevel"/>
    <w:tmpl w:val="A13AA372"/>
    <w:lvl w:ilvl="0">
      <w:start w:val="2"/>
      <w:numFmt w:val="decimal"/>
      <w:lvlText w:val="2.4.%1. "/>
      <w:legacy w:legacy="1" w:legacySpace="0" w:legacyIndent="283"/>
      <w:lvlJc w:val="left"/>
      <w:pPr>
        <w:ind w:left="283" w:hanging="283"/>
      </w:pPr>
      <w:rPr>
        <w:rFonts w:ascii="Times New Roman" w:hAnsi="Times New Roman" w:cs="Times New Roman" w:hint="default"/>
        <w:b/>
        <w:i w:val="0"/>
        <w:sz w:val="20"/>
        <w:u w:val="none"/>
      </w:rPr>
    </w:lvl>
  </w:abstractNum>
  <w:abstractNum w:abstractNumId="59">
    <w:nsid w:val="476A7EED"/>
    <w:multiLevelType w:val="singleLevel"/>
    <w:tmpl w:val="2CC4CA72"/>
    <w:lvl w:ilvl="0">
      <w:start w:val="3"/>
      <w:numFmt w:val="decimal"/>
      <w:lvlText w:val="%1."/>
      <w:legacy w:legacy="1" w:legacySpace="113" w:legacyIndent="397"/>
      <w:lvlJc w:val="right"/>
      <w:pPr>
        <w:ind w:left="397" w:hanging="397"/>
      </w:pPr>
    </w:lvl>
  </w:abstractNum>
  <w:abstractNum w:abstractNumId="60">
    <w:nsid w:val="4BC04A21"/>
    <w:multiLevelType w:val="hybridMultilevel"/>
    <w:tmpl w:val="404E6AF0"/>
    <w:lvl w:ilvl="0" w:tplc="01E4C53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4C1F0B76"/>
    <w:multiLevelType w:val="singleLevel"/>
    <w:tmpl w:val="E8967304"/>
    <w:lvl w:ilvl="0">
      <w:start w:val="1"/>
      <w:numFmt w:val="lowerLetter"/>
      <w:lvlText w:val="%1)"/>
      <w:legacy w:legacy="1" w:legacySpace="0" w:legacyIndent="283"/>
      <w:lvlJc w:val="left"/>
      <w:pPr>
        <w:ind w:left="283" w:hanging="283"/>
      </w:pPr>
    </w:lvl>
  </w:abstractNum>
  <w:abstractNum w:abstractNumId="62">
    <w:nsid w:val="4DAB513B"/>
    <w:multiLevelType w:val="multilevel"/>
    <w:tmpl w:val="C1069D84"/>
    <w:lvl w:ilvl="0">
      <w:start w:val="1"/>
      <w:numFmt w:val="decimal"/>
      <w:lvlText w:val="%1"/>
      <w:lvlJc w:val="left"/>
      <w:pPr>
        <w:ind w:left="720" w:hanging="360"/>
      </w:pPr>
      <w:rPr>
        <w:rFonts w:hint="default"/>
      </w:rPr>
    </w:lvl>
    <w:lvl w:ilvl="1">
      <w:start w:val="2"/>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3">
    <w:nsid w:val="4ECE6B1D"/>
    <w:multiLevelType w:val="singleLevel"/>
    <w:tmpl w:val="FEC46DD4"/>
    <w:lvl w:ilvl="0">
      <w:start w:val="1"/>
      <w:numFmt w:val="lowerLetter"/>
      <w:lvlText w:val="%1)"/>
      <w:legacy w:legacy="1" w:legacySpace="0" w:legacyIndent="283"/>
      <w:lvlJc w:val="left"/>
      <w:pPr>
        <w:ind w:left="283" w:hanging="283"/>
      </w:pPr>
    </w:lvl>
  </w:abstractNum>
  <w:abstractNum w:abstractNumId="64">
    <w:nsid w:val="51224606"/>
    <w:multiLevelType w:val="multilevel"/>
    <w:tmpl w:val="5B6CDB58"/>
    <w:lvl w:ilvl="0">
      <w:start w:val="1"/>
      <w:numFmt w:val="decimal"/>
      <w:lvlText w:val="%1."/>
      <w:legacy w:legacy="1" w:legacySpace="0" w:legacyIndent="283"/>
      <w:lvlJc w:val="left"/>
      <w:pPr>
        <w:ind w:left="283" w:hanging="283"/>
      </w:pPr>
    </w:lvl>
    <w:lvl w:ilvl="1">
      <w:start w:val="3"/>
      <w:numFmt w:val="decimal"/>
      <w:isLgl/>
      <w:lvlText w:val="%1.%2."/>
      <w:lvlJc w:val="left"/>
      <w:pPr>
        <w:tabs>
          <w:tab w:val="num" w:pos="495"/>
        </w:tabs>
        <w:ind w:left="495" w:hanging="495"/>
      </w:pPr>
      <w:rPr>
        <w:rFonts w:hint="default"/>
        <w:b/>
        <w:bCs/>
      </w:rPr>
    </w:lvl>
    <w:lvl w:ilvl="2">
      <w:start w:val="2"/>
      <w:numFmt w:val="decimal"/>
      <w:isLgl/>
      <w:lvlText w:val="%1.%2.%3."/>
      <w:lvlJc w:val="left"/>
      <w:pPr>
        <w:tabs>
          <w:tab w:val="num" w:pos="720"/>
        </w:tabs>
        <w:ind w:left="720" w:hanging="720"/>
      </w:pPr>
      <w:rPr>
        <w:rFonts w:hint="default"/>
        <w:b/>
        <w:bCs/>
      </w:rPr>
    </w:lvl>
    <w:lvl w:ilvl="3">
      <w:start w:val="1"/>
      <w:numFmt w:val="decimalZero"/>
      <w:isLgl/>
      <w:lvlText w:val="%1.%2.%3.%4."/>
      <w:lvlJc w:val="left"/>
      <w:pPr>
        <w:tabs>
          <w:tab w:val="num" w:pos="720"/>
        </w:tabs>
        <w:ind w:left="720" w:hanging="720"/>
      </w:pPr>
      <w:rPr>
        <w:rFonts w:hint="default"/>
        <w:b/>
        <w:bCs/>
      </w:rPr>
    </w:lvl>
    <w:lvl w:ilvl="4">
      <w:start w:val="1"/>
      <w:numFmt w:val="decimal"/>
      <w:isLgl/>
      <w:lvlText w:val="%1.%2.%3.%4.%5."/>
      <w:lvlJc w:val="left"/>
      <w:pPr>
        <w:tabs>
          <w:tab w:val="num" w:pos="1080"/>
        </w:tabs>
        <w:ind w:left="1080" w:hanging="1080"/>
      </w:pPr>
      <w:rPr>
        <w:rFonts w:hint="default"/>
        <w:b/>
        <w:bCs/>
      </w:rPr>
    </w:lvl>
    <w:lvl w:ilvl="5">
      <w:start w:val="1"/>
      <w:numFmt w:val="decimal"/>
      <w:isLgl/>
      <w:lvlText w:val="%1.%2.%3.%4.%5.%6."/>
      <w:lvlJc w:val="left"/>
      <w:pPr>
        <w:tabs>
          <w:tab w:val="num" w:pos="1080"/>
        </w:tabs>
        <w:ind w:left="1080" w:hanging="1080"/>
      </w:pPr>
      <w:rPr>
        <w:rFonts w:hint="default"/>
        <w:b/>
        <w:bCs/>
      </w:rPr>
    </w:lvl>
    <w:lvl w:ilvl="6">
      <w:start w:val="1"/>
      <w:numFmt w:val="decimal"/>
      <w:isLgl/>
      <w:lvlText w:val="%1.%2.%3.%4.%5.%6.%7."/>
      <w:lvlJc w:val="left"/>
      <w:pPr>
        <w:tabs>
          <w:tab w:val="num" w:pos="1080"/>
        </w:tabs>
        <w:ind w:left="1080" w:hanging="1080"/>
      </w:pPr>
      <w:rPr>
        <w:rFonts w:hint="default"/>
        <w:b/>
        <w:bCs/>
      </w:rPr>
    </w:lvl>
    <w:lvl w:ilvl="7">
      <w:start w:val="1"/>
      <w:numFmt w:val="decimal"/>
      <w:isLgl/>
      <w:lvlText w:val="%1.%2.%3.%4.%5.%6.%7.%8."/>
      <w:lvlJc w:val="left"/>
      <w:pPr>
        <w:tabs>
          <w:tab w:val="num" w:pos="1440"/>
        </w:tabs>
        <w:ind w:left="1440" w:hanging="1440"/>
      </w:pPr>
      <w:rPr>
        <w:rFonts w:hint="default"/>
        <w:b/>
        <w:bCs/>
      </w:rPr>
    </w:lvl>
    <w:lvl w:ilvl="8">
      <w:start w:val="1"/>
      <w:numFmt w:val="decimal"/>
      <w:isLgl/>
      <w:lvlText w:val="%1.%2.%3.%4.%5.%6.%7.%8.%9."/>
      <w:lvlJc w:val="left"/>
      <w:pPr>
        <w:tabs>
          <w:tab w:val="num" w:pos="1440"/>
        </w:tabs>
        <w:ind w:left="1440" w:hanging="1440"/>
      </w:pPr>
      <w:rPr>
        <w:rFonts w:hint="default"/>
        <w:b/>
        <w:bCs/>
      </w:rPr>
    </w:lvl>
  </w:abstractNum>
  <w:abstractNum w:abstractNumId="65">
    <w:nsid w:val="512371D0"/>
    <w:multiLevelType w:val="singleLevel"/>
    <w:tmpl w:val="D5CA5500"/>
    <w:lvl w:ilvl="0">
      <w:start w:val="1"/>
      <w:numFmt w:val="decimal"/>
      <w:lvlText w:val="2.4.%1. "/>
      <w:legacy w:legacy="1" w:legacySpace="0" w:legacyIndent="283"/>
      <w:lvlJc w:val="left"/>
      <w:pPr>
        <w:ind w:left="283" w:hanging="283"/>
      </w:pPr>
      <w:rPr>
        <w:rFonts w:ascii="Calibri" w:hAnsi="Calibri" w:cs="Times New Roman" w:hint="default"/>
        <w:b/>
        <w:i w:val="0"/>
        <w:sz w:val="20"/>
        <w:u w:val="none"/>
      </w:rPr>
    </w:lvl>
  </w:abstractNum>
  <w:abstractNum w:abstractNumId="66">
    <w:nsid w:val="51A86F42"/>
    <w:multiLevelType w:val="multilevel"/>
    <w:tmpl w:val="FA505E02"/>
    <w:lvl w:ilvl="0">
      <w:start w:val="1"/>
      <w:numFmt w:val="decimal"/>
      <w:lvlText w:val="%1."/>
      <w:legacy w:legacy="1" w:legacySpace="57" w:legacyIndent="340"/>
      <w:lvlJc w:val="left"/>
      <w:pPr>
        <w:ind w:left="341" w:hanging="340"/>
      </w:pPr>
    </w:lvl>
    <w:lvl w:ilvl="1">
      <w:start w:val="2"/>
      <w:numFmt w:val="decimal"/>
      <w:isLgl/>
      <w:lvlText w:val="%1.%2"/>
      <w:lvlJc w:val="left"/>
      <w:pPr>
        <w:tabs>
          <w:tab w:val="num" w:pos="391"/>
        </w:tabs>
        <w:ind w:left="391" w:hanging="390"/>
      </w:pPr>
      <w:rPr>
        <w:rFonts w:hint="default"/>
      </w:rPr>
    </w:lvl>
    <w:lvl w:ilvl="2">
      <w:start w:val="1"/>
      <w:numFmt w:val="decimal"/>
      <w:isLgl/>
      <w:lvlText w:val="%1.%2.%3"/>
      <w:lvlJc w:val="left"/>
      <w:pPr>
        <w:tabs>
          <w:tab w:val="num" w:pos="721"/>
        </w:tabs>
        <w:ind w:left="721" w:hanging="720"/>
      </w:pPr>
      <w:rPr>
        <w:rFonts w:hint="default"/>
      </w:rPr>
    </w:lvl>
    <w:lvl w:ilvl="3">
      <w:start w:val="1"/>
      <w:numFmt w:val="decimal"/>
      <w:isLgl/>
      <w:lvlText w:val="%1.%2.%3.%4"/>
      <w:lvlJc w:val="left"/>
      <w:pPr>
        <w:tabs>
          <w:tab w:val="num" w:pos="721"/>
        </w:tabs>
        <w:ind w:left="721" w:hanging="720"/>
      </w:pPr>
      <w:rPr>
        <w:rFonts w:hint="default"/>
      </w:rPr>
    </w:lvl>
    <w:lvl w:ilvl="4">
      <w:start w:val="1"/>
      <w:numFmt w:val="decimal"/>
      <w:isLgl/>
      <w:lvlText w:val="%1.%2.%3.%4.%5"/>
      <w:lvlJc w:val="left"/>
      <w:pPr>
        <w:tabs>
          <w:tab w:val="num" w:pos="721"/>
        </w:tabs>
        <w:ind w:left="721" w:hanging="720"/>
      </w:pPr>
      <w:rPr>
        <w:rFonts w:hint="default"/>
      </w:rPr>
    </w:lvl>
    <w:lvl w:ilvl="5">
      <w:start w:val="1"/>
      <w:numFmt w:val="decimal"/>
      <w:isLgl/>
      <w:lvlText w:val="%1.%2.%3.%4.%5.%6"/>
      <w:lvlJc w:val="left"/>
      <w:pPr>
        <w:tabs>
          <w:tab w:val="num" w:pos="1081"/>
        </w:tabs>
        <w:ind w:left="1081" w:hanging="1080"/>
      </w:pPr>
      <w:rPr>
        <w:rFonts w:hint="default"/>
      </w:rPr>
    </w:lvl>
    <w:lvl w:ilvl="6">
      <w:start w:val="1"/>
      <w:numFmt w:val="decimal"/>
      <w:isLgl/>
      <w:lvlText w:val="%1.%2.%3.%4.%5.%6.%7"/>
      <w:lvlJc w:val="left"/>
      <w:pPr>
        <w:tabs>
          <w:tab w:val="num" w:pos="1081"/>
        </w:tabs>
        <w:ind w:left="1081" w:hanging="1080"/>
      </w:pPr>
      <w:rPr>
        <w:rFonts w:hint="default"/>
      </w:rPr>
    </w:lvl>
    <w:lvl w:ilvl="7">
      <w:start w:val="1"/>
      <w:numFmt w:val="decimal"/>
      <w:isLgl/>
      <w:lvlText w:val="%1.%2.%3.%4.%5.%6.%7.%8"/>
      <w:lvlJc w:val="left"/>
      <w:pPr>
        <w:tabs>
          <w:tab w:val="num" w:pos="1441"/>
        </w:tabs>
        <w:ind w:left="1441" w:hanging="1440"/>
      </w:pPr>
      <w:rPr>
        <w:rFonts w:hint="default"/>
      </w:rPr>
    </w:lvl>
    <w:lvl w:ilvl="8">
      <w:start w:val="1"/>
      <w:numFmt w:val="decimal"/>
      <w:isLgl/>
      <w:lvlText w:val="%1.%2.%3.%4.%5.%6.%7.%8.%9"/>
      <w:lvlJc w:val="left"/>
      <w:pPr>
        <w:tabs>
          <w:tab w:val="num" w:pos="1441"/>
        </w:tabs>
        <w:ind w:left="1441" w:hanging="1440"/>
      </w:pPr>
      <w:rPr>
        <w:rFonts w:hint="default"/>
      </w:rPr>
    </w:lvl>
  </w:abstractNum>
  <w:abstractNum w:abstractNumId="67">
    <w:nsid w:val="52E309BF"/>
    <w:multiLevelType w:val="hybridMultilevel"/>
    <w:tmpl w:val="333E4A8E"/>
    <w:lvl w:ilvl="0" w:tplc="32203CFA">
      <w:start w:val="1"/>
      <w:numFmt w:val="bullet"/>
      <w:lvlText w:val="−"/>
      <w:lvlJc w:val="left"/>
      <w:pPr>
        <w:tabs>
          <w:tab w:val="num" w:pos="680"/>
        </w:tabs>
        <w:ind w:left="680" w:hanging="340"/>
      </w:pPr>
      <w:rPr>
        <w:rFonts w:ascii="Verdana" w:hAnsi="Verdana" w:hint="default"/>
      </w:rPr>
    </w:lvl>
    <w:lvl w:ilvl="1" w:tplc="CB38BA66" w:tentative="1">
      <w:start w:val="1"/>
      <w:numFmt w:val="bullet"/>
      <w:lvlText w:val="o"/>
      <w:lvlJc w:val="left"/>
      <w:pPr>
        <w:tabs>
          <w:tab w:val="num" w:pos="1440"/>
        </w:tabs>
        <w:ind w:left="1440" w:hanging="360"/>
      </w:pPr>
      <w:rPr>
        <w:rFonts w:ascii="Courier New" w:hAnsi="Courier New" w:cs="Courier New" w:hint="default"/>
      </w:rPr>
    </w:lvl>
    <w:lvl w:ilvl="2" w:tplc="57E67C04" w:tentative="1">
      <w:start w:val="1"/>
      <w:numFmt w:val="bullet"/>
      <w:lvlText w:val=""/>
      <w:lvlJc w:val="left"/>
      <w:pPr>
        <w:tabs>
          <w:tab w:val="num" w:pos="2160"/>
        </w:tabs>
        <w:ind w:left="2160" w:hanging="360"/>
      </w:pPr>
      <w:rPr>
        <w:rFonts w:ascii="Wingdings" w:hAnsi="Wingdings" w:hint="default"/>
      </w:rPr>
    </w:lvl>
    <w:lvl w:ilvl="3" w:tplc="4A6681D8" w:tentative="1">
      <w:start w:val="1"/>
      <w:numFmt w:val="bullet"/>
      <w:lvlText w:val=""/>
      <w:lvlJc w:val="left"/>
      <w:pPr>
        <w:tabs>
          <w:tab w:val="num" w:pos="2880"/>
        </w:tabs>
        <w:ind w:left="2880" w:hanging="360"/>
      </w:pPr>
      <w:rPr>
        <w:rFonts w:ascii="Symbol" w:hAnsi="Symbol" w:hint="default"/>
      </w:rPr>
    </w:lvl>
    <w:lvl w:ilvl="4" w:tplc="C47E9374" w:tentative="1">
      <w:start w:val="1"/>
      <w:numFmt w:val="bullet"/>
      <w:lvlText w:val="o"/>
      <w:lvlJc w:val="left"/>
      <w:pPr>
        <w:tabs>
          <w:tab w:val="num" w:pos="3600"/>
        </w:tabs>
        <w:ind w:left="3600" w:hanging="360"/>
      </w:pPr>
      <w:rPr>
        <w:rFonts w:ascii="Courier New" w:hAnsi="Courier New" w:cs="Courier New" w:hint="default"/>
      </w:rPr>
    </w:lvl>
    <w:lvl w:ilvl="5" w:tplc="3222970E" w:tentative="1">
      <w:start w:val="1"/>
      <w:numFmt w:val="bullet"/>
      <w:lvlText w:val=""/>
      <w:lvlJc w:val="left"/>
      <w:pPr>
        <w:tabs>
          <w:tab w:val="num" w:pos="4320"/>
        </w:tabs>
        <w:ind w:left="4320" w:hanging="360"/>
      </w:pPr>
      <w:rPr>
        <w:rFonts w:ascii="Wingdings" w:hAnsi="Wingdings" w:hint="default"/>
      </w:rPr>
    </w:lvl>
    <w:lvl w:ilvl="6" w:tplc="70747316" w:tentative="1">
      <w:start w:val="1"/>
      <w:numFmt w:val="bullet"/>
      <w:lvlText w:val=""/>
      <w:lvlJc w:val="left"/>
      <w:pPr>
        <w:tabs>
          <w:tab w:val="num" w:pos="5040"/>
        </w:tabs>
        <w:ind w:left="5040" w:hanging="360"/>
      </w:pPr>
      <w:rPr>
        <w:rFonts w:ascii="Symbol" w:hAnsi="Symbol" w:hint="default"/>
      </w:rPr>
    </w:lvl>
    <w:lvl w:ilvl="7" w:tplc="8FD66DB6" w:tentative="1">
      <w:start w:val="1"/>
      <w:numFmt w:val="bullet"/>
      <w:lvlText w:val="o"/>
      <w:lvlJc w:val="left"/>
      <w:pPr>
        <w:tabs>
          <w:tab w:val="num" w:pos="5760"/>
        </w:tabs>
        <w:ind w:left="5760" w:hanging="360"/>
      </w:pPr>
      <w:rPr>
        <w:rFonts w:ascii="Courier New" w:hAnsi="Courier New" w:cs="Courier New" w:hint="default"/>
      </w:rPr>
    </w:lvl>
    <w:lvl w:ilvl="8" w:tplc="71BA886A" w:tentative="1">
      <w:start w:val="1"/>
      <w:numFmt w:val="bullet"/>
      <w:lvlText w:val=""/>
      <w:lvlJc w:val="left"/>
      <w:pPr>
        <w:tabs>
          <w:tab w:val="num" w:pos="6480"/>
        </w:tabs>
        <w:ind w:left="6480" w:hanging="360"/>
      </w:pPr>
      <w:rPr>
        <w:rFonts w:ascii="Wingdings" w:hAnsi="Wingdings" w:hint="default"/>
      </w:rPr>
    </w:lvl>
  </w:abstractNum>
  <w:abstractNum w:abstractNumId="68">
    <w:nsid w:val="56966E47"/>
    <w:multiLevelType w:val="singleLevel"/>
    <w:tmpl w:val="F68CF0AC"/>
    <w:lvl w:ilvl="0">
      <w:start w:val="1"/>
      <w:numFmt w:val="lowerLetter"/>
      <w:pStyle w:val="Listapunktowana4"/>
      <w:lvlText w:val="(%1)"/>
      <w:legacy w:legacy="1" w:legacySpace="0" w:legacyIndent="283"/>
      <w:lvlJc w:val="left"/>
      <w:pPr>
        <w:ind w:left="283" w:hanging="283"/>
      </w:pPr>
    </w:lvl>
  </w:abstractNum>
  <w:abstractNum w:abstractNumId="69">
    <w:nsid w:val="56B4052E"/>
    <w:multiLevelType w:val="hybridMultilevel"/>
    <w:tmpl w:val="C850477E"/>
    <w:lvl w:ilvl="0" w:tplc="A13AA8E2">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70">
    <w:nsid w:val="582837F9"/>
    <w:multiLevelType w:val="hybridMultilevel"/>
    <w:tmpl w:val="FAC29E46"/>
    <w:lvl w:ilvl="0" w:tplc="25CEB730">
      <w:start w:val="1"/>
      <w:numFmt w:val="bullet"/>
      <w:lvlText w:val=""/>
      <w:lvlJc w:val="left"/>
      <w:pPr>
        <w:tabs>
          <w:tab w:val="num" w:pos="680"/>
        </w:tabs>
        <w:ind w:left="680" w:hanging="340"/>
      </w:pPr>
      <w:rPr>
        <w:rFonts w:ascii="Symbol" w:hAnsi="Symbol" w:hint="default"/>
        <w:color w:val="auto"/>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71">
    <w:nsid w:val="5B5A54ED"/>
    <w:multiLevelType w:val="multilevel"/>
    <w:tmpl w:val="8E585EAA"/>
    <w:lvl w:ilvl="0">
      <w:start w:val="2"/>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2">
    <w:nsid w:val="5B6A308F"/>
    <w:multiLevelType w:val="singleLevel"/>
    <w:tmpl w:val="2F52D2FC"/>
    <w:lvl w:ilvl="0">
      <w:start w:val="1"/>
      <w:numFmt w:val="decimal"/>
      <w:lvlText w:val="%1."/>
      <w:legacy w:legacy="1" w:legacySpace="0" w:legacyIndent="283"/>
      <w:lvlJc w:val="left"/>
      <w:pPr>
        <w:ind w:left="283" w:hanging="283"/>
      </w:pPr>
    </w:lvl>
  </w:abstractNum>
  <w:abstractNum w:abstractNumId="73">
    <w:nsid w:val="5C0C0349"/>
    <w:multiLevelType w:val="multilevel"/>
    <w:tmpl w:val="C136B2E2"/>
    <w:styleLink w:val="Styl4"/>
    <w:lvl w:ilvl="0">
      <w:start w:val="1"/>
      <w:numFmt w:val="decimal"/>
      <w:lvlText w:val="%1."/>
      <w:lvlJc w:val="left"/>
      <w:pPr>
        <w:ind w:left="360" w:hanging="360"/>
      </w:pPr>
      <w:rPr>
        <w:rFonts w:cs="Times New Roman"/>
      </w:rPr>
    </w:lvl>
    <w:lvl w:ilvl="1">
      <w:start w:val="2"/>
      <w:numFmt w:val="decimal"/>
      <w:lvlText w:val="%1.%2."/>
      <w:lvlJc w:val="left"/>
      <w:pPr>
        <w:ind w:left="792" w:hanging="679"/>
      </w:pPr>
      <w:rPr>
        <w:rFonts w:cs="Times New Roman"/>
      </w:rPr>
    </w:lvl>
    <w:lvl w:ilvl="2">
      <w:start w:val="1"/>
      <w:numFmt w:val="lowerLetter"/>
      <w:lvlText w:val="%3."/>
      <w:lvlJc w:val="left"/>
      <w:pPr>
        <w:ind w:left="794" w:hanging="567"/>
      </w:pPr>
      <w:rPr>
        <w:rFonts w:cs="Times New Roman"/>
      </w:rPr>
    </w:lvl>
    <w:lvl w:ilvl="3">
      <w:start w:val="1"/>
      <w:numFmt w:val="lowerRoman"/>
      <w:lvlText w:val="%4."/>
      <w:lvlJc w:val="left"/>
      <w:pPr>
        <w:ind w:left="794" w:hanging="454"/>
      </w:pPr>
      <w:rPr>
        <w:rFonts w:cs="Times New Roman"/>
      </w:rPr>
    </w:lvl>
    <w:lvl w:ilvl="4">
      <w:start w:val="1"/>
      <w:numFmt w:val="bullet"/>
      <w:lvlText w:val=""/>
      <w:lvlJc w:val="left"/>
      <w:pPr>
        <w:ind w:left="340" w:hanging="340"/>
      </w:pPr>
      <w:rPr>
        <w:rFonts w:ascii="Symbol" w:hAnsi="Symbol" w:hint="default"/>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74">
    <w:nsid w:val="5C1671A4"/>
    <w:multiLevelType w:val="singleLevel"/>
    <w:tmpl w:val="06FC33CC"/>
    <w:lvl w:ilvl="0">
      <w:start w:val="1"/>
      <w:numFmt w:val="lowerLetter"/>
      <w:lvlText w:val="%1)"/>
      <w:legacy w:legacy="1" w:legacySpace="0" w:legacyIndent="283"/>
      <w:lvlJc w:val="left"/>
      <w:pPr>
        <w:ind w:left="283" w:hanging="283"/>
      </w:pPr>
    </w:lvl>
  </w:abstractNum>
  <w:abstractNum w:abstractNumId="75">
    <w:nsid w:val="5C6A2219"/>
    <w:multiLevelType w:val="multilevel"/>
    <w:tmpl w:val="8AEAB7E8"/>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nsid w:val="5ECA3A24"/>
    <w:multiLevelType w:val="hybridMultilevel"/>
    <w:tmpl w:val="24703EA4"/>
    <w:lvl w:ilvl="0" w:tplc="72C20154">
      <w:start w:val="6"/>
      <w:numFmt w:val="decimal"/>
      <w:lvlText w:val="%1."/>
      <w:lvlJc w:val="left"/>
      <w:pPr>
        <w:tabs>
          <w:tab w:val="num" w:pos="323"/>
        </w:tabs>
        <w:ind w:left="323" w:hanging="360"/>
      </w:pPr>
      <w:rPr>
        <w:rFonts w:hint="default"/>
      </w:rPr>
    </w:lvl>
    <w:lvl w:ilvl="1" w:tplc="68284374">
      <w:start w:val="1"/>
      <w:numFmt w:val="lowerLetter"/>
      <w:lvlText w:val="%2."/>
      <w:lvlJc w:val="left"/>
      <w:pPr>
        <w:tabs>
          <w:tab w:val="num" w:pos="1043"/>
        </w:tabs>
        <w:ind w:left="1043" w:hanging="360"/>
      </w:pPr>
    </w:lvl>
    <w:lvl w:ilvl="2" w:tplc="2CC85AC4">
      <w:start w:val="1"/>
      <w:numFmt w:val="lowerRoman"/>
      <w:lvlText w:val="%3."/>
      <w:lvlJc w:val="right"/>
      <w:pPr>
        <w:tabs>
          <w:tab w:val="num" w:pos="1763"/>
        </w:tabs>
        <w:ind w:left="1763" w:hanging="180"/>
      </w:pPr>
    </w:lvl>
    <w:lvl w:ilvl="3" w:tplc="AB6E3EE6">
      <w:start w:val="1"/>
      <w:numFmt w:val="decimal"/>
      <w:lvlText w:val="%4."/>
      <w:lvlJc w:val="left"/>
      <w:pPr>
        <w:tabs>
          <w:tab w:val="num" w:pos="2483"/>
        </w:tabs>
        <w:ind w:left="2483" w:hanging="360"/>
      </w:pPr>
    </w:lvl>
    <w:lvl w:ilvl="4" w:tplc="57FCC1EA">
      <w:start w:val="1"/>
      <w:numFmt w:val="lowerLetter"/>
      <w:lvlText w:val="%5."/>
      <w:lvlJc w:val="left"/>
      <w:pPr>
        <w:tabs>
          <w:tab w:val="num" w:pos="3203"/>
        </w:tabs>
        <w:ind w:left="3203" w:hanging="360"/>
      </w:pPr>
    </w:lvl>
    <w:lvl w:ilvl="5" w:tplc="B7D4B474">
      <w:start w:val="1"/>
      <w:numFmt w:val="lowerRoman"/>
      <w:lvlText w:val="%6."/>
      <w:lvlJc w:val="right"/>
      <w:pPr>
        <w:tabs>
          <w:tab w:val="num" w:pos="3923"/>
        </w:tabs>
        <w:ind w:left="3923" w:hanging="180"/>
      </w:pPr>
    </w:lvl>
    <w:lvl w:ilvl="6" w:tplc="74A8F566">
      <w:start w:val="1"/>
      <w:numFmt w:val="decimal"/>
      <w:lvlText w:val="%7."/>
      <w:lvlJc w:val="left"/>
      <w:pPr>
        <w:tabs>
          <w:tab w:val="num" w:pos="4643"/>
        </w:tabs>
        <w:ind w:left="4643" w:hanging="360"/>
      </w:pPr>
    </w:lvl>
    <w:lvl w:ilvl="7" w:tplc="DF64BD68">
      <w:start w:val="1"/>
      <w:numFmt w:val="lowerLetter"/>
      <w:lvlText w:val="%8."/>
      <w:lvlJc w:val="left"/>
      <w:pPr>
        <w:tabs>
          <w:tab w:val="num" w:pos="5363"/>
        </w:tabs>
        <w:ind w:left="5363" w:hanging="360"/>
      </w:pPr>
    </w:lvl>
    <w:lvl w:ilvl="8" w:tplc="D85A71EA">
      <w:start w:val="1"/>
      <w:numFmt w:val="lowerRoman"/>
      <w:lvlText w:val="%9."/>
      <w:lvlJc w:val="right"/>
      <w:pPr>
        <w:tabs>
          <w:tab w:val="num" w:pos="6083"/>
        </w:tabs>
        <w:ind w:left="6083" w:hanging="180"/>
      </w:pPr>
    </w:lvl>
  </w:abstractNum>
  <w:abstractNum w:abstractNumId="77">
    <w:nsid w:val="5EF11B00"/>
    <w:multiLevelType w:val="multilevel"/>
    <w:tmpl w:val="26A02334"/>
    <w:lvl w:ilvl="0">
      <w:start w:val="10"/>
      <w:numFmt w:val="decimal"/>
      <w:lvlText w:val="%1."/>
      <w:lvlJc w:val="left"/>
      <w:pPr>
        <w:tabs>
          <w:tab w:val="num" w:pos="361"/>
        </w:tabs>
        <w:ind w:left="361" w:hanging="360"/>
      </w:pPr>
      <w:rPr>
        <w:rFonts w:hint="default"/>
      </w:rPr>
    </w:lvl>
    <w:lvl w:ilvl="1">
      <w:start w:val="2"/>
      <w:numFmt w:val="decimal"/>
      <w:isLgl/>
      <w:lvlText w:val="%1.%2"/>
      <w:lvlJc w:val="left"/>
      <w:pPr>
        <w:tabs>
          <w:tab w:val="num" w:pos="391"/>
        </w:tabs>
        <w:ind w:left="391" w:hanging="390"/>
      </w:pPr>
      <w:rPr>
        <w:rFonts w:hint="default"/>
      </w:rPr>
    </w:lvl>
    <w:lvl w:ilvl="2">
      <w:start w:val="1"/>
      <w:numFmt w:val="decimal"/>
      <w:isLgl/>
      <w:lvlText w:val="%1.%2.%3"/>
      <w:lvlJc w:val="left"/>
      <w:pPr>
        <w:tabs>
          <w:tab w:val="num" w:pos="721"/>
        </w:tabs>
        <w:ind w:left="721" w:hanging="720"/>
      </w:pPr>
      <w:rPr>
        <w:rFonts w:hint="default"/>
      </w:rPr>
    </w:lvl>
    <w:lvl w:ilvl="3">
      <w:start w:val="1"/>
      <w:numFmt w:val="decimal"/>
      <w:isLgl/>
      <w:lvlText w:val="%1.%2.%3.%4"/>
      <w:lvlJc w:val="left"/>
      <w:pPr>
        <w:tabs>
          <w:tab w:val="num" w:pos="721"/>
        </w:tabs>
        <w:ind w:left="721" w:hanging="720"/>
      </w:pPr>
      <w:rPr>
        <w:rFonts w:hint="default"/>
      </w:rPr>
    </w:lvl>
    <w:lvl w:ilvl="4">
      <w:start w:val="1"/>
      <w:numFmt w:val="decimal"/>
      <w:isLgl/>
      <w:lvlText w:val="%1.%2.%3.%4.%5"/>
      <w:lvlJc w:val="left"/>
      <w:pPr>
        <w:tabs>
          <w:tab w:val="num" w:pos="721"/>
        </w:tabs>
        <w:ind w:left="721" w:hanging="720"/>
      </w:pPr>
      <w:rPr>
        <w:rFonts w:hint="default"/>
      </w:rPr>
    </w:lvl>
    <w:lvl w:ilvl="5">
      <w:start w:val="1"/>
      <w:numFmt w:val="decimal"/>
      <w:isLgl/>
      <w:lvlText w:val="%1.%2.%3.%4.%5.%6"/>
      <w:lvlJc w:val="left"/>
      <w:pPr>
        <w:tabs>
          <w:tab w:val="num" w:pos="1081"/>
        </w:tabs>
        <w:ind w:left="1081" w:hanging="1080"/>
      </w:pPr>
      <w:rPr>
        <w:rFonts w:hint="default"/>
      </w:rPr>
    </w:lvl>
    <w:lvl w:ilvl="6">
      <w:start w:val="1"/>
      <w:numFmt w:val="decimal"/>
      <w:isLgl/>
      <w:lvlText w:val="%1.%2.%3.%4.%5.%6.%7"/>
      <w:lvlJc w:val="left"/>
      <w:pPr>
        <w:tabs>
          <w:tab w:val="num" w:pos="1081"/>
        </w:tabs>
        <w:ind w:left="1081" w:hanging="1080"/>
      </w:pPr>
      <w:rPr>
        <w:rFonts w:hint="default"/>
      </w:rPr>
    </w:lvl>
    <w:lvl w:ilvl="7">
      <w:start w:val="1"/>
      <w:numFmt w:val="decimal"/>
      <w:isLgl/>
      <w:lvlText w:val="%1.%2.%3.%4.%5.%6.%7.%8"/>
      <w:lvlJc w:val="left"/>
      <w:pPr>
        <w:tabs>
          <w:tab w:val="num" w:pos="1441"/>
        </w:tabs>
        <w:ind w:left="1441" w:hanging="1440"/>
      </w:pPr>
      <w:rPr>
        <w:rFonts w:hint="default"/>
      </w:rPr>
    </w:lvl>
    <w:lvl w:ilvl="8">
      <w:start w:val="1"/>
      <w:numFmt w:val="decimal"/>
      <w:isLgl/>
      <w:lvlText w:val="%1.%2.%3.%4.%5.%6.%7.%8.%9"/>
      <w:lvlJc w:val="left"/>
      <w:pPr>
        <w:tabs>
          <w:tab w:val="num" w:pos="1441"/>
        </w:tabs>
        <w:ind w:left="1441" w:hanging="1440"/>
      </w:pPr>
      <w:rPr>
        <w:rFonts w:hint="default"/>
      </w:rPr>
    </w:lvl>
  </w:abstractNum>
  <w:abstractNum w:abstractNumId="78">
    <w:nsid w:val="5F50482D"/>
    <w:multiLevelType w:val="singleLevel"/>
    <w:tmpl w:val="F68CF0AC"/>
    <w:lvl w:ilvl="0">
      <w:start w:val="1"/>
      <w:numFmt w:val="lowerLetter"/>
      <w:pStyle w:val="Listapunktowana5"/>
      <w:lvlText w:val="(%1)"/>
      <w:legacy w:legacy="1" w:legacySpace="0" w:legacyIndent="283"/>
      <w:lvlJc w:val="left"/>
      <w:pPr>
        <w:ind w:left="283" w:hanging="283"/>
      </w:pPr>
    </w:lvl>
  </w:abstractNum>
  <w:abstractNum w:abstractNumId="79">
    <w:nsid w:val="5F7A1391"/>
    <w:multiLevelType w:val="singleLevel"/>
    <w:tmpl w:val="D5FCC816"/>
    <w:lvl w:ilvl="0">
      <w:start w:val="2"/>
      <w:numFmt w:val="decimal"/>
      <w:lvlText w:val="2.3.%1. "/>
      <w:legacy w:legacy="1" w:legacySpace="0" w:legacyIndent="283"/>
      <w:lvlJc w:val="left"/>
      <w:pPr>
        <w:ind w:left="283" w:hanging="283"/>
      </w:pPr>
      <w:rPr>
        <w:rFonts w:asciiTheme="minorHAnsi" w:hAnsiTheme="minorHAnsi" w:cs="Times New Roman" w:hint="default"/>
        <w:b/>
        <w:i w:val="0"/>
        <w:sz w:val="20"/>
        <w:u w:val="none"/>
      </w:rPr>
    </w:lvl>
  </w:abstractNum>
  <w:abstractNum w:abstractNumId="80">
    <w:nsid w:val="62616ABA"/>
    <w:multiLevelType w:val="hybridMultilevel"/>
    <w:tmpl w:val="769EF10A"/>
    <w:lvl w:ilvl="0" w:tplc="987C6914">
      <w:start w:val="7"/>
      <w:numFmt w:val="decimal"/>
      <w:lvlText w:val="%1."/>
      <w:lvlJc w:val="left"/>
      <w:pPr>
        <w:ind w:left="283" w:hanging="283"/>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nsid w:val="642F389C"/>
    <w:multiLevelType w:val="hybridMultilevel"/>
    <w:tmpl w:val="2BD607D4"/>
    <w:lvl w:ilvl="0" w:tplc="744AC0C4">
      <w:start w:val="1"/>
      <w:numFmt w:val="bullet"/>
      <w:lvlText w:val=""/>
      <w:lvlJc w:val="left"/>
      <w:pPr>
        <w:tabs>
          <w:tab w:val="num" w:pos="680"/>
        </w:tabs>
        <w:ind w:left="680" w:hanging="340"/>
      </w:pPr>
      <w:rPr>
        <w:rFonts w:ascii="Symbol" w:hAnsi="Symbol" w:cs="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82">
    <w:nsid w:val="65F4185B"/>
    <w:multiLevelType w:val="singleLevel"/>
    <w:tmpl w:val="5A888724"/>
    <w:lvl w:ilvl="0">
      <w:start w:val="1"/>
      <w:numFmt w:val="decimal"/>
      <w:lvlText w:val="2.2.%1. "/>
      <w:legacy w:legacy="1" w:legacySpace="0" w:legacyIndent="283"/>
      <w:lvlJc w:val="left"/>
      <w:pPr>
        <w:ind w:left="283" w:hanging="283"/>
      </w:pPr>
      <w:rPr>
        <w:rFonts w:asciiTheme="minorHAnsi" w:hAnsiTheme="minorHAnsi" w:cs="Times New Roman" w:hint="default"/>
        <w:b/>
        <w:i w:val="0"/>
        <w:sz w:val="20"/>
        <w:u w:val="none"/>
      </w:rPr>
    </w:lvl>
  </w:abstractNum>
  <w:abstractNum w:abstractNumId="83">
    <w:nsid w:val="663A06C6"/>
    <w:multiLevelType w:val="singleLevel"/>
    <w:tmpl w:val="EE200AC4"/>
    <w:lvl w:ilvl="0">
      <w:start w:val="1"/>
      <w:numFmt w:val="lowerLetter"/>
      <w:lvlText w:val="%1)"/>
      <w:legacy w:legacy="1" w:legacySpace="0" w:legacyIndent="283"/>
      <w:lvlJc w:val="left"/>
      <w:pPr>
        <w:ind w:left="283" w:hanging="283"/>
      </w:pPr>
    </w:lvl>
  </w:abstractNum>
  <w:abstractNum w:abstractNumId="84">
    <w:nsid w:val="669B0F7F"/>
    <w:multiLevelType w:val="hybridMultilevel"/>
    <w:tmpl w:val="664A7FF4"/>
    <w:lvl w:ilvl="0" w:tplc="701C4BF4">
      <w:start w:val="13"/>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5">
    <w:nsid w:val="678347CE"/>
    <w:multiLevelType w:val="singleLevel"/>
    <w:tmpl w:val="DAB4AD32"/>
    <w:lvl w:ilvl="0">
      <w:start w:val="1"/>
      <w:numFmt w:val="lowerLetter"/>
      <w:lvlText w:val="%1)"/>
      <w:legacy w:legacy="1" w:legacySpace="0" w:legacyIndent="283"/>
      <w:lvlJc w:val="left"/>
      <w:pPr>
        <w:ind w:left="283" w:hanging="283"/>
      </w:pPr>
    </w:lvl>
  </w:abstractNum>
  <w:abstractNum w:abstractNumId="86">
    <w:nsid w:val="69181107"/>
    <w:multiLevelType w:val="hybridMultilevel"/>
    <w:tmpl w:val="EE32A8E8"/>
    <w:lvl w:ilvl="0" w:tplc="4A36915C">
      <w:start w:val="1"/>
      <w:numFmt w:val="bullet"/>
      <w:lvlText w:val="−"/>
      <w:lvlJc w:val="left"/>
      <w:pPr>
        <w:tabs>
          <w:tab w:val="num" w:pos="1400"/>
        </w:tabs>
        <w:ind w:left="1400" w:hanging="340"/>
      </w:pPr>
      <w:rPr>
        <w:rFonts w:ascii="Verdana" w:hAnsi="Verdana" w:hint="default"/>
      </w:rPr>
    </w:lvl>
    <w:lvl w:ilvl="1" w:tplc="04150003" w:tentative="1">
      <w:start w:val="1"/>
      <w:numFmt w:val="bullet"/>
      <w:lvlText w:val="o"/>
      <w:lvlJc w:val="left"/>
      <w:pPr>
        <w:tabs>
          <w:tab w:val="num" w:pos="2160"/>
        </w:tabs>
        <w:ind w:left="2160" w:hanging="360"/>
      </w:pPr>
      <w:rPr>
        <w:rFonts w:ascii="Courier New" w:hAnsi="Courier New" w:cs="Courier New" w:hint="default"/>
      </w:rPr>
    </w:lvl>
    <w:lvl w:ilvl="2" w:tplc="04150005" w:tentative="1">
      <w:start w:val="1"/>
      <w:numFmt w:val="bullet"/>
      <w:lvlText w:val=""/>
      <w:lvlJc w:val="left"/>
      <w:pPr>
        <w:tabs>
          <w:tab w:val="num" w:pos="2880"/>
        </w:tabs>
        <w:ind w:left="2880" w:hanging="360"/>
      </w:pPr>
      <w:rPr>
        <w:rFonts w:ascii="Wingdings" w:hAnsi="Wingdings" w:hint="default"/>
      </w:rPr>
    </w:lvl>
    <w:lvl w:ilvl="3" w:tplc="04150001" w:tentative="1">
      <w:start w:val="1"/>
      <w:numFmt w:val="bullet"/>
      <w:lvlText w:val=""/>
      <w:lvlJc w:val="left"/>
      <w:pPr>
        <w:tabs>
          <w:tab w:val="num" w:pos="3600"/>
        </w:tabs>
        <w:ind w:left="3600" w:hanging="360"/>
      </w:pPr>
      <w:rPr>
        <w:rFonts w:ascii="Symbol" w:hAnsi="Symbol" w:hint="default"/>
      </w:rPr>
    </w:lvl>
    <w:lvl w:ilvl="4" w:tplc="04150003" w:tentative="1">
      <w:start w:val="1"/>
      <w:numFmt w:val="bullet"/>
      <w:lvlText w:val="o"/>
      <w:lvlJc w:val="left"/>
      <w:pPr>
        <w:tabs>
          <w:tab w:val="num" w:pos="4320"/>
        </w:tabs>
        <w:ind w:left="4320" w:hanging="360"/>
      </w:pPr>
      <w:rPr>
        <w:rFonts w:ascii="Courier New" w:hAnsi="Courier New" w:cs="Courier New" w:hint="default"/>
      </w:rPr>
    </w:lvl>
    <w:lvl w:ilvl="5" w:tplc="04150005" w:tentative="1">
      <w:start w:val="1"/>
      <w:numFmt w:val="bullet"/>
      <w:lvlText w:val=""/>
      <w:lvlJc w:val="left"/>
      <w:pPr>
        <w:tabs>
          <w:tab w:val="num" w:pos="5040"/>
        </w:tabs>
        <w:ind w:left="5040" w:hanging="360"/>
      </w:pPr>
      <w:rPr>
        <w:rFonts w:ascii="Wingdings" w:hAnsi="Wingdings" w:hint="default"/>
      </w:rPr>
    </w:lvl>
    <w:lvl w:ilvl="6" w:tplc="04150001" w:tentative="1">
      <w:start w:val="1"/>
      <w:numFmt w:val="bullet"/>
      <w:lvlText w:val=""/>
      <w:lvlJc w:val="left"/>
      <w:pPr>
        <w:tabs>
          <w:tab w:val="num" w:pos="5760"/>
        </w:tabs>
        <w:ind w:left="5760" w:hanging="360"/>
      </w:pPr>
      <w:rPr>
        <w:rFonts w:ascii="Symbol" w:hAnsi="Symbol" w:hint="default"/>
      </w:rPr>
    </w:lvl>
    <w:lvl w:ilvl="7" w:tplc="04150003" w:tentative="1">
      <w:start w:val="1"/>
      <w:numFmt w:val="bullet"/>
      <w:lvlText w:val="o"/>
      <w:lvlJc w:val="left"/>
      <w:pPr>
        <w:tabs>
          <w:tab w:val="num" w:pos="6480"/>
        </w:tabs>
        <w:ind w:left="6480" w:hanging="360"/>
      </w:pPr>
      <w:rPr>
        <w:rFonts w:ascii="Courier New" w:hAnsi="Courier New" w:cs="Courier New" w:hint="default"/>
      </w:rPr>
    </w:lvl>
    <w:lvl w:ilvl="8" w:tplc="04150005" w:tentative="1">
      <w:start w:val="1"/>
      <w:numFmt w:val="bullet"/>
      <w:lvlText w:val=""/>
      <w:lvlJc w:val="left"/>
      <w:pPr>
        <w:tabs>
          <w:tab w:val="num" w:pos="7200"/>
        </w:tabs>
        <w:ind w:left="7200" w:hanging="360"/>
      </w:pPr>
      <w:rPr>
        <w:rFonts w:ascii="Wingdings" w:hAnsi="Wingdings" w:hint="default"/>
      </w:rPr>
    </w:lvl>
  </w:abstractNum>
  <w:abstractNum w:abstractNumId="87">
    <w:nsid w:val="6A8A7BDC"/>
    <w:multiLevelType w:val="singleLevel"/>
    <w:tmpl w:val="E8967304"/>
    <w:lvl w:ilvl="0">
      <w:start w:val="1"/>
      <w:numFmt w:val="lowerLetter"/>
      <w:lvlText w:val="%1)"/>
      <w:legacy w:legacy="1" w:legacySpace="0" w:legacyIndent="283"/>
      <w:lvlJc w:val="left"/>
      <w:pPr>
        <w:ind w:left="283" w:hanging="283"/>
      </w:pPr>
    </w:lvl>
  </w:abstractNum>
  <w:abstractNum w:abstractNumId="88">
    <w:nsid w:val="6AF038F1"/>
    <w:multiLevelType w:val="hybridMultilevel"/>
    <w:tmpl w:val="7DA0D90E"/>
    <w:lvl w:ilvl="0" w:tplc="4A36915C">
      <w:start w:val="1"/>
      <w:numFmt w:val="decimal"/>
      <w:pStyle w:val="StylNagwek7Pogrubienie"/>
      <w:lvlText w:val="%1."/>
      <w:lvlJc w:val="left"/>
      <w:pPr>
        <w:tabs>
          <w:tab w:val="num" w:pos="720"/>
        </w:tabs>
        <w:ind w:left="720" w:hanging="360"/>
      </w:pPr>
      <w:rPr>
        <w:rFonts w:hint="default"/>
      </w:rPr>
    </w:lvl>
    <w:lvl w:ilvl="1" w:tplc="04150003">
      <w:start w:val="1"/>
      <w:numFmt w:val="lowerLetter"/>
      <w:lvlText w:val="%2."/>
      <w:lvlJc w:val="left"/>
      <w:pPr>
        <w:tabs>
          <w:tab w:val="num" w:pos="1440"/>
        </w:tabs>
        <w:ind w:left="1440" w:hanging="360"/>
      </w:pPr>
    </w:lvl>
    <w:lvl w:ilvl="2" w:tplc="04150005">
      <w:start w:val="1"/>
      <w:numFmt w:val="lowerRoman"/>
      <w:lvlText w:val="%3."/>
      <w:lvlJc w:val="right"/>
      <w:pPr>
        <w:tabs>
          <w:tab w:val="num" w:pos="2160"/>
        </w:tabs>
        <w:ind w:left="2160" w:hanging="180"/>
      </w:pPr>
    </w:lvl>
    <w:lvl w:ilvl="3" w:tplc="04150001">
      <w:start w:val="1"/>
      <w:numFmt w:val="decimal"/>
      <w:lvlText w:val="%4."/>
      <w:lvlJc w:val="left"/>
      <w:pPr>
        <w:tabs>
          <w:tab w:val="num" w:pos="2880"/>
        </w:tabs>
        <w:ind w:left="2880" w:hanging="360"/>
      </w:pPr>
    </w:lvl>
    <w:lvl w:ilvl="4" w:tplc="04150003">
      <w:start w:val="1"/>
      <w:numFmt w:val="lowerLetter"/>
      <w:lvlText w:val="%5."/>
      <w:lvlJc w:val="left"/>
      <w:pPr>
        <w:tabs>
          <w:tab w:val="num" w:pos="3600"/>
        </w:tabs>
        <w:ind w:left="3600" w:hanging="360"/>
      </w:pPr>
    </w:lvl>
    <w:lvl w:ilvl="5" w:tplc="04150005">
      <w:start w:val="1"/>
      <w:numFmt w:val="lowerRoman"/>
      <w:lvlText w:val="%6."/>
      <w:lvlJc w:val="right"/>
      <w:pPr>
        <w:tabs>
          <w:tab w:val="num" w:pos="4320"/>
        </w:tabs>
        <w:ind w:left="4320" w:hanging="180"/>
      </w:pPr>
    </w:lvl>
    <w:lvl w:ilvl="6" w:tplc="04150001">
      <w:start w:val="1"/>
      <w:numFmt w:val="decimal"/>
      <w:lvlText w:val="%7."/>
      <w:lvlJc w:val="left"/>
      <w:pPr>
        <w:tabs>
          <w:tab w:val="num" w:pos="5040"/>
        </w:tabs>
        <w:ind w:left="5040" w:hanging="360"/>
      </w:pPr>
    </w:lvl>
    <w:lvl w:ilvl="7" w:tplc="04150003">
      <w:start w:val="1"/>
      <w:numFmt w:val="lowerLetter"/>
      <w:lvlText w:val="%8."/>
      <w:lvlJc w:val="left"/>
      <w:pPr>
        <w:tabs>
          <w:tab w:val="num" w:pos="5760"/>
        </w:tabs>
        <w:ind w:left="5760" w:hanging="360"/>
      </w:pPr>
    </w:lvl>
    <w:lvl w:ilvl="8" w:tplc="04150005">
      <w:start w:val="1"/>
      <w:numFmt w:val="lowerRoman"/>
      <w:lvlText w:val="%9."/>
      <w:lvlJc w:val="right"/>
      <w:pPr>
        <w:tabs>
          <w:tab w:val="num" w:pos="6480"/>
        </w:tabs>
        <w:ind w:left="6480" w:hanging="180"/>
      </w:pPr>
    </w:lvl>
  </w:abstractNum>
  <w:abstractNum w:abstractNumId="89">
    <w:nsid w:val="70EC5FE8"/>
    <w:multiLevelType w:val="hybridMultilevel"/>
    <w:tmpl w:val="323A67BE"/>
    <w:lvl w:ilvl="0" w:tplc="71B832CE">
      <w:start w:val="1"/>
      <w:numFmt w:val="bullet"/>
      <w:lvlText w:val="−"/>
      <w:lvlJc w:val="left"/>
      <w:pPr>
        <w:tabs>
          <w:tab w:val="num" w:pos="680"/>
        </w:tabs>
        <w:ind w:left="680" w:hanging="340"/>
      </w:pPr>
      <w:rPr>
        <w:rFonts w:ascii="Verdana" w:hAnsi="Verdana" w:cs="Verdana" w:hint="default"/>
      </w:rPr>
    </w:lvl>
    <w:lvl w:ilvl="1" w:tplc="982C56A4">
      <w:start w:val="1"/>
      <w:numFmt w:val="bullet"/>
      <w:lvlText w:val="o"/>
      <w:lvlJc w:val="left"/>
      <w:pPr>
        <w:tabs>
          <w:tab w:val="num" w:pos="1440"/>
        </w:tabs>
        <w:ind w:left="1440" w:hanging="360"/>
      </w:pPr>
      <w:rPr>
        <w:rFonts w:ascii="Courier New" w:hAnsi="Courier New" w:cs="Courier New" w:hint="default"/>
      </w:rPr>
    </w:lvl>
    <w:lvl w:ilvl="2" w:tplc="66346532">
      <w:start w:val="1"/>
      <w:numFmt w:val="bullet"/>
      <w:lvlText w:val=""/>
      <w:lvlJc w:val="left"/>
      <w:pPr>
        <w:tabs>
          <w:tab w:val="num" w:pos="2160"/>
        </w:tabs>
        <w:ind w:left="2160" w:hanging="360"/>
      </w:pPr>
      <w:rPr>
        <w:rFonts w:ascii="Wingdings" w:hAnsi="Wingdings" w:cs="Wingdings" w:hint="default"/>
      </w:rPr>
    </w:lvl>
    <w:lvl w:ilvl="3" w:tplc="CD4EE6D6">
      <w:start w:val="1"/>
      <w:numFmt w:val="bullet"/>
      <w:lvlText w:val=""/>
      <w:lvlJc w:val="left"/>
      <w:pPr>
        <w:tabs>
          <w:tab w:val="num" w:pos="2880"/>
        </w:tabs>
        <w:ind w:left="2880" w:hanging="360"/>
      </w:pPr>
      <w:rPr>
        <w:rFonts w:ascii="Symbol" w:hAnsi="Symbol" w:cs="Symbol" w:hint="default"/>
      </w:rPr>
    </w:lvl>
    <w:lvl w:ilvl="4" w:tplc="5B1E250A">
      <w:start w:val="1"/>
      <w:numFmt w:val="bullet"/>
      <w:lvlText w:val="o"/>
      <w:lvlJc w:val="left"/>
      <w:pPr>
        <w:tabs>
          <w:tab w:val="num" w:pos="3600"/>
        </w:tabs>
        <w:ind w:left="3600" w:hanging="360"/>
      </w:pPr>
      <w:rPr>
        <w:rFonts w:ascii="Courier New" w:hAnsi="Courier New" w:cs="Courier New" w:hint="default"/>
      </w:rPr>
    </w:lvl>
    <w:lvl w:ilvl="5" w:tplc="5A9A1788">
      <w:start w:val="1"/>
      <w:numFmt w:val="bullet"/>
      <w:lvlText w:val=""/>
      <w:lvlJc w:val="left"/>
      <w:pPr>
        <w:tabs>
          <w:tab w:val="num" w:pos="4320"/>
        </w:tabs>
        <w:ind w:left="4320" w:hanging="360"/>
      </w:pPr>
      <w:rPr>
        <w:rFonts w:ascii="Wingdings" w:hAnsi="Wingdings" w:cs="Wingdings" w:hint="default"/>
      </w:rPr>
    </w:lvl>
    <w:lvl w:ilvl="6" w:tplc="04AA42C4">
      <w:start w:val="1"/>
      <w:numFmt w:val="bullet"/>
      <w:lvlText w:val=""/>
      <w:lvlJc w:val="left"/>
      <w:pPr>
        <w:tabs>
          <w:tab w:val="num" w:pos="5040"/>
        </w:tabs>
        <w:ind w:left="5040" w:hanging="360"/>
      </w:pPr>
      <w:rPr>
        <w:rFonts w:ascii="Symbol" w:hAnsi="Symbol" w:cs="Symbol" w:hint="default"/>
      </w:rPr>
    </w:lvl>
    <w:lvl w:ilvl="7" w:tplc="BBC063B8">
      <w:start w:val="1"/>
      <w:numFmt w:val="bullet"/>
      <w:lvlText w:val="o"/>
      <w:lvlJc w:val="left"/>
      <w:pPr>
        <w:tabs>
          <w:tab w:val="num" w:pos="5760"/>
        </w:tabs>
        <w:ind w:left="5760" w:hanging="360"/>
      </w:pPr>
      <w:rPr>
        <w:rFonts w:ascii="Courier New" w:hAnsi="Courier New" w:cs="Courier New" w:hint="default"/>
      </w:rPr>
    </w:lvl>
    <w:lvl w:ilvl="8" w:tplc="E044313A">
      <w:start w:val="1"/>
      <w:numFmt w:val="bullet"/>
      <w:lvlText w:val=""/>
      <w:lvlJc w:val="left"/>
      <w:pPr>
        <w:tabs>
          <w:tab w:val="num" w:pos="6480"/>
        </w:tabs>
        <w:ind w:left="6480" w:hanging="360"/>
      </w:pPr>
      <w:rPr>
        <w:rFonts w:ascii="Wingdings" w:hAnsi="Wingdings" w:cs="Wingdings" w:hint="default"/>
      </w:rPr>
    </w:lvl>
  </w:abstractNum>
  <w:abstractNum w:abstractNumId="90">
    <w:nsid w:val="717F6852"/>
    <w:multiLevelType w:val="singleLevel"/>
    <w:tmpl w:val="DAB4AD32"/>
    <w:lvl w:ilvl="0">
      <w:start w:val="1"/>
      <w:numFmt w:val="lowerLetter"/>
      <w:lvlText w:val="%1)"/>
      <w:legacy w:legacy="1" w:legacySpace="0" w:legacyIndent="283"/>
      <w:lvlJc w:val="left"/>
      <w:pPr>
        <w:ind w:left="283" w:hanging="283"/>
      </w:pPr>
    </w:lvl>
  </w:abstractNum>
  <w:abstractNum w:abstractNumId="91">
    <w:nsid w:val="72C77B91"/>
    <w:multiLevelType w:val="singleLevel"/>
    <w:tmpl w:val="359CFE20"/>
    <w:lvl w:ilvl="0">
      <w:start w:val="2"/>
      <w:numFmt w:val="decimal"/>
      <w:lvlText w:val="2.2.%1. "/>
      <w:legacy w:legacy="1" w:legacySpace="0" w:legacyIndent="283"/>
      <w:lvlJc w:val="left"/>
      <w:pPr>
        <w:ind w:left="283" w:hanging="283"/>
      </w:pPr>
      <w:rPr>
        <w:rFonts w:asciiTheme="minorHAnsi" w:hAnsiTheme="minorHAnsi" w:cs="Times New Roman" w:hint="default"/>
        <w:b/>
        <w:i w:val="0"/>
        <w:sz w:val="20"/>
        <w:u w:val="none"/>
      </w:rPr>
    </w:lvl>
  </w:abstractNum>
  <w:abstractNum w:abstractNumId="92">
    <w:nsid w:val="75F623BD"/>
    <w:multiLevelType w:val="singleLevel"/>
    <w:tmpl w:val="39AE28F0"/>
    <w:lvl w:ilvl="0">
      <w:start w:val="1"/>
      <w:numFmt w:val="lowerLetter"/>
      <w:lvlText w:val="%1)"/>
      <w:legacy w:legacy="1" w:legacySpace="0" w:legacyIndent="283"/>
      <w:lvlJc w:val="left"/>
      <w:pPr>
        <w:ind w:left="283" w:hanging="283"/>
      </w:pPr>
    </w:lvl>
  </w:abstractNum>
  <w:abstractNum w:abstractNumId="93">
    <w:nsid w:val="77FD05B9"/>
    <w:multiLevelType w:val="singleLevel"/>
    <w:tmpl w:val="E8967304"/>
    <w:lvl w:ilvl="0">
      <w:start w:val="1"/>
      <w:numFmt w:val="lowerLetter"/>
      <w:lvlText w:val="%1)"/>
      <w:legacy w:legacy="1" w:legacySpace="0" w:legacyIndent="283"/>
      <w:lvlJc w:val="left"/>
      <w:pPr>
        <w:ind w:left="283" w:hanging="283"/>
      </w:pPr>
    </w:lvl>
  </w:abstractNum>
  <w:abstractNum w:abstractNumId="94">
    <w:nsid w:val="786C1B8A"/>
    <w:multiLevelType w:val="multilevel"/>
    <w:tmpl w:val="7C902F3C"/>
    <w:lvl w:ilvl="0">
      <w:start w:val="6"/>
      <w:numFmt w:val="decimal"/>
      <w:lvlText w:val="%1"/>
      <w:lvlJc w:val="left"/>
      <w:pPr>
        <w:ind w:left="360" w:hanging="360"/>
      </w:pPr>
      <w:rPr>
        <w:rFonts w:hint="default"/>
      </w:rPr>
    </w:lvl>
    <w:lvl w:ilvl="1">
      <w:start w:val="3"/>
      <w:numFmt w:val="decimal"/>
      <w:lvlText w:val="%1.%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5">
    <w:nsid w:val="79B730E8"/>
    <w:multiLevelType w:val="singleLevel"/>
    <w:tmpl w:val="875094E2"/>
    <w:lvl w:ilvl="0">
      <w:start w:val="1"/>
      <w:numFmt w:val="bullet"/>
      <w:pStyle w:val="Bullet1points"/>
      <w:lvlText w:val=""/>
      <w:lvlJc w:val="left"/>
      <w:pPr>
        <w:tabs>
          <w:tab w:val="num" w:pos="360"/>
        </w:tabs>
        <w:ind w:left="360" w:hanging="360"/>
      </w:pPr>
      <w:rPr>
        <w:rFonts w:ascii="Symbol" w:hAnsi="Symbol" w:cs="Symbol" w:hint="default"/>
        <w:color w:val="auto"/>
        <w:effect w:val="none"/>
      </w:rPr>
    </w:lvl>
  </w:abstractNum>
  <w:abstractNum w:abstractNumId="96">
    <w:nsid w:val="7A393938"/>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7">
    <w:nsid w:val="7C134335"/>
    <w:multiLevelType w:val="singleLevel"/>
    <w:tmpl w:val="395CFAEA"/>
    <w:lvl w:ilvl="0">
      <w:start w:val="1"/>
      <w:numFmt w:val="lowerLetter"/>
      <w:lvlText w:val="%1)"/>
      <w:legacy w:legacy="1" w:legacySpace="0" w:legacyIndent="283"/>
      <w:lvlJc w:val="left"/>
      <w:pPr>
        <w:ind w:left="283" w:hanging="283"/>
      </w:pPr>
    </w:lvl>
  </w:abstractNum>
  <w:abstractNum w:abstractNumId="98">
    <w:nsid w:val="7E1D013A"/>
    <w:multiLevelType w:val="singleLevel"/>
    <w:tmpl w:val="D480F1FE"/>
    <w:lvl w:ilvl="0">
      <w:start w:val="1"/>
      <w:numFmt w:val="decimal"/>
      <w:lvlText w:val="1.4.%1. "/>
      <w:legacy w:legacy="1" w:legacySpace="0" w:legacyIndent="283"/>
      <w:lvlJc w:val="left"/>
      <w:pPr>
        <w:ind w:left="283" w:hanging="283"/>
      </w:pPr>
      <w:rPr>
        <w:rFonts w:asciiTheme="minorHAnsi" w:hAnsiTheme="minorHAnsi" w:cs="Times New Roman" w:hint="default"/>
        <w:b/>
        <w:i w:val="0"/>
        <w:sz w:val="20"/>
        <w:u w:val="none"/>
      </w:rPr>
    </w:lvl>
  </w:abstractNum>
  <w:abstractNum w:abstractNumId="99">
    <w:nsid w:val="7E816574"/>
    <w:multiLevelType w:val="multilevel"/>
    <w:tmpl w:val="DB94679E"/>
    <w:lvl w:ilvl="0">
      <w:start w:val="2"/>
      <w:numFmt w:val="decimal"/>
      <w:lvlText w:val="%1."/>
      <w:lvlJc w:val="left"/>
      <w:pPr>
        <w:ind w:left="450" w:hanging="450"/>
      </w:pPr>
      <w:rPr>
        <w:rFonts w:hint="default"/>
      </w:rPr>
    </w:lvl>
    <w:lvl w:ilvl="1">
      <w:start w:val="2"/>
      <w:numFmt w:val="decimal"/>
      <w:lvlText w:val="%1.%2."/>
      <w:lvlJc w:val="left"/>
      <w:pPr>
        <w:ind w:left="450" w:hanging="450"/>
      </w:pPr>
      <w:rPr>
        <w:rFonts w:hint="default"/>
      </w:rPr>
    </w:lvl>
    <w:lvl w:ilvl="2">
      <w:start w:val="1"/>
      <w:numFmt w:val="decimal"/>
      <w:lvlText w:val="%1.%2.%3."/>
      <w:lvlJc w:val="left"/>
      <w:pPr>
        <w:ind w:left="862"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0">
    <w:nsid w:val="7F91292B"/>
    <w:multiLevelType w:val="hybridMultilevel"/>
    <w:tmpl w:val="22DEE7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lvlOverride w:ilvl="0">
      <w:lvl w:ilvl="0">
        <w:start w:val="1"/>
        <w:numFmt w:val="bullet"/>
        <w:lvlText w:val=""/>
        <w:lvlJc w:val="left"/>
        <w:pPr>
          <w:ind w:left="720" w:hanging="360"/>
        </w:pPr>
        <w:rPr>
          <w:rFonts w:ascii="Symbol" w:hAnsi="Symbol" w:hint="default"/>
        </w:rPr>
      </w:lvl>
    </w:lvlOverride>
  </w:num>
  <w:num w:numId="2">
    <w:abstractNumId w:val="85"/>
  </w:num>
  <w:num w:numId="3">
    <w:abstractNumId w:val="22"/>
  </w:num>
  <w:num w:numId="4">
    <w:abstractNumId w:val="30"/>
  </w:num>
  <w:num w:numId="5">
    <w:abstractNumId w:val="26"/>
  </w:num>
  <w:num w:numId="6">
    <w:abstractNumId w:val="64"/>
  </w:num>
  <w:num w:numId="7">
    <w:abstractNumId w:val="90"/>
  </w:num>
  <w:num w:numId="8">
    <w:abstractNumId w:val="55"/>
  </w:num>
  <w:num w:numId="9">
    <w:abstractNumId w:val="32"/>
  </w:num>
  <w:num w:numId="10">
    <w:abstractNumId w:val="68"/>
  </w:num>
  <w:num w:numId="11">
    <w:abstractNumId w:val="78"/>
  </w:num>
  <w:num w:numId="12">
    <w:abstractNumId w:val="49"/>
  </w:num>
  <w:num w:numId="13">
    <w:abstractNumId w:val="52"/>
  </w:num>
  <w:num w:numId="14">
    <w:abstractNumId w:val="72"/>
  </w:num>
  <w:num w:numId="15">
    <w:abstractNumId w:val="83"/>
  </w:num>
  <w:num w:numId="16">
    <w:abstractNumId w:val="77"/>
  </w:num>
  <w:num w:numId="17">
    <w:abstractNumId w:val="36"/>
  </w:num>
  <w:num w:numId="18">
    <w:abstractNumId w:val="88"/>
  </w:num>
  <w:num w:numId="19">
    <w:abstractNumId w:val="21"/>
  </w:num>
  <w:num w:numId="20">
    <w:abstractNumId w:val="93"/>
  </w:num>
  <w:num w:numId="21">
    <w:abstractNumId w:val="0"/>
    <w:lvlOverride w:ilvl="0">
      <w:lvl w:ilvl="0">
        <w:start w:val="1"/>
        <w:numFmt w:val="bullet"/>
        <w:lvlText w:val=""/>
        <w:legacy w:legacy="1" w:legacySpace="0" w:legacyIndent="283"/>
        <w:lvlJc w:val="left"/>
        <w:pPr>
          <w:ind w:left="328" w:hanging="283"/>
        </w:pPr>
        <w:rPr>
          <w:rFonts w:ascii="Symbol" w:hAnsi="Symbol" w:cs="Symbol" w:hint="default"/>
          <w:sz w:val="20"/>
          <w:szCs w:val="20"/>
        </w:rPr>
      </w:lvl>
    </w:lvlOverride>
  </w:num>
  <w:num w:numId="22">
    <w:abstractNumId w:val="41"/>
  </w:num>
  <w:num w:numId="23">
    <w:abstractNumId w:val="92"/>
  </w:num>
  <w:num w:numId="24">
    <w:abstractNumId w:val="89"/>
  </w:num>
  <w:num w:numId="25">
    <w:abstractNumId w:val="76"/>
  </w:num>
  <w:num w:numId="26">
    <w:abstractNumId w:val="95"/>
  </w:num>
  <w:num w:numId="27">
    <w:abstractNumId w:val="66"/>
  </w:num>
  <w:num w:numId="28">
    <w:abstractNumId w:val="35"/>
  </w:num>
  <w:num w:numId="29">
    <w:abstractNumId w:val="84"/>
  </w:num>
  <w:num w:numId="30">
    <w:abstractNumId w:val="43"/>
  </w:num>
  <w:num w:numId="31">
    <w:abstractNumId w:val="81"/>
  </w:num>
  <w:num w:numId="32">
    <w:abstractNumId w:val="31"/>
  </w:num>
  <w:num w:numId="33">
    <w:abstractNumId w:val="25"/>
  </w:num>
  <w:num w:numId="34">
    <w:abstractNumId w:val="69"/>
  </w:num>
  <w:num w:numId="35">
    <w:abstractNumId w:val="74"/>
  </w:num>
  <w:num w:numId="36">
    <w:abstractNumId w:val="47"/>
  </w:num>
  <w:num w:numId="37">
    <w:abstractNumId w:val="59"/>
  </w:num>
  <w:num w:numId="38">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39">
    <w:abstractNumId w:val="29"/>
  </w:num>
  <w:num w:numId="40">
    <w:abstractNumId w:val="38"/>
  </w:num>
  <w:num w:numId="41">
    <w:abstractNumId w:val="75"/>
  </w:num>
  <w:num w:numId="42">
    <w:abstractNumId w:val="94"/>
  </w:num>
  <w:num w:numId="43">
    <w:abstractNumId w:val="61"/>
  </w:num>
  <w:num w:numId="44">
    <w:abstractNumId w:val="28"/>
  </w:num>
  <w:num w:numId="45">
    <w:abstractNumId w:val="87"/>
  </w:num>
  <w:num w:numId="46">
    <w:abstractNumId w:val="27"/>
  </w:num>
  <w:num w:numId="47">
    <w:abstractNumId w:val="86"/>
  </w:num>
  <w:num w:numId="48">
    <w:abstractNumId w:val="53"/>
  </w:num>
  <w:num w:numId="49">
    <w:abstractNumId w:val="62"/>
  </w:num>
  <w:num w:numId="50">
    <w:abstractNumId w:val="57"/>
  </w:num>
  <w:num w:numId="51">
    <w:abstractNumId w:val="46"/>
  </w:num>
  <w:num w:numId="52">
    <w:abstractNumId w:val="39"/>
  </w:num>
  <w:num w:numId="53">
    <w:abstractNumId w:val="0"/>
    <w:lvlOverride w:ilvl="0">
      <w:lvl w:ilvl="0">
        <w:start w:val="65535"/>
        <w:numFmt w:val="bullet"/>
        <w:lvlText w:val="-"/>
        <w:legacy w:legacy="1" w:legacySpace="0" w:legacyIndent="135"/>
        <w:lvlJc w:val="left"/>
        <w:rPr>
          <w:rFonts w:ascii="Times New Roman" w:hAnsi="Times New Roman" w:cs="Times New Roman" w:hint="default"/>
        </w:rPr>
      </w:lvl>
    </w:lvlOverride>
  </w:num>
  <w:num w:numId="54">
    <w:abstractNumId w:val="100"/>
  </w:num>
  <w:num w:numId="55">
    <w:abstractNumId w:val="0"/>
    <w:lvlOverride w:ilvl="0">
      <w:lvl w:ilvl="0">
        <w:start w:val="65535"/>
        <w:numFmt w:val="bullet"/>
        <w:lvlText w:val="-"/>
        <w:legacy w:legacy="1" w:legacySpace="0" w:legacyIndent="140"/>
        <w:lvlJc w:val="left"/>
        <w:rPr>
          <w:rFonts w:ascii="Times New Roman" w:hAnsi="Times New Roman" w:cs="Times New Roman" w:hint="default"/>
        </w:rPr>
      </w:lvl>
    </w:lvlOverride>
  </w:num>
  <w:num w:numId="56">
    <w:abstractNumId w:val="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8"/>
  </w:num>
  <w:num w:numId="59">
    <w:abstractNumId w:val="70"/>
  </w:num>
  <w:num w:numId="60">
    <w:abstractNumId w:val="33"/>
  </w:num>
  <w:num w:numId="61">
    <w:abstractNumId w:val="37"/>
  </w:num>
  <w:num w:numId="62">
    <w:abstractNumId w:val="44"/>
  </w:num>
  <w:num w:numId="63">
    <w:abstractNumId w:val="51"/>
  </w:num>
  <w:num w:numId="64">
    <w:abstractNumId w:val="54"/>
  </w:num>
  <w:num w:numId="65">
    <w:abstractNumId w:val="73"/>
  </w:num>
  <w:num w:numId="66">
    <w:abstractNumId w:val="96"/>
  </w:num>
  <w:num w:numId="67">
    <w:abstractNumId w:val="97"/>
  </w:num>
  <w:num w:numId="68">
    <w:abstractNumId w:val="98"/>
  </w:num>
  <w:num w:numId="69">
    <w:abstractNumId w:val="82"/>
  </w:num>
  <w:num w:numId="70">
    <w:abstractNumId w:val="91"/>
  </w:num>
  <w:num w:numId="71">
    <w:abstractNumId w:val="40"/>
  </w:num>
  <w:num w:numId="72">
    <w:abstractNumId w:val="34"/>
  </w:num>
  <w:num w:numId="73">
    <w:abstractNumId w:val="79"/>
  </w:num>
  <w:num w:numId="74">
    <w:abstractNumId w:val="65"/>
  </w:num>
  <w:num w:numId="75">
    <w:abstractNumId w:val="58"/>
  </w:num>
  <w:num w:numId="76">
    <w:abstractNumId w:val="0"/>
    <w:lvlOverride w:ilvl="0">
      <w:lvl w:ilvl="0">
        <w:start w:val="1"/>
        <w:numFmt w:val="bullet"/>
        <w:lvlText w:val=""/>
        <w:legacy w:legacy="1" w:legacySpace="0" w:legacyIndent="283"/>
        <w:lvlJc w:val="left"/>
        <w:pPr>
          <w:ind w:left="283" w:hanging="283"/>
        </w:pPr>
        <w:rPr>
          <w:rFonts w:ascii="Symbol" w:hAnsi="Symbol" w:hint="default"/>
          <w:sz w:val="24"/>
        </w:rPr>
      </w:lvl>
    </w:lvlOverride>
  </w:num>
  <w:num w:numId="77">
    <w:abstractNumId w:val="0"/>
    <w:lvlOverride w:ilvl="0">
      <w:lvl w:ilvl="0">
        <w:start w:val="1"/>
        <w:numFmt w:val="bullet"/>
        <w:lvlText w:val=""/>
        <w:legacy w:legacy="1" w:legacySpace="0" w:legacyIndent="283"/>
        <w:lvlJc w:val="left"/>
        <w:pPr>
          <w:ind w:left="328" w:hanging="283"/>
        </w:pPr>
        <w:rPr>
          <w:rFonts w:ascii="Symbol" w:hAnsi="Symbol" w:hint="default"/>
          <w:sz w:val="20"/>
        </w:rPr>
      </w:lvl>
    </w:lvlOverride>
  </w:num>
  <w:num w:numId="78">
    <w:abstractNumId w:val="50"/>
  </w:num>
  <w:num w:numId="79">
    <w:abstractNumId w:val="63"/>
  </w:num>
  <w:num w:numId="80">
    <w:abstractNumId w:val="67"/>
  </w:num>
  <w:num w:numId="81">
    <w:abstractNumId w:val="42"/>
  </w:num>
  <w:num w:numId="82">
    <w:abstractNumId w:val="60"/>
  </w:num>
  <w:num w:numId="83">
    <w:abstractNumId w:val="80"/>
  </w:num>
  <w:num w:numId="84">
    <w:abstractNumId w:val="23"/>
  </w:num>
  <w:num w:numId="85">
    <w:abstractNumId w:val="24"/>
  </w:num>
  <w:num w:numId="86">
    <w:abstractNumId w:val="99"/>
  </w:num>
  <w:num w:numId="87">
    <w:abstractNumId w:val="71"/>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09"/>
  <w:hyphenationZone w:val="425"/>
  <w:doNotHyphenateCaps/>
  <w:drawingGridHorizontalSpacing w:val="100"/>
  <w:displayHorizontalDrawingGridEvery w:val="2"/>
  <w:characterSpacingControl w:val="doNotCompress"/>
  <w:doNotValidateAgainstSchema/>
  <w:doNotDemarcateInvalidXml/>
  <w:footnotePr>
    <w:footnote w:id="-1"/>
    <w:footnote w:id="0"/>
  </w:footnotePr>
  <w:endnotePr>
    <w:endnote w:id="-1"/>
    <w:endnote w:id="0"/>
  </w:endnotePr>
  <w:compat/>
  <w:rsids>
    <w:rsidRoot w:val="00A4252F"/>
    <w:rsid w:val="00001C5B"/>
    <w:rsid w:val="0000288B"/>
    <w:rsid w:val="00006E7A"/>
    <w:rsid w:val="00007699"/>
    <w:rsid w:val="00011802"/>
    <w:rsid w:val="000206F0"/>
    <w:rsid w:val="00030471"/>
    <w:rsid w:val="00033FE9"/>
    <w:rsid w:val="00037EC5"/>
    <w:rsid w:val="000418A0"/>
    <w:rsid w:val="00047438"/>
    <w:rsid w:val="00052F76"/>
    <w:rsid w:val="0005619A"/>
    <w:rsid w:val="000578BC"/>
    <w:rsid w:val="0006285B"/>
    <w:rsid w:val="00064027"/>
    <w:rsid w:val="0007063D"/>
    <w:rsid w:val="0007186C"/>
    <w:rsid w:val="000722B3"/>
    <w:rsid w:val="00085304"/>
    <w:rsid w:val="000902B5"/>
    <w:rsid w:val="000942B3"/>
    <w:rsid w:val="000949D2"/>
    <w:rsid w:val="00096D69"/>
    <w:rsid w:val="00096E52"/>
    <w:rsid w:val="000979D7"/>
    <w:rsid w:val="000A18B6"/>
    <w:rsid w:val="000A197E"/>
    <w:rsid w:val="000A5281"/>
    <w:rsid w:val="000B2087"/>
    <w:rsid w:val="000B4B66"/>
    <w:rsid w:val="000B68E4"/>
    <w:rsid w:val="000C4188"/>
    <w:rsid w:val="000D1302"/>
    <w:rsid w:val="000D42E0"/>
    <w:rsid w:val="000D454F"/>
    <w:rsid w:val="000D4846"/>
    <w:rsid w:val="000E0C9C"/>
    <w:rsid w:val="000E4935"/>
    <w:rsid w:val="000F27E5"/>
    <w:rsid w:val="000F3D8A"/>
    <w:rsid w:val="000F69A3"/>
    <w:rsid w:val="0010598A"/>
    <w:rsid w:val="00106863"/>
    <w:rsid w:val="00112A94"/>
    <w:rsid w:val="00116082"/>
    <w:rsid w:val="0011664B"/>
    <w:rsid w:val="00117D8E"/>
    <w:rsid w:val="00122642"/>
    <w:rsid w:val="0012610C"/>
    <w:rsid w:val="001303EA"/>
    <w:rsid w:val="00134FD7"/>
    <w:rsid w:val="00137C72"/>
    <w:rsid w:val="00141DC0"/>
    <w:rsid w:val="001437C4"/>
    <w:rsid w:val="00153DB8"/>
    <w:rsid w:val="001627F1"/>
    <w:rsid w:val="001668D5"/>
    <w:rsid w:val="00166CFF"/>
    <w:rsid w:val="00172D83"/>
    <w:rsid w:val="00174F9C"/>
    <w:rsid w:val="00177B65"/>
    <w:rsid w:val="001A1A9C"/>
    <w:rsid w:val="001A6BFD"/>
    <w:rsid w:val="001B2911"/>
    <w:rsid w:val="001B57EB"/>
    <w:rsid w:val="001B7CD4"/>
    <w:rsid w:val="001C00B9"/>
    <w:rsid w:val="001C01D3"/>
    <w:rsid w:val="001D5DC4"/>
    <w:rsid w:val="001E2689"/>
    <w:rsid w:val="001E3F22"/>
    <w:rsid w:val="001E5164"/>
    <w:rsid w:val="001F2B7E"/>
    <w:rsid w:val="001F4416"/>
    <w:rsid w:val="001F4860"/>
    <w:rsid w:val="00200005"/>
    <w:rsid w:val="00200AB4"/>
    <w:rsid w:val="00203191"/>
    <w:rsid w:val="00204723"/>
    <w:rsid w:val="00204D6D"/>
    <w:rsid w:val="002065B4"/>
    <w:rsid w:val="00207E89"/>
    <w:rsid w:val="00212A67"/>
    <w:rsid w:val="002152F5"/>
    <w:rsid w:val="00217CAE"/>
    <w:rsid w:val="0022541F"/>
    <w:rsid w:val="00225B63"/>
    <w:rsid w:val="00226F64"/>
    <w:rsid w:val="00232367"/>
    <w:rsid w:val="002412CC"/>
    <w:rsid w:val="00256565"/>
    <w:rsid w:val="00256824"/>
    <w:rsid w:val="00256B75"/>
    <w:rsid w:val="00264CCE"/>
    <w:rsid w:val="0027600A"/>
    <w:rsid w:val="00276293"/>
    <w:rsid w:val="00276E4C"/>
    <w:rsid w:val="002860DC"/>
    <w:rsid w:val="002913BF"/>
    <w:rsid w:val="00297F8F"/>
    <w:rsid w:val="002A1A6C"/>
    <w:rsid w:val="002A484A"/>
    <w:rsid w:val="002A5FB6"/>
    <w:rsid w:val="002A6AFD"/>
    <w:rsid w:val="002B2176"/>
    <w:rsid w:val="002B295C"/>
    <w:rsid w:val="002B74C1"/>
    <w:rsid w:val="002B7EB3"/>
    <w:rsid w:val="002C0C4D"/>
    <w:rsid w:val="002C7A40"/>
    <w:rsid w:val="002D2D83"/>
    <w:rsid w:val="002E0334"/>
    <w:rsid w:val="002E0704"/>
    <w:rsid w:val="002E174A"/>
    <w:rsid w:val="002E76CE"/>
    <w:rsid w:val="002F49CA"/>
    <w:rsid w:val="00300120"/>
    <w:rsid w:val="003001F5"/>
    <w:rsid w:val="0030095A"/>
    <w:rsid w:val="0030488E"/>
    <w:rsid w:val="00305402"/>
    <w:rsid w:val="00306330"/>
    <w:rsid w:val="003065D7"/>
    <w:rsid w:val="0030712B"/>
    <w:rsid w:val="003105B4"/>
    <w:rsid w:val="0031388F"/>
    <w:rsid w:val="003167FD"/>
    <w:rsid w:val="00325910"/>
    <w:rsid w:val="00332D60"/>
    <w:rsid w:val="00333F85"/>
    <w:rsid w:val="003349DE"/>
    <w:rsid w:val="0034278A"/>
    <w:rsid w:val="00342E80"/>
    <w:rsid w:val="0034538C"/>
    <w:rsid w:val="00347DCB"/>
    <w:rsid w:val="00357120"/>
    <w:rsid w:val="00364E4D"/>
    <w:rsid w:val="003712A1"/>
    <w:rsid w:val="0037475C"/>
    <w:rsid w:val="00377A3A"/>
    <w:rsid w:val="003B29FB"/>
    <w:rsid w:val="003C1EDA"/>
    <w:rsid w:val="003C450B"/>
    <w:rsid w:val="003C5BD9"/>
    <w:rsid w:val="003C628C"/>
    <w:rsid w:val="003D0644"/>
    <w:rsid w:val="003D0CFF"/>
    <w:rsid w:val="003D2906"/>
    <w:rsid w:val="003D37A3"/>
    <w:rsid w:val="003D751A"/>
    <w:rsid w:val="003D7BD8"/>
    <w:rsid w:val="003F1156"/>
    <w:rsid w:val="003F25D8"/>
    <w:rsid w:val="004009B1"/>
    <w:rsid w:val="004064E2"/>
    <w:rsid w:val="00407FF2"/>
    <w:rsid w:val="00413511"/>
    <w:rsid w:val="0041388D"/>
    <w:rsid w:val="00415AC8"/>
    <w:rsid w:val="00415CD5"/>
    <w:rsid w:val="00417D2D"/>
    <w:rsid w:val="00425543"/>
    <w:rsid w:val="0044554B"/>
    <w:rsid w:val="00445809"/>
    <w:rsid w:val="00446FC2"/>
    <w:rsid w:val="00453960"/>
    <w:rsid w:val="00463A41"/>
    <w:rsid w:val="00464BA1"/>
    <w:rsid w:val="00464FC9"/>
    <w:rsid w:val="00465DD5"/>
    <w:rsid w:val="00466D6D"/>
    <w:rsid w:val="00472BF9"/>
    <w:rsid w:val="00477E56"/>
    <w:rsid w:val="00482057"/>
    <w:rsid w:val="004822F0"/>
    <w:rsid w:val="004842B6"/>
    <w:rsid w:val="00484DC6"/>
    <w:rsid w:val="00492E7D"/>
    <w:rsid w:val="004949E4"/>
    <w:rsid w:val="00495DB6"/>
    <w:rsid w:val="00496EA6"/>
    <w:rsid w:val="00497556"/>
    <w:rsid w:val="00497941"/>
    <w:rsid w:val="004A35DA"/>
    <w:rsid w:val="004A491C"/>
    <w:rsid w:val="004C2C02"/>
    <w:rsid w:val="004C52C9"/>
    <w:rsid w:val="004D4555"/>
    <w:rsid w:val="004E5D0B"/>
    <w:rsid w:val="004F5BEB"/>
    <w:rsid w:val="005010F8"/>
    <w:rsid w:val="005073B8"/>
    <w:rsid w:val="00512DC0"/>
    <w:rsid w:val="00515CF7"/>
    <w:rsid w:val="005200B2"/>
    <w:rsid w:val="005236EC"/>
    <w:rsid w:val="00543884"/>
    <w:rsid w:val="00546DB0"/>
    <w:rsid w:val="005509FF"/>
    <w:rsid w:val="005601F8"/>
    <w:rsid w:val="0056753C"/>
    <w:rsid w:val="0057111B"/>
    <w:rsid w:val="00581B82"/>
    <w:rsid w:val="00583261"/>
    <w:rsid w:val="00584330"/>
    <w:rsid w:val="00587FCD"/>
    <w:rsid w:val="00594DBC"/>
    <w:rsid w:val="005951E7"/>
    <w:rsid w:val="005956F7"/>
    <w:rsid w:val="005A3701"/>
    <w:rsid w:val="005A5A57"/>
    <w:rsid w:val="005B0313"/>
    <w:rsid w:val="005B1F0F"/>
    <w:rsid w:val="005B437C"/>
    <w:rsid w:val="005B48CA"/>
    <w:rsid w:val="005B5997"/>
    <w:rsid w:val="005B7C6E"/>
    <w:rsid w:val="005C61EC"/>
    <w:rsid w:val="005D3326"/>
    <w:rsid w:val="005D42D4"/>
    <w:rsid w:val="005D4CF9"/>
    <w:rsid w:val="005D6869"/>
    <w:rsid w:val="005E0A24"/>
    <w:rsid w:val="005E605F"/>
    <w:rsid w:val="005E6E33"/>
    <w:rsid w:val="005E6FEF"/>
    <w:rsid w:val="005F3654"/>
    <w:rsid w:val="005F5F5F"/>
    <w:rsid w:val="005F7B4E"/>
    <w:rsid w:val="006023D9"/>
    <w:rsid w:val="00607F36"/>
    <w:rsid w:val="006175BD"/>
    <w:rsid w:val="00624197"/>
    <w:rsid w:val="006248C2"/>
    <w:rsid w:val="00636662"/>
    <w:rsid w:val="00640D27"/>
    <w:rsid w:val="00641C51"/>
    <w:rsid w:val="00641CCC"/>
    <w:rsid w:val="006448AC"/>
    <w:rsid w:val="006509EE"/>
    <w:rsid w:val="00651A3F"/>
    <w:rsid w:val="00656AC1"/>
    <w:rsid w:val="00667189"/>
    <w:rsid w:val="006702EB"/>
    <w:rsid w:val="00671BD5"/>
    <w:rsid w:val="006725E8"/>
    <w:rsid w:val="006745F2"/>
    <w:rsid w:val="0068583F"/>
    <w:rsid w:val="006870C6"/>
    <w:rsid w:val="0069022D"/>
    <w:rsid w:val="0069119B"/>
    <w:rsid w:val="006947FD"/>
    <w:rsid w:val="00695476"/>
    <w:rsid w:val="0069622E"/>
    <w:rsid w:val="006968CF"/>
    <w:rsid w:val="00696AEF"/>
    <w:rsid w:val="006A3351"/>
    <w:rsid w:val="006C3E3C"/>
    <w:rsid w:val="006C5E54"/>
    <w:rsid w:val="006C693E"/>
    <w:rsid w:val="006D2DE7"/>
    <w:rsid w:val="006D6590"/>
    <w:rsid w:val="006E21E0"/>
    <w:rsid w:val="006F3D57"/>
    <w:rsid w:val="006F3DDE"/>
    <w:rsid w:val="006F4655"/>
    <w:rsid w:val="006F7A4C"/>
    <w:rsid w:val="007039A1"/>
    <w:rsid w:val="007063D4"/>
    <w:rsid w:val="0071250D"/>
    <w:rsid w:val="007130F0"/>
    <w:rsid w:val="0071339D"/>
    <w:rsid w:val="007172B0"/>
    <w:rsid w:val="007251A4"/>
    <w:rsid w:val="00727CA4"/>
    <w:rsid w:val="007318AF"/>
    <w:rsid w:val="007364BB"/>
    <w:rsid w:val="00736B18"/>
    <w:rsid w:val="00737BC3"/>
    <w:rsid w:val="00740E8B"/>
    <w:rsid w:val="00742E5C"/>
    <w:rsid w:val="0074475A"/>
    <w:rsid w:val="007467DC"/>
    <w:rsid w:val="00751A2C"/>
    <w:rsid w:val="0075626D"/>
    <w:rsid w:val="00760976"/>
    <w:rsid w:val="00763A63"/>
    <w:rsid w:val="00764BEC"/>
    <w:rsid w:val="00764F74"/>
    <w:rsid w:val="00766CE0"/>
    <w:rsid w:val="00770202"/>
    <w:rsid w:val="007802F1"/>
    <w:rsid w:val="007829E3"/>
    <w:rsid w:val="00783056"/>
    <w:rsid w:val="00790883"/>
    <w:rsid w:val="0079565D"/>
    <w:rsid w:val="007A1B8F"/>
    <w:rsid w:val="007A3283"/>
    <w:rsid w:val="007A5868"/>
    <w:rsid w:val="007A5FB0"/>
    <w:rsid w:val="007A6075"/>
    <w:rsid w:val="007A7931"/>
    <w:rsid w:val="007B2514"/>
    <w:rsid w:val="007B2633"/>
    <w:rsid w:val="007C14D5"/>
    <w:rsid w:val="007D0416"/>
    <w:rsid w:val="007D411B"/>
    <w:rsid w:val="007D4364"/>
    <w:rsid w:val="007E71AF"/>
    <w:rsid w:val="007F48E8"/>
    <w:rsid w:val="007F4BB2"/>
    <w:rsid w:val="007F629B"/>
    <w:rsid w:val="007F7677"/>
    <w:rsid w:val="00806D5C"/>
    <w:rsid w:val="0081307D"/>
    <w:rsid w:val="00814622"/>
    <w:rsid w:val="00815D9D"/>
    <w:rsid w:val="0081665A"/>
    <w:rsid w:val="008234F9"/>
    <w:rsid w:val="00823E69"/>
    <w:rsid w:val="00823FCA"/>
    <w:rsid w:val="00824521"/>
    <w:rsid w:val="008246A9"/>
    <w:rsid w:val="008319DA"/>
    <w:rsid w:val="00832111"/>
    <w:rsid w:val="008376FD"/>
    <w:rsid w:val="00841149"/>
    <w:rsid w:val="00845716"/>
    <w:rsid w:val="008473E1"/>
    <w:rsid w:val="008505E5"/>
    <w:rsid w:val="00851D97"/>
    <w:rsid w:val="00852029"/>
    <w:rsid w:val="00852B86"/>
    <w:rsid w:val="00854FED"/>
    <w:rsid w:val="008574C0"/>
    <w:rsid w:val="00861C87"/>
    <w:rsid w:val="008747FB"/>
    <w:rsid w:val="0087691A"/>
    <w:rsid w:val="008812A2"/>
    <w:rsid w:val="0088198D"/>
    <w:rsid w:val="00883D51"/>
    <w:rsid w:val="008877AC"/>
    <w:rsid w:val="00887983"/>
    <w:rsid w:val="00887B77"/>
    <w:rsid w:val="00891619"/>
    <w:rsid w:val="0089235C"/>
    <w:rsid w:val="008A101C"/>
    <w:rsid w:val="008A4957"/>
    <w:rsid w:val="008A4AE9"/>
    <w:rsid w:val="008A56BE"/>
    <w:rsid w:val="008A5B5F"/>
    <w:rsid w:val="008A74F3"/>
    <w:rsid w:val="008B2C70"/>
    <w:rsid w:val="008B786E"/>
    <w:rsid w:val="008D1FC9"/>
    <w:rsid w:val="008D2CAF"/>
    <w:rsid w:val="008D3ECF"/>
    <w:rsid w:val="008E1C71"/>
    <w:rsid w:val="0090040D"/>
    <w:rsid w:val="009027EF"/>
    <w:rsid w:val="00904082"/>
    <w:rsid w:val="009051EF"/>
    <w:rsid w:val="00905A84"/>
    <w:rsid w:val="00910B3E"/>
    <w:rsid w:val="00911C7E"/>
    <w:rsid w:val="00912FC0"/>
    <w:rsid w:val="00917D35"/>
    <w:rsid w:val="00921E5C"/>
    <w:rsid w:val="00927A4E"/>
    <w:rsid w:val="00930A34"/>
    <w:rsid w:val="00935410"/>
    <w:rsid w:val="00946928"/>
    <w:rsid w:val="00951944"/>
    <w:rsid w:val="00954909"/>
    <w:rsid w:val="00954944"/>
    <w:rsid w:val="00954A11"/>
    <w:rsid w:val="00956EE6"/>
    <w:rsid w:val="00957196"/>
    <w:rsid w:val="00960D4C"/>
    <w:rsid w:val="00961894"/>
    <w:rsid w:val="00966B01"/>
    <w:rsid w:val="0096761D"/>
    <w:rsid w:val="00971922"/>
    <w:rsid w:val="00971D49"/>
    <w:rsid w:val="00973D29"/>
    <w:rsid w:val="009828FB"/>
    <w:rsid w:val="00983D7A"/>
    <w:rsid w:val="00984D7F"/>
    <w:rsid w:val="009940E8"/>
    <w:rsid w:val="009A2968"/>
    <w:rsid w:val="009A33FE"/>
    <w:rsid w:val="009A4F20"/>
    <w:rsid w:val="009A778E"/>
    <w:rsid w:val="009B0E16"/>
    <w:rsid w:val="009B67E9"/>
    <w:rsid w:val="009B785A"/>
    <w:rsid w:val="009B7D4F"/>
    <w:rsid w:val="009B7F2E"/>
    <w:rsid w:val="009C1557"/>
    <w:rsid w:val="009C4A92"/>
    <w:rsid w:val="009C68F3"/>
    <w:rsid w:val="009C79A2"/>
    <w:rsid w:val="009D148E"/>
    <w:rsid w:val="009D284C"/>
    <w:rsid w:val="009D5454"/>
    <w:rsid w:val="009E048B"/>
    <w:rsid w:val="009F1DCD"/>
    <w:rsid w:val="009F2185"/>
    <w:rsid w:val="00A024BB"/>
    <w:rsid w:val="00A02AAA"/>
    <w:rsid w:val="00A07C50"/>
    <w:rsid w:val="00A07E89"/>
    <w:rsid w:val="00A11D0C"/>
    <w:rsid w:val="00A146A7"/>
    <w:rsid w:val="00A22082"/>
    <w:rsid w:val="00A26048"/>
    <w:rsid w:val="00A2657F"/>
    <w:rsid w:val="00A30329"/>
    <w:rsid w:val="00A30E73"/>
    <w:rsid w:val="00A403CB"/>
    <w:rsid w:val="00A4252F"/>
    <w:rsid w:val="00A42674"/>
    <w:rsid w:val="00A44522"/>
    <w:rsid w:val="00A46FA8"/>
    <w:rsid w:val="00A6392F"/>
    <w:rsid w:val="00A661C7"/>
    <w:rsid w:val="00A664EE"/>
    <w:rsid w:val="00A71F89"/>
    <w:rsid w:val="00A775F8"/>
    <w:rsid w:val="00A86901"/>
    <w:rsid w:val="00A92EB9"/>
    <w:rsid w:val="00A93D49"/>
    <w:rsid w:val="00A95FEE"/>
    <w:rsid w:val="00AA23D4"/>
    <w:rsid w:val="00AA64C3"/>
    <w:rsid w:val="00AA65A2"/>
    <w:rsid w:val="00AA7CE5"/>
    <w:rsid w:val="00AA7D1B"/>
    <w:rsid w:val="00AB3A4A"/>
    <w:rsid w:val="00AB43CC"/>
    <w:rsid w:val="00AB4A0B"/>
    <w:rsid w:val="00AC0D5D"/>
    <w:rsid w:val="00AC39C4"/>
    <w:rsid w:val="00AC47A4"/>
    <w:rsid w:val="00AD6B54"/>
    <w:rsid w:val="00AE325C"/>
    <w:rsid w:val="00AF208D"/>
    <w:rsid w:val="00AF432A"/>
    <w:rsid w:val="00AF470B"/>
    <w:rsid w:val="00AF575D"/>
    <w:rsid w:val="00B03FFE"/>
    <w:rsid w:val="00B04FAC"/>
    <w:rsid w:val="00B058E1"/>
    <w:rsid w:val="00B1634E"/>
    <w:rsid w:val="00B239F0"/>
    <w:rsid w:val="00B2596B"/>
    <w:rsid w:val="00B26222"/>
    <w:rsid w:val="00B26FFB"/>
    <w:rsid w:val="00B30887"/>
    <w:rsid w:val="00B32AFC"/>
    <w:rsid w:val="00B331A7"/>
    <w:rsid w:val="00B34D1D"/>
    <w:rsid w:val="00B53A23"/>
    <w:rsid w:val="00B54DE8"/>
    <w:rsid w:val="00B56E51"/>
    <w:rsid w:val="00B57E90"/>
    <w:rsid w:val="00B61B2B"/>
    <w:rsid w:val="00B6305A"/>
    <w:rsid w:val="00B754BA"/>
    <w:rsid w:val="00B7659F"/>
    <w:rsid w:val="00B77A47"/>
    <w:rsid w:val="00B818D7"/>
    <w:rsid w:val="00B8199C"/>
    <w:rsid w:val="00B82C9B"/>
    <w:rsid w:val="00B9293E"/>
    <w:rsid w:val="00B97202"/>
    <w:rsid w:val="00BA0887"/>
    <w:rsid w:val="00BA09D7"/>
    <w:rsid w:val="00BA1128"/>
    <w:rsid w:val="00BA7A04"/>
    <w:rsid w:val="00BA7C46"/>
    <w:rsid w:val="00BB2047"/>
    <w:rsid w:val="00BB3153"/>
    <w:rsid w:val="00BB3DE1"/>
    <w:rsid w:val="00BC45AE"/>
    <w:rsid w:val="00BC55D4"/>
    <w:rsid w:val="00BC625A"/>
    <w:rsid w:val="00BD056E"/>
    <w:rsid w:val="00BD1B00"/>
    <w:rsid w:val="00BD53C0"/>
    <w:rsid w:val="00BD7BA0"/>
    <w:rsid w:val="00BE0CA6"/>
    <w:rsid w:val="00BE243C"/>
    <w:rsid w:val="00BE4FC8"/>
    <w:rsid w:val="00BF012D"/>
    <w:rsid w:val="00BF06F3"/>
    <w:rsid w:val="00BF1041"/>
    <w:rsid w:val="00BF6E6E"/>
    <w:rsid w:val="00C01729"/>
    <w:rsid w:val="00C025A4"/>
    <w:rsid w:val="00C044BD"/>
    <w:rsid w:val="00C04CF9"/>
    <w:rsid w:val="00C13076"/>
    <w:rsid w:val="00C1687C"/>
    <w:rsid w:val="00C16E0E"/>
    <w:rsid w:val="00C171EC"/>
    <w:rsid w:val="00C17813"/>
    <w:rsid w:val="00C17D0E"/>
    <w:rsid w:val="00C216F8"/>
    <w:rsid w:val="00C32050"/>
    <w:rsid w:val="00C40871"/>
    <w:rsid w:val="00C4430F"/>
    <w:rsid w:val="00C55364"/>
    <w:rsid w:val="00C60044"/>
    <w:rsid w:val="00C60F2B"/>
    <w:rsid w:val="00C62BA8"/>
    <w:rsid w:val="00C7542D"/>
    <w:rsid w:val="00C7661A"/>
    <w:rsid w:val="00C86E05"/>
    <w:rsid w:val="00C91487"/>
    <w:rsid w:val="00C93341"/>
    <w:rsid w:val="00C97FDF"/>
    <w:rsid w:val="00CA1DC2"/>
    <w:rsid w:val="00CA75F4"/>
    <w:rsid w:val="00CA7D36"/>
    <w:rsid w:val="00CB5946"/>
    <w:rsid w:val="00CC254B"/>
    <w:rsid w:val="00CC4400"/>
    <w:rsid w:val="00CC4FDA"/>
    <w:rsid w:val="00CC585C"/>
    <w:rsid w:val="00CC6445"/>
    <w:rsid w:val="00CD0031"/>
    <w:rsid w:val="00CD722E"/>
    <w:rsid w:val="00CE433E"/>
    <w:rsid w:val="00CE72C8"/>
    <w:rsid w:val="00CF2816"/>
    <w:rsid w:val="00CF2A62"/>
    <w:rsid w:val="00CF3FAD"/>
    <w:rsid w:val="00CF5B8B"/>
    <w:rsid w:val="00D03231"/>
    <w:rsid w:val="00D0410E"/>
    <w:rsid w:val="00D05B1B"/>
    <w:rsid w:val="00D06986"/>
    <w:rsid w:val="00D10255"/>
    <w:rsid w:val="00D109A9"/>
    <w:rsid w:val="00D122D3"/>
    <w:rsid w:val="00D13CE2"/>
    <w:rsid w:val="00D16266"/>
    <w:rsid w:val="00D16AE9"/>
    <w:rsid w:val="00D225AF"/>
    <w:rsid w:val="00D32572"/>
    <w:rsid w:val="00D33341"/>
    <w:rsid w:val="00D42B12"/>
    <w:rsid w:val="00D47997"/>
    <w:rsid w:val="00D52C50"/>
    <w:rsid w:val="00D52E71"/>
    <w:rsid w:val="00D564DF"/>
    <w:rsid w:val="00D603FC"/>
    <w:rsid w:val="00D61799"/>
    <w:rsid w:val="00D660AE"/>
    <w:rsid w:val="00D7380C"/>
    <w:rsid w:val="00D74CDA"/>
    <w:rsid w:val="00D908FE"/>
    <w:rsid w:val="00D909AA"/>
    <w:rsid w:val="00D91089"/>
    <w:rsid w:val="00D9122D"/>
    <w:rsid w:val="00DA5267"/>
    <w:rsid w:val="00DB4839"/>
    <w:rsid w:val="00DC02F1"/>
    <w:rsid w:val="00DC0773"/>
    <w:rsid w:val="00DC6273"/>
    <w:rsid w:val="00DC6C2F"/>
    <w:rsid w:val="00DD0485"/>
    <w:rsid w:val="00DD1DC7"/>
    <w:rsid w:val="00DD30E7"/>
    <w:rsid w:val="00DE3DB2"/>
    <w:rsid w:val="00DE42F2"/>
    <w:rsid w:val="00DE6E58"/>
    <w:rsid w:val="00DE752E"/>
    <w:rsid w:val="00DF6D52"/>
    <w:rsid w:val="00E04888"/>
    <w:rsid w:val="00E0581A"/>
    <w:rsid w:val="00E07EF3"/>
    <w:rsid w:val="00E10D4A"/>
    <w:rsid w:val="00E111CA"/>
    <w:rsid w:val="00E11925"/>
    <w:rsid w:val="00E1593E"/>
    <w:rsid w:val="00E17D96"/>
    <w:rsid w:val="00E2198E"/>
    <w:rsid w:val="00E22F37"/>
    <w:rsid w:val="00E30240"/>
    <w:rsid w:val="00E322C1"/>
    <w:rsid w:val="00E348FF"/>
    <w:rsid w:val="00E3504B"/>
    <w:rsid w:val="00E36AE0"/>
    <w:rsid w:val="00E4322A"/>
    <w:rsid w:val="00E433EB"/>
    <w:rsid w:val="00E471AD"/>
    <w:rsid w:val="00E5206A"/>
    <w:rsid w:val="00E52357"/>
    <w:rsid w:val="00E64159"/>
    <w:rsid w:val="00E71FB9"/>
    <w:rsid w:val="00E73C69"/>
    <w:rsid w:val="00E7592E"/>
    <w:rsid w:val="00E75E7A"/>
    <w:rsid w:val="00E76C69"/>
    <w:rsid w:val="00E7785C"/>
    <w:rsid w:val="00E808CB"/>
    <w:rsid w:val="00E86CC2"/>
    <w:rsid w:val="00EA48D9"/>
    <w:rsid w:val="00EA58FD"/>
    <w:rsid w:val="00EA7EC5"/>
    <w:rsid w:val="00EB1C50"/>
    <w:rsid w:val="00EB36DF"/>
    <w:rsid w:val="00EB63C8"/>
    <w:rsid w:val="00EC069F"/>
    <w:rsid w:val="00EC116D"/>
    <w:rsid w:val="00EC14AD"/>
    <w:rsid w:val="00ED0D67"/>
    <w:rsid w:val="00ED260C"/>
    <w:rsid w:val="00ED6D29"/>
    <w:rsid w:val="00EF09D9"/>
    <w:rsid w:val="00EF1952"/>
    <w:rsid w:val="00EF6093"/>
    <w:rsid w:val="00F01ED0"/>
    <w:rsid w:val="00F04C61"/>
    <w:rsid w:val="00F058D3"/>
    <w:rsid w:val="00F16622"/>
    <w:rsid w:val="00F22BDD"/>
    <w:rsid w:val="00F23C65"/>
    <w:rsid w:val="00F27B6E"/>
    <w:rsid w:val="00F319D0"/>
    <w:rsid w:val="00F32534"/>
    <w:rsid w:val="00F336EE"/>
    <w:rsid w:val="00F435E3"/>
    <w:rsid w:val="00F44C88"/>
    <w:rsid w:val="00F46CA7"/>
    <w:rsid w:val="00F56054"/>
    <w:rsid w:val="00F5682D"/>
    <w:rsid w:val="00F57D49"/>
    <w:rsid w:val="00F63A86"/>
    <w:rsid w:val="00F66436"/>
    <w:rsid w:val="00F8037D"/>
    <w:rsid w:val="00F86E82"/>
    <w:rsid w:val="00F873DD"/>
    <w:rsid w:val="00F91BE7"/>
    <w:rsid w:val="00F91F73"/>
    <w:rsid w:val="00F93D1A"/>
    <w:rsid w:val="00FA0D9A"/>
    <w:rsid w:val="00FA6E6F"/>
    <w:rsid w:val="00FA71E0"/>
    <w:rsid w:val="00FB0438"/>
    <w:rsid w:val="00FB466E"/>
    <w:rsid w:val="00FB6574"/>
    <w:rsid w:val="00FB7EDE"/>
    <w:rsid w:val="00FE0270"/>
    <w:rsid w:val="00FE482F"/>
    <w:rsid w:val="00FE60E3"/>
    <w:rsid w:val="00FF200E"/>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semiHidden="0" w:uiPriority="0" w:unhideWhenUsed="0" w:qFormat="1"/>
    <w:lsdException w:name="footnote reference" w:uiPriority="0"/>
    <w:lsdException w:name="annotation reference"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Outline List 2" w:uiPriority="0"/>
    <w:lsdException w:name="Balloon Text" w:uiPriority="0"/>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aliases w:val="tekst"/>
    <w:qFormat/>
    <w:rsid w:val="00E07EF3"/>
    <w:pPr>
      <w:overflowPunct w:val="0"/>
      <w:autoSpaceDE w:val="0"/>
      <w:autoSpaceDN w:val="0"/>
      <w:adjustRightInd w:val="0"/>
      <w:jc w:val="both"/>
      <w:textAlignment w:val="baseline"/>
    </w:pPr>
    <w:rPr>
      <w:rFonts w:ascii="Times New Roman" w:eastAsia="Times New Roman" w:hAnsi="Times New Roman"/>
      <w:sz w:val="20"/>
      <w:szCs w:val="20"/>
    </w:rPr>
  </w:style>
  <w:style w:type="paragraph" w:styleId="Nagwek1">
    <w:name w:val="heading 1"/>
    <w:basedOn w:val="Normalny"/>
    <w:next w:val="Normalny"/>
    <w:link w:val="Nagwek1Znak"/>
    <w:uiPriority w:val="99"/>
    <w:qFormat/>
    <w:rsid w:val="00A4252F"/>
    <w:pPr>
      <w:keepNext/>
      <w:keepLines/>
      <w:suppressAutoHyphens/>
      <w:spacing w:before="120" w:after="120"/>
      <w:jc w:val="center"/>
      <w:outlineLvl w:val="0"/>
    </w:pPr>
    <w:rPr>
      <w:b/>
      <w:bCs/>
      <w:caps/>
      <w:kern w:val="28"/>
      <w:sz w:val="28"/>
      <w:szCs w:val="28"/>
    </w:rPr>
  </w:style>
  <w:style w:type="paragraph" w:styleId="Nagwek2">
    <w:name w:val="heading 2"/>
    <w:basedOn w:val="Normalny"/>
    <w:next w:val="Normalny"/>
    <w:link w:val="Nagwek2Znak"/>
    <w:qFormat/>
    <w:rsid w:val="00A4252F"/>
    <w:pPr>
      <w:keepNext/>
      <w:pageBreakBefore/>
      <w:spacing w:before="120" w:after="120"/>
      <w:jc w:val="center"/>
      <w:outlineLvl w:val="1"/>
    </w:pPr>
    <w:rPr>
      <w:b/>
      <w:bCs/>
      <w:sz w:val="28"/>
      <w:szCs w:val="28"/>
    </w:rPr>
  </w:style>
  <w:style w:type="paragraph" w:styleId="Nagwek3">
    <w:name w:val="heading 3"/>
    <w:basedOn w:val="Normalny"/>
    <w:next w:val="Normalny"/>
    <w:link w:val="Nagwek3Znak"/>
    <w:uiPriority w:val="99"/>
    <w:qFormat/>
    <w:rsid w:val="00A4252F"/>
    <w:pPr>
      <w:keepNext/>
      <w:spacing w:before="360" w:after="60"/>
      <w:outlineLvl w:val="2"/>
    </w:pPr>
    <w:rPr>
      <w:b/>
      <w:bCs/>
      <w:caps/>
    </w:rPr>
  </w:style>
  <w:style w:type="paragraph" w:styleId="Nagwek4">
    <w:name w:val="heading 4"/>
    <w:basedOn w:val="Normalny"/>
    <w:next w:val="Normalny"/>
    <w:link w:val="Nagwek4Znak"/>
    <w:uiPriority w:val="99"/>
    <w:qFormat/>
    <w:rsid w:val="00A4252F"/>
    <w:pPr>
      <w:keepNext/>
      <w:spacing w:before="240" w:after="60"/>
      <w:outlineLvl w:val="3"/>
    </w:pPr>
    <w:rPr>
      <w:b/>
      <w:bCs/>
    </w:rPr>
  </w:style>
  <w:style w:type="paragraph" w:styleId="Nagwek5">
    <w:name w:val="heading 5"/>
    <w:basedOn w:val="Normalny"/>
    <w:next w:val="Normalny"/>
    <w:link w:val="Nagwek5Znak"/>
    <w:uiPriority w:val="99"/>
    <w:qFormat/>
    <w:rsid w:val="00A4252F"/>
    <w:pPr>
      <w:spacing w:before="100" w:beforeAutospacing="1" w:after="100" w:afterAutospacing="1"/>
      <w:outlineLvl w:val="4"/>
    </w:pPr>
    <w:rPr>
      <w:b/>
      <w:bCs/>
      <w:i/>
      <w:iCs/>
    </w:rPr>
  </w:style>
  <w:style w:type="paragraph" w:styleId="Nagwek6">
    <w:name w:val="heading 6"/>
    <w:basedOn w:val="Normalny"/>
    <w:next w:val="Normalny"/>
    <w:link w:val="Nagwek6Znak"/>
    <w:qFormat/>
    <w:rsid w:val="00A4252F"/>
    <w:pPr>
      <w:spacing w:before="240" w:after="60"/>
      <w:outlineLvl w:val="5"/>
    </w:pPr>
    <w:rPr>
      <w:b/>
      <w:bCs/>
      <w:sz w:val="22"/>
      <w:szCs w:val="22"/>
    </w:rPr>
  </w:style>
  <w:style w:type="paragraph" w:styleId="Nagwek7">
    <w:name w:val="heading 7"/>
    <w:basedOn w:val="Normalny"/>
    <w:next w:val="Normalny"/>
    <w:link w:val="Nagwek7Znak"/>
    <w:qFormat/>
    <w:rsid w:val="00A4252F"/>
    <w:pPr>
      <w:outlineLvl w:val="6"/>
    </w:pPr>
  </w:style>
  <w:style w:type="paragraph" w:styleId="Nagwek8">
    <w:name w:val="heading 8"/>
    <w:basedOn w:val="Normalny"/>
    <w:next w:val="Normalny"/>
    <w:link w:val="Nagwek8Znak"/>
    <w:qFormat/>
    <w:rsid w:val="00A4252F"/>
    <w:pPr>
      <w:spacing w:before="240" w:after="60"/>
      <w:outlineLvl w:val="7"/>
    </w:pPr>
    <w:rPr>
      <w:i/>
      <w:iCs/>
      <w:sz w:val="24"/>
      <w:szCs w:val="24"/>
    </w:rPr>
  </w:style>
  <w:style w:type="paragraph" w:styleId="Nagwek9">
    <w:name w:val="heading 9"/>
    <w:basedOn w:val="Normalny"/>
    <w:next w:val="Normalny"/>
    <w:link w:val="Nagwek9Znak"/>
    <w:qFormat/>
    <w:rsid w:val="00E71FB9"/>
    <w:pPr>
      <w:overflowPunct/>
      <w:autoSpaceDE/>
      <w:autoSpaceDN/>
      <w:adjustRightInd/>
      <w:spacing w:before="240" w:after="60"/>
      <w:textAlignment w:val="auto"/>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A4252F"/>
    <w:rPr>
      <w:rFonts w:ascii="Times New Roman" w:hAnsi="Times New Roman" w:cs="Times New Roman"/>
      <w:b/>
      <w:bCs/>
      <w:caps/>
      <w:kern w:val="28"/>
      <w:sz w:val="20"/>
      <w:szCs w:val="20"/>
      <w:lang w:eastAsia="pl-PL"/>
    </w:rPr>
  </w:style>
  <w:style w:type="character" w:customStyle="1" w:styleId="Nagwek2Znak">
    <w:name w:val="Nagłówek 2 Znak"/>
    <w:basedOn w:val="Domylnaczcionkaakapitu"/>
    <w:link w:val="Nagwek2"/>
    <w:locked/>
    <w:rsid w:val="00A4252F"/>
    <w:rPr>
      <w:rFonts w:ascii="Times New Roman" w:hAnsi="Times New Roman" w:cs="Times New Roman"/>
      <w:b/>
      <w:bCs/>
      <w:sz w:val="20"/>
      <w:szCs w:val="20"/>
      <w:lang w:eastAsia="pl-PL"/>
    </w:rPr>
  </w:style>
  <w:style w:type="character" w:customStyle="1" w:styleId="Nagwek3Znak">
    <w:name w:val="Nagłówek 3 Znak"/>
    <w:basedOn w:val="Domylnaczcionkaakapitu"/>
    <w:link w:val="Nagwek3"/>
    <w:uiPriority w:val="99"/>
    <w:locked/>
    <w:rsid w:val="00A4252F"/>
    <w:rPr>
      <w:rFonts w:ascii="Times New Roman" w:hAnsi="Times New Roman" w:cs="Times New Roman"/>
      <w:b/>
      <w:bCs/>
      <w:caps/>
      <w:sz w:val="20"/>
      <w:szCs w:val="20"/>
      <w:lang w:eastAsia="pl-PL"/>
    </w:rPr>
  </w:style>
  <w:style w:type="character" w:customStyle="1" w:styleId="Nagwek4Znak">
    <w:name w:val="Nagłówek 4 Znak"/>
    <w:basedOn w:val="Domylnaczcionkaakapitu"/>
    <w:link w:val="Nagwek4"/>
    <w:uiPriority w:val="99"/>
    <w:locked/>
    <w:rsid w:val="00A4252F"/>
    <w:rPr>
      <w:rFonts w:ascii="Times New Roman" w:hAnsi="Times New Roman" w:cs="Times New Roman"/>
      <w:b/>
      <w:bCs/>
      <w:sz w:val="28"/>
      <w:szCs w:val="28"/>
      <w:lang w:eastAsia="pl-PL"/>
    </w:rPr>
  </w:style>
  <w:style w:type="character" w:customStyle="1" w:styleId="Nagwek5Znak">
    <w:name w:val="Nagłówek 5 Znak"/>
    <w:basedOn w:val="Domylnaczcionkaakapitu"/>
    <w:link w:val="Nagwek5"/>
    <w:uiPriority w:val="99"/>
    <w:locked/>
    <w:rsid w:val="00A4252F"/>
    <w:rPr>
      <w:rFonts w:ascii="Times New Roman" w:hAnsi="Times New Roman" w:cs="Times New Roman"/>
      <w:b/>
      <w:bCs/>
      <w:i/>
      <w:iCs/>
      <w:sz w:val="26"/>
      <w:szCs w:val="26"/>
      <w:lang w:eastAsia="pl-PL"/>
    </w:rPr>
  </w:style>
  <w:style w:type="character" w:customStyle="1" w:styleId="Nagwek6Znak">
    <w:name w:val="Nagłówek 6 Znak"/>
    <w:basedOn w:val="Domylnaczcionkaakapitu"/>
    <w:link w:val="Nagwek6"/>
    <w:locked/>
    <w:rsid w:val="00A4252F"/>
    <w:rPr>
      <w:rFonts w:ascii="Times New Roman" w:hAnsi="Times New Roman" w:cs="Times New Roman"/>
      <w:b/>
      <w:bCs/>
      <w:lang w:eastAsia="pl-PL"/>
    </w:rPr>
  </w:style>
  <w:style w:type="character" w:customStyle="1" w:styleId="Nagwek7Znak">
    <w:name w:val="Nagłówek 7 Znak"/>
    <w:basedOn w:val="Domylnaczcionkaakapitu"/>
    <w:link w:val="Nagwek7"/>
    <w:locked/>
    <w:rsid w:val="00A4252F"/>
    <w:rPr>
      <w:rFonts w:ascii="Times New Roman" w:hAnsi="Times New Roman" w:cs="Times New Roman"/>
      <w:sz w:val="24"/>
      <w:szCs w:val="24"/>
      <w:lang w:eastAsia="pl-PL"/>
    </w:rPr>
  </w:style>
  <w:style w:type="character" w:customStyle="1" w:styleId="Nagwek8Znak">
    <w:name w:val="Nagłówek 8 Znak"/>
    <w:basedOn w:val="Domylnaczcionkaakapitu"/>
    <w:link w:val="Nagwek8"/>
    <w:locked/>
    <w:rsid w:val="00A4252F"/>
    <w:rPr>
      <w:rFonts w:ascii="Times New Roman" w:hAnsi="Times New Roman" w:cs="Times New Roman"/>
      <w:i/>
      <w:iCs/>
      <w:sz w:val="24"/>
      <w:szCs w:val="24"/>
      <w:lang w:eastAsia="pl-PL"/>
    </w:rPr>
  </w:style>
  <w:style w:type="character" w:customStyle="1" w:styleId="Nagwek9Znak">
    <w:name w:val="Nagłówek 9 Znak"/>
    <w:basedOn w:val="Domylnaczcionkaakapitu"/>
    <w:link w:val="Nagwek9"/>
    <w:locked/>
    <w:rsid w:val="00E71FB9"/>
    <w:rPr>
      <w:rFonts w:ascii="Arial" w:hAnsi="Arial" w:cs="Arial"/>
      <w:lang w:eastAsia="pl-PL"/>
    </w:rPr>
  </w:style>
  <w:style w:type="paragraph" w:styleId="Spistreci1">
    <w:name w:val="toc 1"/>
    <w:basedOn w:val="Normalny"/>
    <w:next w:val="Normalny"/>
    <w:autoRedefine/>
    <w:uiPriority w:val="39"/>
    <w:rsid w:val="00EC116D"/>
    <w:pPr>
      <w:tabs>
        <w:tab w:val="right" w:leader="dot" w:pos="10065"/>
      </w:tabs>
      <w:spacing w:before="120" w:after="120"/>
      <w:jc w:val="left"/>
    </w:pPr>
    <w:rPr>
      <w:b/>
      <w:bCs/>
      <w:caps/>
    </w:rPr>
  </w:style>
  <w:style w:type="paragraph" w:styleId="Spistreci2">
    <w:name w:val="toc 2"/>
    <w:basedOn w:val="Normalny"/>
    <w:next w:val="Normalny"/>
    <w:autoRedefine/>
    <w:uiPriority w:val="39"/>
    <w:semiHidden/>
    <w:rsid w:val="00A4252F"/>
    <w:pPr>
      <w:tabs>
        <w:tab w:val="right" w:leader="dot" w:pos="7371"/>
      </w:tabs>
      <w:ind w:left="200"/>
      <w:jc w:val="left"/>
    </w:pPr>
  </w:style>
  <w:style w:type="paragraph" w:styleId="Spistreci3">
    <w:name w:val="toc 3"/>
    <w:basedOn w:val="Normalny"/>
    <w:next w:val="Normalny"/>
    <w:autoRedefine/>
    <w:semiHidden/>
    <w:rsid w:val="00A4252F"/>
    <w:pPr>
      <w:tabs>
        <w:tab w:val="right" w:leader="dot" w:pos="7371"/>
      </w:tabs>
      <w:ind w:left="400"/>
      <w:jc w:val="left"/>
    </w:pPr>
  </w:style>
  <w:style w:type="paragraph" w:styleId="Spistreci4">
    <w:name w:val="toc 4"/>
    <w:basedOn w:val="Normalny"/>
    <w:next w:val="Normalny"/>
    <w:autoRedefine/>
    <w:semiHidden/>
    <w:rsid w:val="00A4252F"/>
    <w:pPr>
      <w:tabs>
        <w:tab w:val="right" w:leader="dot" w:pos="7371"/>
      </w:tabs>
      <w:ind w:left="600"/>
      <w:jc w:val="left"/>
    </w:pPr>
    <w:rPr>
      <w:sz w:val="18"/>
      <w:szCs w:val="18"/>
    </w:rPr>
  </w:style>
  <w:style w:type="paragraph" w:styleId="Spistreci5">
    <w:name w:val="toc 5"/>
    <w:basedOn w:val="Normalny"/>
    <w:next w:val="Normalny"/>
    <w:autoRedefine/>
    <w:semiHidden/>
    <w:rsid w:val="00A4252F"/>
    <w:pPr>
      <w:tabs>
        <w:tab w:val="right" w:leader="dot" w:pos="7371"/>
      </w:tabs>
      <w:ind w:left="800"/>
      <w:jc w:val="left"/>
    </w:pPr>
    <w:rPr>
      <w:sz w:val="18"/>
      <w:szCs w:val="18"/>
    </w:rPr>
  </w:style>
  <w:style w:type="paragraph" w:styleId="Spistreci6">
    <w:name w:val="toc 6"/>
    <w:basedOn w:val="Normalny"/>
    <w:next w:val="Normalny"/>
    <w:autoRedefine/>
    <w:semiHidden/>
    <w:rsid w:val="00A4252F"/>
    <w:pPr>
      <w:tabs>
        <w:tab w:val="right" w:leader="dot" w:pos="7371"/>
      </w:tabs>
      <w:ind w:left="1000"/>
      <w:jc w:val="left"/>
    </w:pPr>
    <w:rPr>
      <w:sz w:val="18"/>
      <w:szCs w:val="18"/>
    </w:rPr>
  </w:style>
  <w:style w:type="paragraph" w:styleId="Spistreci7">
    <w:name w:val="toc 7"/>
    <w:basedOn w:val="Normalny"/>
    <w:next w:val="Normalny"/>
    <w:autoRedefine/>
    <w:semiHidden/>
    <w:rsid w:val="00A4252F"/>
    <w:pPr>
      <w:tabs>
        <w:tab w:val="right" w:leader="dot" w:pos="7371"/>
      </w:tabs>
      <w:ind w:left="1200"/>
      <w:jc w:val="left"/>
    </w:pPr>
    <w:rPr>
      <w:sz w:val="18"/>
      <w:szCs w:val="18"/>
    </w:rPr>
  </w:style>
  <w:style w:type="paragraph" w:styleId="Spistreci8">
    <w:name w:val="toc 8"/>
    <w:basedOn w:val="Normalny"/>
    <w:next w:val="Normalny"/>
    <w:autoRedefine/>
    <w:semiHidden/>
    <w:rsid w:val="00A4252F"/>
    <w:pPr>
      <w:tabs>
        <w:tab w:val="right" w:leader="dot" w:pos="7371"/>
      </w:tabs>
      <w:ind w:left="1400"/>
      <w:jc w:val="left"/>
    </w:pPr>
    <w:rPr>
      <w:sz w:val="18"/>
      <w:szCs w:val="18"/>
    </w:rPr>
  </w:style>
  <w:style w:type="paragraph" w:styleId="Spistreci9">
    <w:name w:val="toc 9"/>
    <w:basedOn w:val="Normalny"/>
    <w:next w:val="Normalny"/>
    <w:autoRedefine/>
    <w:semiHidden/>
    <w:rsid w:val="00A4252F"/>
    <w:pPr>
      <w:tabs>
        <w:tab w:val="right" w:leader="dot" w:pos="7371"/>
      </w:tabs>
      <w:ind w:left="1600"/>
      <w:jc w:val="left"/>
    </w:pPr>
    <w:rPr>
      <w:sz w:val="18"/>
      <w:szCs w:val="18"/>
    </w:rPr>
  </w:style>
  <w:style w:type="character" w:styleId="Numerstrony">
    <w:name w:val="page number"/>
    <w:basedOn w:val="Domylnaczcionkaakapitu"/>
    <w:uiPriority w:val="99"/>
    <w:rsid w:val="00A4252F"/>
  </w:style>
  <w:style w:type="paragraph" w:customStyle="1" w:styleId="StylIwony">
    <w:name w:val="Styl Iwony"/>
    <w:basedOn w:val="Normalny"/>
    <w:rsid w:val="00A4252F"/>
    <w:pPr>
      <w:spacing w:before="120" w:after="120"/>
    </w:pPr>
    <w:rPr>
      <w:rFonts w:ascii="Bookman Old Style" w:hAnsi="Bookman Old Style" w:cs="Bookman Old Style"/>
      <w:sz w:val="24"/>
      <w:szCs w:val="24"/>
    </w:rPr>
  </w:style>
  <w:style w:type="paragraph" w:styleId="Nagwek">
    <w:name w:val="header"/>
    <w:basedOn w:val="Normalny"/>
    <w:link w:val="NagwekZnak"/>
    <w:rsid w:val="00A4252F"/>
    <w:pPr>
      <w:tabs>
        <w:tab w:val="center" w:pos="4536"/>
        <w:tab w:val="right" w:pos="9072"/>
      </w:tabs>
      <w:jc w:val="left"/>
    </w:pPr>
    <w:rPr>
      <w:rFonts w:ascii="Century Gothic" w:hAnsi="Century Gothic" w:cs="Century Gothic"/>
      <w:sz w:val="24"/>
      <w:szCs w:val="24"/>
    </w:rPr>
  </w:style>
  <w:style w:type="character" w:customStyle="1" w:styleId="NagwekZnak">
    <w:name w:val="Nagłówek Znak"/>
    <w:basedOn w:val="Domylnaczcionkaakapitu"/>
    <w:link w:val="Nagwek"/>
    <w:locked/>
    <w:rsid w:val="00A4252F"/>
    <w:rPr>
      <w:rFonts w:ascii="Century Gothic" w:hAnsi="Century Gothic" w:cs="Century Gothic"/>
      <w:sz w:val="20"/>
      <w:szCs w:val="20"/>
      <w:lang w:eastAsia="pl-PL"/>
    </w:rPr>
  </w:style>
  <w:style w:type="paragraph" w:styleId="Stopka">
    <w:name w:val="footer"/>
    <w:basedOn w:val="Normalny"/>
    <w:link w:val="StopkaZnak"/>
    <w:rsid w:val="00A4252F"/>
    <w:pPr>
      <w:tabs>
        <w:tab w:val="center" w:pos="4536"/>
        <w:tab w:val="right" w:pos="9072"/>
      </w:tabs>
    </w:pPr>
  </w:style>
  <w:style w:type="character" w:customStyle="1" w:styleId="StopkaZnak">
    <w:name w:val="Stopka Znak"/>
    <w:basedOn w:val="Domylnaczcionkaakapitu"/>
    <w:link w:val="Stopka"/>
    <w:locked/>
    <w:rsid w:val="00A4252F"/>
    <w:rPr>
      <w:rFonts w:ascii="Times New Roman" w:hAnsi="Times New Roman" w:cs="Times New Roman"/>
      <w:sz w:val="20"/>
      <w:szCs w:val="20"/>
      <w:lang w:eastAsia="pl-PL"/>
    </w:rPr>
  </w:style>
  <w:style w:type="paragraph" w:styleId="Tekstprzypisudolnego">
    <w:name w:val="footnote text"/>
    <w:basedOn w:val="Normalny"/>
    <w:link w:val="TekstprzypisudolnegoZnak"/>
    <w:semiHidden/>
    <w:rsid w:val="00A4252F"/>
  </w:style>
  <w:style w:type="character" w:customStyle="1" w:styleId="TekstprzypisudolnegoZnak">
    <w:name w:val="Tekst przypisu dolnego Znak"/>
    <w:basedOn w:val="Domylnaczcionkaakapitu"/>
    <w:link w:val="Tekstprzypisudolnego"/>
    <w:semiHidden/>
    <w:locked/>
    <w:rsid w:val="00A4252F"/>
    <w:rPr>
      <w:rFonts w:ascii="Times New Roman" w:hAnsi="Times New Roman" w:cs="Times New Roman"/>
      <w:sz w:val="20"/>
      <w:szCs w:val="20"/>
      <w:lang w:eastAsia="pl-PL"/>
    </w:rPr>
  </w:style>
  <w:style w:type="paragraph" w:customStyle="1" w:styleId="tekstost">
    <w:name w:val="tekst ost"/>
    <w:basedOn w:val="Normalny"/>
    <w:link w:val="tekstostZnak"/>
    <w:rsid w:val="00A4252F"/>
  </w:style>
  <w:style w:type="character" w:styleId="Odwoanieprzypisudolnego">
    <w:name w:val="footnote reference"/>
    <w:basedOn w:val="Domylnaczcionkaakapitu"/>
    <w:semiHidden/>
    <w:rsid w:val="00A4252F"/>
    <w:rPr>
      <w:vertAlign w:val="superscript"/>
    </w:rPr>
  </w:style>
  <w:style w:type="paragraph" w:customStyle="1" w:styleId="Standardowytekst">
    <w:name w:val="Standardowy.tekst"/>
    <w:rsid w:val="00A4252F"/>
    <w:pPr>
      <w:overflowPunct w:val="0"/>
      <w:autoSpaceDE w:val="0"/>
      <w:autoSpaceDN w:val="0"/>
      <w:adjustRightInd w:val="0"/>
      <w:jc w:val="both"/>
      <w:textAlignment w:val="baseline"/>
    </w:pPr>
    <w:rPr>
      <w:rFonts w:ascii="Times New Roman" w:eastAsia="Times New Roman" w:hAnsi="Times New Roman"/>
      <w:sz w:val="20"/>
      <w:szCs w:val="20"/>
    </w:rPr>
  </w:style>
  <w:style w:type="paragraph" w:customStyle="1" w:styleId="Tekstpodstawowy21">
    <w:name w:val="Tekst podstawowy 21"/>
    <w:basedOn w:val="Normalny"/>
    <w:rsid w:val="00A4252F"/>
    <w:pPr>
      <w:ind w:left="360"/>
    </w:pPr>
  </w:style>
  <w:style w:type="paragraph" w:styleId="Tekstpodstawowy">
    <w:name w:val="Body Text"/>
    <w:basedOn w:val="Normalny"/>
    <w:link w:val="TekstpodstawowyZnak"/>
    <w:rsid w:val="00A4252F"/>
    <w:pPr>
      <w:spacing w:line="180" w:lineRule="exact"/>
      <w:jc w:val="left"/>
    </w:pPr>
    <w:rPr>
      <w:sz w:val="16"/>
      <w:szCs w:val="16"/>
    </w:rPr>
  </w:style>
  <w:style w:type="character" w:customStyle="1" w:styleId="TekstpodstawowyZnak">
    <w:name w:val="Tekst podstawowy Znak"/>
    <w:basedOn w:val="Domylnaczcionkaakapitu"/>
    <w:link w:val="Tekstpodstawowy"/>
    <w:locked/>
    <w:rsid w:val="00A4252F"/>
    <w:rPr>
      <w:rFonts w:ascii="Times New Roman" w:hAnsi="Times New Roman" w:cs="Times New Roman"/>
      <w:sz w:val="20"/>
      <w:szCs w:val="20"/>
      <w:lang w:eastAsia="pl-PL"/>
    </w:rPr>
  </w:style>
  <w:style w:type="character" w:styleId="Hipercze">
    <w:name w:val="Hyperlink"/>
    <w:basedOn w:val="Domylnaczcionkaakapitu"/>
    <w:uiPriority w:val="99"/>
    <w:rsid w:val="00A4252F"/>
    <w:rPr>
      <w:color w:val="0000FF"/>
      <w:u w:val="single"/>
    </w:rPr>
  </w:style>
  <w:style w:type="paragraph" w:customStyle="1" w:styleId="10">
    <w:name w:val="_10"/>
    <w:basedOn w:val="Normalny"/>
    <w:rsid w:val="00A4252F"/>
    <w:pPr>
      <w:overflowPunct/>
      <w:autoSpaceDE/>
      <w:autoSpaceDN/>
      <w:adjustRightInd/>
      <w:textAlignment w:val="auto"/>
    </w:pPr>
  </w:style>
  <w:style w:type="paragraph" w:customStyle="1" w:styleId="Styl12ptWyjustowany">
    <w:name w:val="Styl 12 pt Wyjustowany"/>
    <w:basedOn w:val="Normalny"/>
    <w:rsid w:val="00A4252F"/>
    <w:pPr>
      <w:overflowPunct/>
      <w:autoSpaceDE/>
      <w:autoSpaceDN/>
      <w:adjustRightInd/>
      <w:textAlignment w:val="auto"/>
    </w:pPr>
  </w:style>
  <w:style w:type="table" w:styleId="Tabela-Siatka">
    <w:name w:val="Table Grid"/>
    <w:basedOn w:val="Standardowy"/>
    <w:rsid w:val="00A4252F"/>
    <w:pPr>
      <w:overflowPunct w:val="0"/>
      <w:autoSpaceDE w:val="0"/>
      <w:autoSpaceDN w:val="0"/>
      <w:adjustRightInd w:val="0"/>
      <w:jc w:val="both"/>
      <w:textAlignment w:val="baseline"/>
    </w:pPr>
    <w:rPr>
      <w:rFonts w:ascii="Times New Roman" w:eastAsia="Times New Roman" w:hAnsi="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apunktowana">
    <w:name w:val="List Bullet"/>
    <w:basedOn w:val="Normalny"/>
    <w:semiHidden/>
    <w:rsid w:val="00A4252F"/>
    <w:pPr>
      <w:overflowPunct/>
      <w:autoSpaceDE/>
      <w:autoSpaceDN/>
      <w:adjustRightInd/>
      <w:spacing w:line="360" w:lineRule="auto"/>
      <w:ind w:left="360" w:hanging="360"/>
      <w:jc w:val="left"/>
      <w:textAlignment w:val="auto"/>
    </w:pPr>
    <w:rPr>
      <w:sz w:val="24"/>
      <w:szCs w:val="24"/>
    </w:rPr>
  </w:style>
  <w:style w:type="paragraph" w:styleId="Lista">
    <w:name w:val="List"/>
    <w:basedOn w:val="Normalny"/>
    <w:rsid w:val="00A4252F"/>
    <w:pPr>
      <w:ind w:left="283" w:hanging="283"/>
    </w:pPr>
  </w:style>
  <w:style w:type="paragraph" w:styleId="Lista2">
    <w:name w:val="List 2"/>
    <w:basedOn w:val="Normalny"/>
    <w:rsid w:val="00A4252F"/>
    <w:pPr>
      <w:ind w:left="566" w:hanging="283"/>
    </w:pPr>
  </w:style>
  <w:style w:type="paragraph" w:styleId="Lista3">
    <w:name w:val="List 3"/>
    <w:basedOn w:val="Normalny"/>
    <w:rsid w:val="00A4252F"/>
    <w:pPr>
      <w:ind w:left="849" w:hanging="283"/>
    </w:pPr>
  </w:style>
  <w:style w:type="paragraph" w:styleId="Lista4">
    <w:name w:val="List 4"/>
    <w:basedOn w:val="Normalny"/>
    <w:rsid w:val="00A4252F"/>
    <w:pPr>
      <w:ind w:left="1132" w:hanging="283"/>
    </w:pPr>
  </w:style>
  <w:style w:type="paragraph" w:styleId="Lista5">
    <w:name w:val="List 5"/>
    <w:basedOn w:val="Normalny"/>
    <w:rsid w:val="00A4252F"/>
    <w:pPr>
      <w:ind w:left="1415" w:hanging="283"/>
    </w:pPr>
  </w:style>
  <w:style w:type="paragraph" w:styleId="Listapunktowana2">
    <w:name w:val="List Bullet 2"/>
    <w:basedOn w:val="Normalny"/>
    <w:rsid w:val="00A4252F"/>
    <w:pPr>
      <w:numPr>
        <w:numId w:val="8"/>
      </w:numPr>
      <w:tabs>
        <w:tab w:val="num" w:pos="643"/>
      </w:tabs>
      <w:ind w:left="643" w:hanging="360"/>
    </w:pPr>
  </w:style>
  <w:style w:type="paragraph" w:styleId="Listapunktowana3">
    <w:name w:val="List Bullet 3"/>
    <w:basedOn w:val="Normalny"/>
    <w:rsid w:val="00A4252F"/>
    <w:pPr>
      <w:numPr>
        <w:numId w:val="9"/>
      </w:numPr>
      <w:tabs>
        <w:tab w:val="num" w:pos="926"/>
      </w:tabs>
      <w:ind w:left="926" w:hanging="360"/>
    </w:pPr>
  </w:style>
  <w:style w:type="paragraph" w:styleId="Listapunktowana4">
    <w:name w:val="List Bullet 4"/>
    <w:basedOn w:val="Normalny"/>
    <w:rsid w:val="00A4252F"/>
    <w:pPr>
      <w:numPr>
        <w:numId w:val="10"/>
      </w:numPr>
      <w:tabs>
        <w:tab w:val="num" w:pos="1209"/>
      </w:tabs>
      <w:ind w:left="1209" w:hanging="360"/>
    </w:pPr>
  </w:style>
  <w:style w:type="paragraph" w:styleId="Listapunktowana5">
    <w:name w:val="List Bullet 5"/>
    <w:basedOn w:val="Normalny"/>
    <w:rsid w:val="00A4252F"/>
    <w:pPr>
      <w:numPr>
        <w:numId w:val="11"/>
      </w:numPr>
      <w:tabs>
        <w:tab w:val="num" w:pos="1492"/>
      </w:tabs>
      <w:ind w:left="1492" w:hanging="360"/>
    </w:pPr>
  </w:style>
  <w:style w:type="paragraph" w:styleId="Lista-kontynuacja">
    <w:name w:val="List Continue"/>
    <w:basedOn w:val="Normalny"/>
    <w:rsid w:val="00A4252F"/>
    <w:pPr>
      <w:spacing w:after="120"/>
      <w:ind w:left="283"/>
    </w:pPr>
  </w:style>
  <w:style w:type="paragraph" w:styleId="Lista-kontynuacja2">
    <w:name w:val="List Continue 2"/>
    <w:basedOn w:val="Normalny"/>
    <w:rsid w:val="00A4252F"/>
    <w:pPr>
      <w:spacing w:after="120"/>
      <w:ind w:left="566"/>
    </w:pPr>
  </w:style>
  <w:style w:type="paragraph" w:styleId="Lista-kontynuacja3">
    <w:name w:val="List Continue 3"/>
    <w:basedOn w:val="Normalny"/>
    <w:rsid w:val="00A4252F"/>
    <w:pPr>
      <w:spacing w:after="120"/>
      <w:ind w:left="849"/>
    </w:pPr>
  </w:style>
  <w:style w:type="paragraph" w:styleId="Lista-kontynuacja4">
    <w:name w:val="List Continue 4"/>
    <w:basedOn w:val="Normalny"/>
    <w:rsid w:val="00A4252F"/>
    <w:pPr>
      <w:spacing w:after="120"/>
      <w:ind w:left="1132"/>
    </w:pPr>
  </w:style>
  <w:style w:type="paragraph" w:styleId="Lista-kontynuacja5">
    <w:name w:val="List Continue 5"/>
    <w:basedOn w:val="Normalny"/>
    <w:rsid w:val="00A4252F"/>
    <w:pPr>
      <w:spacing w:after="120"/>
      <w:ind w:left="1415"/>
    </w:pPr>
  </w:style>
  <w:style w:type="paragraph" w:styleId="Legenda">
    <w:name w:val="caption"/>
    <w:basedOn w:val="Normalny"/>
    <w:next w:val="Normalny"/>
    <w:qFormat/>
    <w:rsid w:val="00A4252F"/>
    <w:rPr>
      <w:b/>
      <w:bCs/>
    </w:rPr>
  </w:style>
  <w:style w:type="paragraph" w:styleId="Tekstpodstawowywcity">
    <w:name w:val="Body Text Indent"/>
    <w:basedOn w:val="Normalny"/>
    <w:link w:val="TekstpodstawowywcityZnak"/>
    <w:rsid w:val="00A4252F"/>
    <w:pPr>
      <w:spacing w:after="120"/>
      <w:ind w:left="283"/>
    </w:pPr>
  </w:style>
  <w:style w:type="character" w:customStyle="1" w:styleId="TekstpodstawowywcityZnak">
    <w:name w:val="Tekst podstawowy wcięty Znak"/>
    <w:basedOn w:val="Domylnaczcionkaakapitu"/>
    <w:link w:val="Tekstpodstawowywcity"/>
    <w:locked/>
    <w:rsid w:val="00A4252F"/>
    <w:rPr>
      <w:rFonts w:ascii="Times New Roman" w:hAnsi="Times New Roman" w:cs="Times New Roman"/>
      <w:sz w:val="20"/>
      <w:szCs w:val="20"/>
      <w:lang w:eastAsia="pl-PL"/>
    </w:rPr>
  </w:style>
  <w:style w:type="paragraph" w:styleId="Tekstpodstawowyzwciciem">
    <w:name w:val="Body Text First Indent"/>
    <w:basedOn w:val="Tekstpodstawowy"/>
    <w:link w:val="TekstpodstawowyzwciciemZnak"/>
    <w:rsid w:val="00A4252F"/>
    <w:pPr>
      <w:spacing w:after="120" w:line="240" w:lineRule="auto"/>
      <w:ind w:firstLine="210"/>
      <w:jc w:val="both"/>
    </w:pPr>
    <w:rPr>
      <w:sz w:val="20"/>
      <w:szCs w:val="20"/>
    </w:rPr>
  </w:style>
  <w:style w:type="character" w:customStyle="1" w:styleId="TekstpodstawowyzwciciemZnak">
    <w:name w:val="Tekst podstawowy z wcięciem Znak"/>
    <w:basedOn w:val="TekstpodstawowyZnak"/>
    <w:link w:val="Tekstpodstawowyzwciciem"/>
    <w:locked/>
    <w:rsid w:val="00A4252F"/>
    <w:rPr>
      <w:rFonts w:ascii="Times New Roman" w:hAnsi="Times New Roman" w:cs="Times New Roman"/>
      <w:sz w:val="20"/>
      <w:szCs w:val="20"/>
      <w:lang w:eastAsia="pl-PL"/>
    </w:rPr>
  </w:style>
  <w:style w:type="paragraph" w:styleId="Tekstpodstawowyzwciciem2">
    <w:name w:val="Body Text First Indent 2"/>
    <w:basedOn w:val="Tekstpodstawowywcity"/>
    <w:link w:val="Tekstpodstawowyzwciciem2Znak"/>
    <w:rsid w:val="00A4252F"/>
    <w:pPr>
      <w:ind w:firstLine="210"/>
    </w:pPr>
  </w:style>
  <w:style w:type="character" w:customStyle="1" w:styleId="Tekstpodstawowyzwciciem2Znak">
    <w:name w:val="Tekst podstawowy z wcięciem 2 Znak"/>
    <w:basedOn w:val="TekstpodstawowywcityZnak"/>
    <w:link w:val="Tekstpodstawowyzwciciem2"/>
    <w:locked/>
    <w:rsid w:val="00A4252F"/>
    <w:rPr>
      <w:rFonts w:ascii="Times New Roman" w:hAnsi="Times New Roman" w:cs="Times New Roman"/>
      <w:sz w:val="20"/>
      <w:szCs w:val="20"/>
      <w:lang w:eastAsia="pl-PL"/>
    </w:rPr>
  </w:style>
  <w:style w:type="paragraph" w:styleId="Tekstdymka">
    <w:name w:val="Balloon Text"/>
    <w:basedOn w:val="Normalny"/>
    <w:link w:val="TekstdymkaZnak"/>
    <w:semiHidden/>
    <w:rsid w:val="00A4252F"/>
    <w:rPr>
      <w:rFonts w:ascii="Tahoma" w:hAnsi="Tahoma" w:cs="Tahoma"/>
      <w:sz w:val="16"/>
      <w:szCs w:val="16"/>
    </w:rPr>
  </w:style>
  <w:style w:type="character" w:customStyle="1" w:styleId="TekstdymkaZnak">
    <w:name w:val="Tekst dymka Znak"/>
    <w:basedOn w:val="Domylnaczcionkaakapitu"/>
    <w:link w:val="Tekstdymka"/>
    <w:semiHidden/>
    <w:locked/>
    <w:rsid w:val="00A4252F"/>
    <w:rPr>
      <w:rFonts w:ascii="Tahoma" w:hAnsi="Tahoma" w:cs="Tahoma"/>
      <w:sz w:val="16"/>
      <w:szCs w:val="16"/>
      <w:lang w:eastAsia="pl-PL"/>
    </w:rPr>
  </w:style>
  <w:style w:type="paragraph" w:customStyle="1" w:styleId="StylSpistreci1Wyjustowany">
    <w:name w:val="Styl Spis treści 1 + Wyjustowany"/>
    <w:basedOn w:val="Spistreci1"/>
    <w:rsid w:val="00A4252F"/>
    <w:pPr>
      <w:tabs>
        <w:tab w:val="right" w:leader="dot" w:pos="9072"/>
      </w:tabs>
      <w:jc w:val="both"/>
    </w:pPr>
  </w:style>
  <w:style w:type="paragraph" w:customStyle="1" w:styleId="StylNagwek7Pogrubienie">
    <w:name w:val="Styl Nagłówek 7 + Pogrubienie"/>
    <w:basedOn w:val="Nagwek7"/>
    <w:rsid w:val="00A4252F"/>
    <w:pPr>
      <w:numPr>
        <w:numId w:val="18"/>
      </w:numPr>
    </w:pPr>
    <w:rPr>
      <w:b/>
      <w:bCs/>
    </w:rPr>
  </w:style>
  <w:style w:type="paragraph" w:styleId="Akapitzlist">
    <w:name w:val="List Paragraph"/>
    <w:basedOn w:val="Normalny"/>
    <w:uiPriority w:val="99"/>
    <w:qFormat/>
    <w:rsid w:val="00F32534"/>
    <w:pPr>
      <w:ind w:left="720"/>
    </w:pPr>
  </w:style>
  <w:style w:type="paragraph" w:customStyle="1" w:styleId="Tekstpodstawowy22">
    <w:name w:val="Tekst podstawowy 22"/>
    <w:basedOn w:val="Normalny"/>
    <w:rsid w:val="007D4364"/>
    <w:pPr>
      <w:ind w:left="360"/>
    </w:pPr>
  </w:style>
  <w:style w:type="paragraph" w:customStyle="1" w:styleId="Standardowytekst1">
    <w:name w:val="Standardowy.tekst1"/>
    <w:rsid w:val="007D4364"/>
    <w:pPr>
      <w:overflowPunct w:val="0"/>
      <w:autoSpaceDE w:val="0"/>
      <w:autoSpaceDN w:val="0"/>
      <w:adjustRightInd w:val="0"/>
      <w:jc w:val="both"/>
      <w:textAlignment w:val="baseline"/>
    </w:pPr>
    <w:rPr>
      <w:rFonts w:ascii="Times New Roman" w:eastAsia="Times New Roman" w:hAnsi="Times New Roman"/>
      <w:sz w:val="20"/>
      <w:szCs w:val="20"/>
    </w:rPr>
  </w:style>
  <w:style w:type="paragraph" w:customStyle="1" w:styleId="Tekstpodstawowywcity31">
    <w:name w:val="Tekst podstawowy wcięty 31"/>
    <w:basedOn w:val="Normalny"/>
    <w:rsid w:val="007D4364"/>
    <w:pPr>
      <w:tabs>
        <w:tab w:val="left" w:pos="964"/>
      </w:tabs>
      <w:spacing w:after="120"/>
      <w:ind w:left="964" w:hanging="964"/>
    </w:pPr>
  </w:style>
  <w:style w:type="paragraph" w:styleId="Tytu">
    <w:name w:val="Title"/>
    <w:basedOn w:val="Normalny"/>
    <w:link w:val="TytuZnak"/>
    <w:qFormat/>
    <w:rsid w:val="007D4364"/>
    <w:pPr>
      <w:jc w:val="center"/>
    </w:pPr>
    <w:rPr>
      <w:sz w:val="24"/>
      <w:szCs w:val="24"/>
    </w:rPr>
  </w:style>
  <w:style w:type="character" w:customStyle="1" w:styleId="TytuZnak">
    <w:name w:val="Tytuł Znak"/>
    <w:basedOn w:val="Domylnaczcionkaakapitu"/>
    <w:link w:val="Tytu"/>
    <w:locked/>
    <w:rsid w:val="007D4364"/>
    <w:rPr>
      <w:rFonts w:ascii="Times New Roman" w:hAnsi="Times New Roman" w:cs="Times New Roman"/>
      <w:sz w:val="20"/>
      <w:szCs w:val="20"/>
      <w:lang w:eastAsia="pl-PL"/>
    </w:rPr>
  </w:style>
  <w:style w:type="paragraph" w:styleId="Plandokumentu">
    <w:name w:val="Document Map"/>
    <w:basedOn w:val="Normalny"/>
    <w:link w:val="PlandokumentuZnak"/>
    <w:semiHidden/>
    <w:rsid w:val="007D4364"/>
    <w:pPr>
      <w:shd w:val="clear" w:color="auto" w:fill="000080"/>
    </w:pPr>
    <w:rPr>
      <w:rFonts w:ascii="Tahoma" w:hAnsi="Tahoma" w:cs="Tahoma"/>
    </w:rPr>
  </w:style>
  <w:style w:type="character" w:customStyle="1" w:styleId="PlandokumentuZnak">
    <w:name w:val="Plan dokumentu Znak"/>
    <w:basedOn w:val="Domylnaczcionkaakapitu"/>
    <w:link w:val="Plandokumentu"/>
    <w:semiHidden/>
    <w:locked/>
    <w:rsid w:val="007D4364"/>
    <w:rPr>
      <w:rFonts w:ascii="Tahoma" w:hAnsi="Tahoma" w:cs="Tahoma"/>
      <w:sz w:val="20"/>
      <w:szCs w:val="20"/>
      <w:shd w:val="clear" w:color="auto" w:fill="000080"/>
      <w:lang w:eastAsia="pl-PL"/>
    </w:rPr>
  </w:style>
  <w:style w:type="paragraph" w:styleId="Podtytu">
    <w:name w:val="Subtitle"/>
    <w:basedOn w:val="Normalny"/>
    <w:next w:val="Tekstpodstawowy"/>
    <w:link w:val="PodtytuZnak"/>
    <w:qFormat/>
    <w:rsid w:val="007D4364"/>
    <w:pPr>
      <w:suppressAutoHyphens/>
      <w:overflowPunct/>
      <w:autoSpaceDE/>
      <w:autoSpaceDN/>
      <w:adjustRightInd/>
      <w:jc w:val="left"/>
      <w:textAlignment w:val="auto"/>
    </w:pPr>
    <w:rPr>
      <w:b/>
      <w:bCs/>
      <w:sz w:val="28"/>
      <w:szCs w:val="28"/>
      <w:lang w:eastAsia="ar-SA"/>
    </w:rPr>
  </w:style>
  <w:style w:type="character" w:customStyle="1" w:styleId="PodtytuZnak">
    <w:name w:val="Podtytuł Znak"/>
    <w:basedOn w:val="Domylnaczcionkaakapitu"/>
    <w:link w:val="Podtytu"/>
    <w:locked/>
    <w:rsid w:val="007D4364"/>
    <w:rPr>
      <w:rFonts w:ascii="Times New Roman" w:hAnsi="Times New Roman" w:cs="Times New Roman"/>
      <w:b/>
      <w:bCs/>
      <w:sz w:val="20"/>
      <w:szCs w:val="20"/>
      <w:lang w:eastAsia="ar-SA" w:bidi="ar-SA"/>
    </w:rPr>
  </w:style>
  <w:style w:type="character" w:styleId="UyteHipercze">
    <w:name w:val="FollowedHyperlink"/>
    <w:basedOn w:val="Domylnaczcionkaakapitu"/>
    <w:rsid w:val="007D4364"/>
    <w:rPr>
      <w:color w:val="800080"/>
      <w:u w:val="single"/>
    </w:rPr>
  </w:style>
  <w:style w:type="character" w:customStyle="1" w:styleId="header1">
    <w:name w:val="header1"/>
    <w:rsid w:val="005A3701"/>
    <w:rPr>
      <w:rFonts w:ascii="Times New Roman" w:hAnsi="Times New Roman" w:cs="Times New Roman"/>
      <w:b/>
      <w:bCs/>
      <w:sz w:val="36"/>
      <w:szCs w:val="36"/>
    </w:rPr>
  </w:style>
  <w:style w:type="character" w:customStyle="1" w:styleId="header2">
    <w:name w:val="header2"/>
    <w:rsid w:val="005A3701"/>
    <w:rPr>
      <w:rFonts w:ascii="Times New Roman" w:hAnsi="Times New Roman" w:cs="Times New Roman"/>
      <w:b/>
      <w:bCs/>
      <w:sz w:val="36"/>
      <w:szCs w:val="36"/>
    </w:rPr>
  </w:style>
  <w:style w:type="character" w:customStyle="1" w:styleId="header3">
    <w:name w:val="header3"/>
    <w:rsid w:val="005A3701"/>
    <w:rPr>
      <w:rFonts w:ascii="Times New Roman" w:hAnsi="Times New Roman" w:cs="Times New Roman"/>
      <w:b/>
      <w:bCs/>
      <w:sz w:val="36"/>
      <w:szCs w:val="36"/>
    </w:rPr>
  </w:style>
  <w:style w:type="character" w:customStyle="1" w:styleId="podpunkt">
    <w:name w:val="podpunkt"/>
    <w:rsid w:val="005A3701"/>
    <w:rPr>
      <w:rFonts w:ascii="Times New Roman" w:hAnsi="Times New Roman" w:cs="Times New Roman"/>
      <w:b/>
      <w:bCs/>
    </w:rPr>
  </w:style>
  <w:style w:type="character" w:customStyle="1" w:styleId="Document2">
    <w:name w:val="Document 2"/>
    <w:basedOn w:val="Domylnaczcionkaakapitu"/>
    <w:rsid w:val="005A3701"/>
    <w:rPr>
      <w:rFonts w:ascii="Courier" w:hAnsi="Courier" w:cs="Courier"/>
      <w:sz w:val="24"/>
      <w:szCs w:val="24"/>
      <w:lang w:val="en-US"/>
    </w:rPr>
  </w:style>
  <w:style w:type="paragraph" w:customStyle="1" w:styleId="Akapitzlist1">
    <w:name w:val="Akapit z listą1"/>
    <w:basedOn w:val="Normalny"/>
    <w:rsid w:val="005A3701"/>
    <w:pPr>
      <w:overflowPunct/>
      <w:autoSpaceDE/>
      <w:autoSpaceDN/>
      <w:adjustRightInd/>
      <w:ind w:left="720"/>
      <w:jc w:val="left"/>
      <w:textAlignment w:val="auto"/>
    </w:pPr>
    <w:rPr>
      <w:rFonts w:eastAsia="Calibri"/>
      <w:sz w:val="26"/>
      <w:szCs w:val="26"/>
    </w:rPr>
  </w:style>
  <w:style w:type="paragraph" w:styleId="Tekstpodstawowywcity2">
    <w:name w:val="Body Text Indent 2"/>
    <w:basedOn w:val="Normalny"/>
    <w:link w:val="Tekstpodstawowywcity2Znak"/>
    <w:rsid w:val="007A5868"/>
    <w:pPr>
      <w:widowControl w:val="0"/>
      <w:overflowPunct/>
      <w:autoSpaceDE/>
      <w:autoSpaceDN/>
      <w:adjustRightInd/>
      <w:spacing w:after="120" w:line="480" w:lineRule="auto"/>
      <w:ind w:left="283"/>
      <w:jc w:val="left"/>
      <w:textAlignment w:val="auto"/>
    </w:pPr>
    <w:rPr>
      <w:sz w:val="24"/>
      <w:szCs w:val="24"/>
      <w:lang w:val="en-US"/>
    </w:rPr>
  </w:style>
  <w:style w:type="character" w:customStyle="1" w:styleId="Tekstpodstawowywcity2Znak">
    <w:name w:val="Tekst podstawowy wcięty 2 Znak"/>
    <w:basedOn w:val="Domylnaczcionkaakapitu"/>
    <w:link w:val="Tekstpodstawowywcity2"/>
    <w:locked/>
    <w:rsid w:val="007A5868"/>
    <w:rPr>
      <w:rFonts w:ascii="Times New Roman" w:hAnsi="Times New Roman" w:cs="Times New Roman"/>
      <w:snapToGrid w:val="0"/>
      <w:sz w:val="20"/>
      <w:szCs w:val="20"/>
      <w:lang w:val="en-US" w:eastAsia="pl-PL"/>
    </w:rPr>
  </w:style>
  <w:style w:type="paragraph" w:customStyle="1" w:styleId="Tekstpodstawowy23">
    <w:name w:val="Tekst podstawowy 23"/>
    <w:basedOn w:val="Normalny"/>
    <w:rsid w:val="00E71FB9"/>
    <w:pPr>
      <w:ind w:left="360"/>
    </w:pPr>
  </w:style>
  <w:style w:type="paragraph" w:customStyle="1" w:styleId="CM18">
    <w:name w:val="CM18"/>
    <w:basedOn w:val="Normalny"/>
    <w:next w:val="Normalny"/>
    <w:uiPriority w:val="99"/>
    <w:rsid w:val="00E71FB9"/>
    <w:pPr>
      <w:widowControl w:val="0"/>
      <w:overflowPunct/>
      <w:jc w:val="left"/>
      <w:textAlignment w:val="auto"/>
    </w:pPr>
    <w:rPr>
      <w:rFonts w:ascii="TTE18C80C0t00" w:hAnsi="TTE18C80C0t00" w:cs="TTE18C80C0t00"/>
      <w:sz w:val="24"/>
      <w:szCs w:val="24"/>
    </w:rPr>
  </w:style>
  <w:style w:type="paragraph" w:customStyle="1" w:styleId="Default">
    <w:name w:val="Default"/>
    <w:rsid w:val="00E71FB9"/>
    <w:pPr>
      <w:widowControl w:val="0"/>
      <w:autoSpaceDE w:val="0"/>
      <w:autoSpaceDN w:val="0"/>
      <w:adjustRightInd w:val="0"/>
      <w:jc w:val="both"/>
    </w:pPr>
    <w:rPr>
      <w:rFonts w:ascii="TTE18C80C0t00" w:eastAsia="Times New Roman" w:hAnsi="TTE18C80C0t00" w:cs="TTE18C80C0t00"/>
      <w:color w:val="000000"/>
      <w:sz w:val="24"/>
      <w:szCs w:val="24"/>
    </w:rPr>
  </w:style>
  <w:style w:type="character" w:customStyle="1" w:styleId="Teksttreci">
    <w:name w:val="Tekst treści_"/>
    <w:basedOn w:val="Domylnaczcionkaakapitu"/>
    <w:link w:val="Teksttreci0"/>
    <w:locked/>
    <w:rsid w:val="00E71FB9"/>
    <w:rPr>
      <w:shd w:val="clear" w:color="auto" w:fill="FFFFFF"/>
    </w:rPr>
  </w:style>
  <w:style w:type="paragraph" w:customStyle="1" w:styleId="Teksttreci0">
    <w:name w:val="Tekst treści"/>
    <w:basedOn w:val="Normalny"/>
    <w:link w:val="Teksttreci"/>
    <w:rsid w:val="00E71FB9"/>
    <w:pPr>
      <w:shd w:val="clear" w:color="auto" w:fill="FFFFFF"/>
      <w:overflowPunct/>
      <w:autoSpaceDE/>
      <w:autoSpaceDN/>
      <w:adjustRightInd/>
      <w:spacing w:before="360" w:after="360" w:line="240" w:lineRule="atLeast"/>
      <w:ind w:hanging="700"/>
      <w:jc w:val="left"/>
      <w:textAlignment w:val="auto"/>
    </w:pPr>
    <w:rPr>
      <w:rFonts w:ascii="Calibri" w:eastAsia="Calibri" w:hAnsi="Calibri" w:cs="Calibri"/>
      <w:sz w:val="22"/>
      <w:szCs w:val="22"/>
      <w:shd w:val="clear" w:color="auto" w:fill="FFFFFF"/>
      <w:lang w:eastAsia="en-US"/>
    </w:rPr>
  </w:style>
  <w:style w:type="character" w:customStyle="1" w:styleId="Teksttreci5">
    <w:name w:val="Tekst treści (5)_"/>
    <w:basedOn w:val="Domylnaczcionkaakapitu"/>
    <w:link w:val="Teksttreci50"/>
    <w:locked/>
    <w:rsid w:val="00E71FB9"/>
    <w:rPr>
      <w:sz w:val="18"/>
      <w:szCs w:val="18"/>
      <w:shd w:val="clear" w:color="auto" w:fill="FFFFFF"/>
    </w:rPr>
  </w:style>
  <w:style w:type="paragraph" w:customStyle="1" w:styleId="Teksttreci50">
    <w:name w:val="Tekst treści (5)"/>
    <w:basedOn w:val="Normalny"/>
    <w:link w:val="Teksttreci5"/>
    <w:rsid w:val="00E71FB9"/>
    <w:pPr>
      <w:shd w:val="clear" w:color="auto" w:fill="FFFFFF"/>
      <w:overflowPunct/>
      <w:autoSpaceDE/>
      <w:autoSpaceDN/>
      <w:adjustRightInd/>
      <w:spacing w:line="240" w:lineRule="atLeast"/>
      <w:jc w:val="right"/>
      <w:textAlignment w:val="auto"/>
    </w:pPr>
    <w:rPr>
      <w:rFonts w:ascii="Calibri" w:eastAsia="Calibri" w:hAnsi="Calibri" w:cs="Calibri"/>
      <w:sz w:val="18"/>
      <w:szCs w:val="18"/>
      <w:shd w:val="clear" w:color="auto" w:fill="FFFFFF"/>
      <w:lang w:eastAsia="en-US"/>
    </w:rPr>
  </w:style>
  <w:style w:type="paragraph" w:styleId="Tekstpodstawowywcity3">
    <w:name w:val="Body Text Indent 3"/>
    <w:basedOn w:val="Normalny"/>
    <w:link w:val="Tekstpodstawowywcity3Znak"/>
    <w:rsid w:val="00E71FB9"/>
    <w:pPr>
      <w:spacing w:after="120"/>
      <w:ind w:left="283"/>
    </w:pPr>
    <w:rPr>
      <w:sz w:val="16"/>
      <w:szCs w:val="16"/>
    </w:rPr>
  </w:style>
  <w:style w:type="character" w:customStyle="1" w:styleId="Tekstpodstawowywcity3Znak">
    <w:name w:val="Tekst podstawowy wcięty 3 Znak"/>
    <w:basedOn w:val="Domylnaczcionkaakapitu"/>
    <w:link w:val="Tekstpodstawowywcity3"/>
    <w:locked/>
    <w:rsid w:val="00E71FB9"/>
    <w:rPr>
      <w:rFonts w:ascii="Times New Roman" w:hAnsi="Times New Roman" w:cs="Times New Roman"/>
      <w:sz w:val="16"/>
      <w:szCs w:val="16"/>
      <w:lang w:eastAsia="pl-PL"/>
    </w:rPr>
  </w:style>
  <w:style w:type="paragraph" w:customStyle="1" w:styleId="paragraf">
    <w:name w:val="paragraf"/>
    <w:basedOn w:val="Normalny"/>
    <w:rsid w:val="00E71FB9"/>
    <w:pPr>
      <w:widowControl w:val="0"/>
      <w:overflowPunct/>
      <w:autoSpaceDE/>
      <w:autoSpaceDN/>
      <w:adjustRightInd/>
      <w:ind w:firstLine="339"/>
      <w:textAlignment w:val="auto"/>
    </w:pPr>
    <w:rPr>
      <w:b/>
      <w:bCs/>
      <w:sz w:val="24"/>
      <w:szCs w:val="24"/>
      <w:lang w:val="en-US"/>
    </w:rPr>
  </w:style>
  <w:style w:type="paragraph" w:customStyle="1" w:styleId="wierszzw9p">
    <w:name w:val="wiersz zw_9p"/>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textAlignment w:val="auto"/>
    </w:pPr>
    <w:rPr>
      <w:sz w:val="24"/>
      <w:szCs w:val="24"/>
    </w:rPr>
  </w:style>
  <w:style w:type="paragraph" w:customStyle="1" w:styleId="Tekstpodstawowywcity9">
    <w:name w:val="Tekst podstawowy wcięty 9"/>
    <w:basedOn w:val="Tekstpodstawowywcity"/>
    <w:rsid w:val="00E71FB9"/>
    <w:pPr>
      <w:tabs>
        <w:tab w:val="left" w:pos="0"/>
        <w:tab w:val="left" w:pos="425"/>
        <w:tab w:val="left" w:pos="851"/>
        <w:tab w:val="left" w:pos="1276"/>
        <w:tab w:val="left" w:pos="1700"/>
        <w:tab w:val="left" w:pos="2126"/>
        <w:tab w:val="left" w:pos="2552"/>
        <w:tab w:val="left" w:pos="3402"/>
        <w:tab w:val="left" w:pos="6804"/>
        <w:tab w:val="left" w:pos="7655"/>
        <w:tab w:val="left" w:pos="8505"/>
      </w:tabs>
      <w:overflowPunct/>
      <w:autoSpaceDE/>
      <w:autoSpaceDN/>
      <w:adjustRightInd/>
      <w:spacing w:after="180"/>
      <w:ind w:left="0" w:firstLine="340"/>
      <w:textAlignment w:val="auto"/>
    </w:pPr>
    <w:rPr>
      <w:sz w:val="24"/>
      <w:szCs w:val="24"/>
    </w:rPr>
  </w:style>
  <w:style w:type="paragraph" w:customStyle="1" w:styleId="punkt">
    <w:name w:val="punkt"/>
    <w:basedOn w:val="Normalny"/>
    <w:rsid w:val="00E71FB9"/>
    <w:pPr>
      <w:keepNext/>
      <w:overflowPunct/>
      <w:autoSpaceDE/>
      <w:autoSpaceDN/>
      <w:adjustRightInd/>
      <w:spacing w:line="480" w:lineRule="auto"/>
      <w:textAlignment w:val="auto"/>
    </w:pPr>
    <w:rPr>
      <w:b/>
      <w:bCs/>
      <w:sz w:val="28"/>
      <w:szCs w:val="28"/>
    </w:rPr>
  </w:style>
  <w:style w:type="paragraph" w:customStyle="1" w:styleId="podpodpunkt">
    <w:name w:val="podpodpunkt"/>
    <w:basedOn w:val="Normalny"/>
    <w:rsid w:val="00E71FB9"/>
    <w:pPr>
      <w:keepNext/>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textAlignment w:val="auto"/>
    </w:pPr>
    <w:rPr>
      <w:sz w:val="24"/>
      <w:szCs w:val="24"/>
    </w:rPr>
  </w:style>
  <w:style w:type="paragraph" w:customStyle="1" w:styleId="Paragraf1">
    <w:name w:val="Paragraf1"/>
    <w:basedOn w:val="Normalny"/>
    <w:rsid w:val="00E71FB9"/>
    <w:pPr>
      <w:keepNext/>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before="120" w:after="180"/>
      <w:ind w:firstLine="340"/>
      <w:textAlignment w:val="auto"/>
    </w:pPr>
    <w:rPr>
      <w:sz w:val="24"/>
      <w:szCs w:val="24"/>
    </w:rPr>
  </w:style>
  <w:style w:type="paragraph" w:customStyle="1" w:styleId="Normy">
    <w:name w:val="Normy"/>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ind w:left="2126" w:hanging="2126"/>
      <w:textAlignment w:val="auto"/>
    </w:pPr>
    <w:rPr>
      <w:sz w:val="24"/>
      <w:szCs w:val="24"/>
    </w:rPr>
  </w:style>
  <w:style w:type="paragraph" w:customStyle="1" w:styleId="STytu">
    <w:name w:val="STytuł"/>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jc w:val="center"/>
    </w:pPr>
    <w:rPr>
      <w:b/>
      <w:bCs/>
      <w:sz w:val="36"/>
      <w:szCs w:val="36"/>
    </w:rPr>
  </w:style>
  <w:style w:type="paragraph" w:customStyle="1" w:styleId="Wierszzwp9p">
    <w:name w:val="Wiersz zw_p9p"/>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before="180" w:after="180"/>
      <w:textAlignment w:val="auto"/>
    </w:pPr>
    <w:rPr>
      <w:sz w:val="24"/>
      <w:szCs w:val="24"/>
    </w:rPr>
  </w:style>
  <w:style w:type="character" w:styleId="Odwoaniedokomentarza">
    <w:name w:val="annotation reference"/>
    <w:basedOn w:val="Domylnaczcionkaakapitu"/>
    <w:semiHidden/>
    <w:rsid w:val="00E71FB9"/>
    <w:rPr>
      <w:sz w:val="16"/>
      <w:szCs w:val="16"/>
    </w:rPr>
  </w:style>
  <w:style w:type="paragraph" w:customStyle="1" w:styleId="Normy4">
    <w:name w:val="Normy4"/>
    <w:basedOn w:val="Normalny"/>
    <w:rsid w:val="00E71FB9"/>
    <w:pPr>
      <w:tabs>
        <w:tab w:val="left" w:pos="2268"/>
        <w:tab w:val="left" w:pos="2552"/>
        <w:tab w:val="left" w:pos="3402"/>
        <w:tab w:val="left" w:pos="6804"/>
        <w:tab w:val="left" w:pos="7655"/>
        <w:tab w:val="left" w:pos="8505"/>
      </w:tabs>
      <w:overflowPunct/>
      <w:autoSpaceDE/>
      <w:autoSpaceDN/>
      <w:adjustRightInd/>
      <w:spacing w:after="180"/>
      <w:ind w:left="2268" w:hanging="2268"/>
      <w:textAlignment w:val="auto"/>
    </w:pPr>
    <w:rPr>
      <w:sz w:val="24"/>
      <w:szCs w:val="24"/>
    </w:rPr>
  </w:style>
  <w:style w:type="paragraph" w:customStyle="1" w:styleId="Par1">
    <w:name w:val="Par_1"/>
    <w:basedOn w:val="Normalny"/>
    <w:rsid w:val="00E71FB9"/>
    <w:pPr>
      <w:widowControl w:val="0"/>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ind w:firstLine="340"/>
      <w:textAlignment w:val="auto"/>
    </w:pPr>
    <w:rPr>
      <w:sz w:val="24"/>
      <w:szCs w:val="24"/>
    </w:rPr>
  </w:style>
  <w:style w:type="paragraph" w:customStyle="1" w:styleId="Par9po">
    <w:name w:val="Par_9po"/>
    <w:basedOn w:val="Par1"/>
    <w:rsid w:val="00E71FB9"/>
    <w:pPr>
      <w:keepNext/>
      <w:widowControl/>
      <w:spacing w:after="180"/>
    </w:pPr>
  </w:style>
  <w:style w:type="character" w:customStyle="1" w:styleId="minus">
    <w:name w:val="minus"/>
    <w:rsid w:val="00E71FB9"/>
  </w:style>
  <w:style w:type="paragraph" w:styleId="Tekstpodstawowy2">
    <w:name w:val="Body Text 2"/>
    <w:basedOn w:val="Normalny"/>
    <w:link w:val="Tekstpodstawowy2Znak"/>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20" w:line="480" w:lineRule="auto"/>
      <w:textAlignment w:val="auto"/>
    </w:pPr>
    <w:rPr>
      <w:sz w:val="24"/>
      <w:szCs w:val="24"/>
    </w:rPr>
  </w:style>
  <w:style w:type="character" w:customStyle="1" w:styleId="Tekstpodstawowy2Znak">
    <w:name w:val="Tekst podstawowy 2 Znak"/>
    <w:basedOn w:val="Domylnaczcionkaakapitu"/>
    <w:link w:val="Tekstpodstawowy2"/>
    <w:locked/>
    <w:rsid w:val="00E71FB9"/>
    <w:rPr>
      <w:rFonts w:ascii="Times New Roman" w:hAnsi="Times New Roman" w:cs="Times New Roman"/>
      <w:sz w:val="24"/>
      <w:szCs w:val="24"/>
      <w:lang w:eastAsia="pl-PL"/>
    </w:rPr>
  </w:style>
  <w:style w:type="paragraph" w:customStyle="1" w:styleId="Bullet1points">
    <w:name w:val="Bullet 1 points"/>
    <w:basedOn w:val="Normalny"/>
    <w:rsid w:val="00E71FB9"/>
    <w:pPr>
      <w:numPr>
        <w:numId w:val="26"/>
      </w:numPr>
      <w:overflowPunct/>
      <w:autoSpaceDE/>
      <w:autoSpaceDN/>
      <w:adjustRightInd/>
      <w:spacing w:before="60" w:after="60"/>
      <w:textAlignment w:val="auto"/>
    </w:pPr>
  </w:style>
  <w:style w:type="character" w:customStyle="1" w:styleId="kontynuacja">
    <w:name w:val="kontynuacja"/>
    <w:rsid w:val="00E71FB9"/>
  </w:style>
  <w:style w:type="character" w:customStyle="1" w:styleId="tekstostZnak">
    <w:name w:val="tekst ost Znak"/>
    <w:basedOn w:val="Domylnaczcionkaakapitu"/>
    <w:link w:val="tekstost"/>
    <w:locked/>
    <w:rsid w:val="00E71FB9"/>
    <w:rPr>
      <w:rFonts w:ascii="Times New Roman" w:hAnsi="Times New Roman" w:cs="Times New Roman"/>
      <w:sz w:val="20"/>
      <w:szCs w:val="20"/>
      <w:lang w:eastAsia="pl-PL"/>
    </w:rPr>
  </w:style>
  <w:style w:type="paragraph" w:customStyle="1" w:styleId="WW-Tekstpodstawowywcity3">
    <w:name w:val="WW-Tekst podstawowy wcięty 3"/>
    <w:basedOn w:val="Normalny"/>
    <w:rsid w:val="00482057"/>
    <w:pPr>
      <w:suppressAutoHyphens/>
      <w:overflowPunct/>
      <w:autoSpaceDE/>
      <w:autoSpaceDN/>
      <w:adjustRightInd/>
      <w:ind w:left="360"/>
      <w:textAlignment w:val="auto"/>
    </w:pPr>
    <w:rPr>
      <w:sz w:val="24"/>
      <w:szCs w:val="24"/>
      <w:lang w:eastAsia="ar-SA"/>
    </w:rPr>
  </w:style>
  <w:style w:type="paragraph" w:customStyle="1" w:styleId="Tekstpodstawowy24">
    <w:name w:val="Tekst podstawowy 24"/>
    <w:basedOn w:val="Normalny"/>
    <w:rsid w:val="000979D7"/>
    <w:pPr>
      <w:ind w:left="360"/>
    </w:pPr>
  </w:style>
  <w:style w:type="paragraph" w:customStyle="1" w:styleId="CM7">
    <w:name w:val="CM7"/>
    <w:basedOn w:val="Default"/>
    <w:next w:val="Default"/>
    <w:uiPriority w:val="99"/>
    <w:rsid w:val="00364E4D"/>
    <w:pPr>
      <w:jc w:val="left"/>
    </w:pPr>
    <w:rPr>
      <w:rFonts w:ascii="Times New Roman" w:hAnsi="Times New Roman" w:cs="Times New Roman"/>
      <w:color w:val="auto"/>
    </w:rPr>
  </w:style>
  <w:style w:type="paragraph" w:customStyle="1" w:styleId="CM2">
    <w:name w:val="CM2"/>
    <w:basedOn w:val="Default"/>
    <w:next w:val="Default"/>
    <w:uiPriority w:val="99"/>
    <w:rsid w:val="00364E4D"/>
    <w:pPr>
      <w:spacing w:line="276" w:lineRule="atLeast"/>
      <w:jc w:val="left"/>
    </w:pPr>
    <w:rPr>
      <w:rFonts w:ascii="Times New Roman" w:hAnsi="Times New Roman" w:cs="Times New Roman"/>
      <w:color w:val="auto"/>
    </w:rPr>
  </w:style>
  <w:style w:type="paragraph" w:customStyle="1" w:styleId="CM8">
    <w:name w:val="CM8"/>
    <w:basedOn w:val="Default"/>
    <w:next w:val="Default"/>
    <w:uiPriority w:val="99"/>
    <w:rsid w:val="00364E4D"/>
    <w:pPr>
      <w:jc w:val="left"/>
    </w:pPr>
    <w:rPr>
      <w:rFonts w:ascii="Times New Roman" w:hAnsi="Times New Roman" w:cs="Times New Roman"/>
      <w:color w:val="auto"/>
    </w:rPr>
  </w:style>
  <w:style w:type="paragraph" w:customStyle="1" w:styleId="CM9">
    <w:name w:val="CM9"/>
    <w:basedOn w:val="Default"/>
    <w:next w:val="Default"/>
    <w:uiPriority w:val="99"/>
    <w:rsid w:val="00364E4D"/>
    <w:pPr>
      <w:jc w:val="left"/>
    </w:pPr>
    <w:rPr>
      <w:rFonts w:ascii="Times New Roman" w:hAnsi="Times New Roman" w:cs="Times New Roman"/>
      <w:color w:val="auto"/>
    </w:rPr>
  </w:style>
  <w:style w:type="paragraph" w:customStyle="1" w:styleId="CM10">
    <w:name w:val="CM10"/>
    <w:basedOn w:val="Default"/>
    <w:next w:val="Default"/>
    <w:uiPriority w:val="99"/>
    <w:rsid w:val="00364E4D"/>
    <w:pPr>
      <w:jc w:val="left"/>
    </w:pPr>
    <w:rPr>
      <w:rFonts w:ascii="Times New Roman" w:hAnsi="Times New Roman" w:cs="Times New Roman"/>
      <w:color w:val="auto"/>
    </w:rPr>
  </w:style>
  <w:style w:type="paragraph" w:customStyle="1" w:styleId="CM3">
    <w:name w:val="CM3"/>
    <w:basedOn w:val="Default"/>
    <w:next w:val="Default"/>
    <w:uiPriority w:val="99"/>
    <w:rsid w:val="00364E4D"/>
    <w:pPr>
      <w:spacing w:line="278" w:lineRule="atLeast"/>
      <w:jc w:val="left"/>
    </w:pPr>
    <w:rPr>
      <w:rFonts w:ascii="Times New Roman" w:hAnsi="Times New Roman" w:cs="Times New Roman"/>
      <w:color w:val="auto"/>
    </w:rPr>
  </w:style>
  <w:style w:type="paragraph" w:customStyle="1" w:styleId="CM4">
    <w:name w:val="CM4"/>
    <w:basedOn w:val="Default"/>
    <w:next w:val="Default"/>
    <w:uiPriority w:val="99"/>
    <w:rsid w:val="00364E4D"/>
    <w:pPr>
      <w:spacing w:line="288" w:lineRule="atLeast"/>
      <w:jc w:val="left"/>
    </w:pPr>
    <w:rPr>
      <w:rFonts w:ascii="Times New Roman" w:hAnsi="Times New Roman" w:cs="Times New Roman"/>
      <w:color w:val="auto"/>
    </w:rPr>
  </w:style>
  <w:style w:type="character" w:customStyle="1" w:styleId="Teksttreci9pt">
    <w:name w:val="Tekst treści + 9 pt"/>
    <w:aliases w:val="Odstępy 0 pt"/>
    <w:basedOn w:val="Teksttreci"/>
    <w:uiPriority w:val="99"/>
    <w:rsid w:val="00EA48D9"/>
    <w:rPr>
      <w:rFonts w:ascii="Times New Roman" w:hAnsi="Times New Roman" w:cs="Times New Roman"/>
      <w:color w:val="000000"/>
      <w:w w:val="100"/>
      <w:position w:val="0"/>
      <w:sz w:val="18"/>
      <w:szCs w:val="18"/>
      <w:shd w:val="clear" w:color="auto" w:fill="FFFFFF"/>
      <w:lang w:val="pl-PL"/>
    </w:rPr>
  </w:style>
  <w:style w:type="paragraph" w:customStyle="1" w:styleId="podpkt11">
    <w:name w:val="pod_pkt1.1"/>
    <w:basedOn w:val="Normalny"/>
    <w:autoRedefine/>
    <w:rsid w:val="0044554B"/>
    <w:pPr>
      <w:keepNext/>
      <w:widowControl w:val="0"/>
    </w:pPr>
    <w:rPr>
      <w:b/>
      <w:bCs/>
      <w:sz w:val="24"/>
      <w:szCs w:val="24"/>
    </w:rPr>
  </w:style>
  <w:style w:type="paragraph" w:customStyle="1" w:styleId="Zwykytekst1">
    <w:name w:val="Zwykły tekst1"/>
    <w:basedOn w:val="Normalny"/>
    <w:rsid w:val="009B0E16"/>
    <w:pPr>
      <w:widowControl w:val="0"/>
      <w:jc w:val="left"/>
    </w:pPr>
    <w:rPr>
      <w:rFonts w:ascii="Courier New" w:hAnsi="Courier New" w:cs="Courier New"/>
    </w:rPr>
  </w:style>
  <w:style w:type="paragraph" w:styleId="Tekstkomentarza">
    <w:name w:val="annotation text"/>
    <w:basedOn w:val="Normalny"/>
    <w:link w:val="TekstkomentarzaZnak"/>
    <w:semiHidden/>
    <w:rsid w:val="00CC254B"/>
  </w:style>
  <w:style w:type="character" w:customStyle="1" w:styleId="TekstkomentarzaZnak">
    <w:name w:val="Tekst komentarza Znak"/>
    <w:basedOn w:val="Domylnaczcionkaakapitu"/>
    <w:link w:val="Tekstkomentarza"/>
    <w:semiHidden/>
    <w:locked/>
    <w:rsid w:val="00CC254B"/>
    <w:rPr>
      <w:rFonts w:ascii="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rsid w:val="00CC254B"/>
    <w:rPr>
      <w:b/>
      <w:bCs/>
    </w:rPr>
  </w:style>
  <w:style w:type="character" w:customStyle="1" w:styleId="TematkomentarzaZnak">
    <w:name w:val="Temat komentarza Znak"/>
    <w:basedOn w:val="TekstkomentarzaZnak"/>
    <w:link w:val="Tematkomentarza"/>
    <w:semiHidden/>
    <w:locked/>
    <w:rsid w:val="00CC254B"/>
    <w:rPr>
      <w:rFonts w:ascii="Times New Roman" w:hAnsi="Times New Roman" w:cs="Times New Roman"/>
      <w:b/>
      <w:bCs/>
      <w:sz w:val="20"/>
      <w:szCs w:val="20"/>
      <w:lang w:eastAsia="pl-PL"/>
    </w:rPr>
  </w:style>
  <w:style w:type="paragraph" w:styleId="Zwykytekst">
    <w:name w:val="Plain Text"/>
    <w:basedOn w:val="Normalny"/>
    <w:link w:val="ZwykytekstZnak"/>
    <w:unhideWhenUsed/>
    <w:locked/>
    <w:rsid w:val="00CC585C"/>
    <w:pPr>
      <w:overflowPunct/>
      <w:autoSpaceDE/>
      <w:autoSpaceDN/>
      <w:adjustRightInd/>
      <w:jc w:val="left"/>
      <w:textAlignment w:val="auto"/>
    </w:pPr>
    <w:rPr>
      <w:rFonts w:ascii="Courier New" w:hAnsi="Courier New"/>
    </w:rPr>
  </w:style>
  <w:style w:type="character" w:customStyle="1" w:styleId="ZwykytekstZnak">
    <w:name w:val="Zwykły tekst Znak"/>
    <w:basedOn w:val="Domylnaczcionkaakapitu"/>
    <w:link w:val="Zwykytekst"/>
    <w:rsid w:val="00CC585C"/>
    <w:rPr>
      <w:rFonts w:ascii="Courier New" w:eastAsia="Times New Roman" w:hAnsi="Courier New"/>
      <w:sz w:val="20"/>
      <w:szCs w:val="20"/>
    </w:rPr>
  </w:style>
  <w:style w:type="paragraph" w:customStyle="1" w:styleId="Nagwek21">
    <w:name w:val="Nagłówek 21"/>
    <w:basedOn w:val="Default"/>
    <w:next w:val="Default"/>
    <w:uiPriority w:val="99"/>
    <w:rsid w:val="00961894"/>
    <w:pPr>
      <w:jc w:val="left"/>
    </w:pPr>
    <w:rPr>
      <w:rFonts w:ascii="Times New Roman" w:eastAsiaTheme="minorEastAsia" w:hAnsi="Times New Roman" w:cs="Times New Roman"/>
      <w:color w:val="auto"/>
    </w:rPr>
  </w:style>
  <w:style w:type="paragraph" w:customStyle="1" w:styleId="Nagwek11">
    <w:name w:val="Nagłówek 11"/>
    <w:basedOn w:val="Default"/>
    <w:next w:val="Default"/>
    <w:uiPriority w:val="99"/>
    <w:rsid w:val="00961894"/>
    <w:pPr>
      <w:jc w:val="left"/>
    </w:pPr>
    <w:rPr>
      <w:rFonts w:ascii="Times New Roman" w:eastAsiaTheme="minorEastAsia" w:hAnsi="Times New Roman" w:cs="Times New Roman"/>
      <w:color w:val="auto"/>
    </w:rPr>
  </w:style>
  <w:style w:type="paragraph" w:customStyle="1" w:styleId="Tekstprzypisudolnego1">
    <w:name w:val="Tekst przypisu dolnego1"/>
    <w:basedOn w:val="Default"/>
    <w:next w:val="Default"/>
    <w:uiPriority w:val="99"/>
    <w:rsid w:val="00961894"/>
    <w:pPr>
      <w:jc w:val="left"/>
    </w:pPr>
    <w:rPr>
      <w:rFonts w:ascii="Times New Roman" w:eastAsiaTheme="minorEastAsia" w:hAnsi="Times New Roman" w:cs="Times New Roman"/>
      <w:color w:val="auto"/>
    </w:rPr>
  </w:style>
  <w:style w:type="paragraph" w:customStyle="1" w:styleId="BodyText21">
    <w:name w:val="Body Text 21"/>
    <w:basedOn w:val="Default"/>
    <w:next w:val="Default"/>
    <w:uiPriority w:val="99"/>
    <w:rsid w:val="00961894"/>
    <w:pPr>
      <w:jc w:val="left"/>
    </w:pPr>
    <w:rPr>
      <w:rFonts w:ascii="Times New Roman" w:eastAsiaTheme="minorEastAsia" w:hAnsi="Times New Roman" w:cs="Times New Roman"/>
      <w:color w:val="auto"/>
    </w:rPr>
  </w:style>
  <w:style w:type="paragraph" w:customStyle="1" w:styleId="Stopka1">
    <w:name w:val="Stopka1"/>
    <w:basedOn w:val="Default"/>
    <w:next w:val="Default"/>
    <w:uiPriority w:val="99"/>
    <w:rsid w:val="00961894"/>
    <w:pPr>
      <w:jc w:val="left"/>
    </w:pPr>
    <w:rPr>
      <w:rFonts w:ascii="Times New Roman" w:eastAsiaTheme="minorEastAsia" w:hAnsi="Times New Roman" w:cs="Times New Roman"/>
      <w:color w:val="auto"/>
    </w:rPr>
  </w:style>
  <w:style w:type="paragraph" w:customStyle="1" w:styleId="Nagwek10">
    <w:name w:val="Nagłówek1"/>
    <w:basedOn w:val="Default"/>
    <w:next w:val="Default"/>
    <w:rsid w:val="00961894"/>
    <w:pPr>
      <w:jc w:val="left"/>
    </w:pPr>
    <w:rPr>
      <w:rFonts w:ascii="Times New Roman" w:eastAsiaTheme="minorEastAsia" w:hAnsi="Times New Roman" w:cs="Times New Roman"/>
      <w:color w:val="auto"/>
    </w:rPr>
  </w:style>
  <w:style w:type="character" w:styleId="Tekstzastpczy">
    <w:name w:val="Placeholder Text"/>
    <w:basedOn w:val="Domylnaczcionkaakapitu"/>
    <w:uiPriority w:val="99"/>
    <w:semiHidden/>
    <w:rsid w:val="00961894"/>
    <w:rPr>
      <w:color w:val="808080"/>
    </w:rPr>
  </w:style>
  <w:style w:type="paragraph" w:customStyle="1" w:styleId="Tekstpodstawowy25">
    <w:name w:val="Tekst podstawowy 25"/>
    <w:basedOn w:val="Normalny"/>
    <w:rsid w:val="004F5BEB"/>
    <w:pPr>
      <w:ind w:left="360"/>
    </w:pPr>
  </w:style>
  <w:style w:type="paragraph" w:styleId="Tekstprzypisukocowego">
    <w:name w:val="endnote text"/>
    <w:basedOn w:val="Normalny"/>
    <w:link w:val="TekstprzypisukocowegoZnak"/>
    <w:semiHidden/>
    <w:unhideWhenUsed/>
    <w:locked/>
    <w:rsid w:val="002412CC"/>
    <w:pPr>
      <w:suppressAutoHyphens/>
      <w:autoSpaceDN/>
      <w:adjustRightInd/>
      <w:jc w:val="left"/>
      <w:textAlignment w:val="auto"/>
    </w:pPr>
    <w:rPr>
      <w:lang w:eastAsia="ar-SA"/>
    </w:rPr>
  </w:style>
  <w:style w:type="character" w:customStyle="1" w:styleId="TekstprzypisukocowegoZnak">
    <w:name w:val="Tekst przypisu końcowego Znak"/>
    <w:basedOn w:val="Domylnaczcionkaakapitu"/>
    <w:link w:val="Tekstprzypisukocowego"/>
    <w:semiHidden/>
    <w:rsid w:val="002412CC"/>
    <w:rPr>
      <w:rFonts w:ascii="Times New Roman" w:eastAsia="Times New Roman" w:hAnsi="Times New Roman"/>
      <w:sz w:val="20"/>
      <w:szCs w:val="20"/>
      <w:lang w:eastAsia="ar-SA"/>
    </w:rPr>
  </w:style>
  <w:style w:type="paragraph" w:styleId="Tekstpodstawowy3">
    <w:name w:val="Body Text 3"/>
    <w:basedOn w:val="Normalny"/>
    <w:link w:val="Tekstpodstawowy3Znak"/>
    <w:semiHidden/>
    <w:unhideWhenUsed/>
    <w:locked/>
    <w:rsid w:val="002412CC"/>
    <w:pPr>
      <w:spacing w:after="120"/>
      <w:textAlignment w:val="auto"/>
    </w:pPr>
    <w:rPr>
      <w:sz w:val="16"/>
      <w:szCs w:val="16"/>
    </w:rPr>
  </w:style>
  <w:style w:type="character" w:customStyle="1" w:styleId="Tekstpodstawowy3Znak">
    <w:name w:val="Tekst podstawowy 3 Znak"/>
    <w:basedOn w:val="Domylnaczcionkaakapitu"/>
    <w:link w:val="Tekstpodstawowy3"/>
    <w:semiHidden/>
    <w:rsid w:val="002412CC"/>
    <w:rPr>
      <w:rFonts w:ascii="Times New Roman" w:eastAsia="Times New Roman" w:hAnsi="Times New Roman"/>
      <w:sz w:val="16"/>
      <w:szCs w:val="16"/>
    </w:rPr>
  </w:style>
  <w:style w:type="paragraph" w:styleId="Nagwekspisutreci">
    <w:name w:val="TOC Heading"/>
    <w:basedOn w:val="Nagwek1"/>
    <w:next w:val="Normalny"/>
    <w:uiPriority w:val="39"/>
    <w:semiHidden/>
    <w:unhideWhenUsed/>
    <w:qFormat/>
    <w:rsid w:val="002412CC"/>
    <w:pPr>
      <w:suppressAutoHyphens w:val="0"/>
      <w:overflowPunct/>
      <w:autoSpaceDE/>
      <w:autoSpaceDN/>
      <w:adjustRightInd/>
      <w:spacing w:before="480" w:after="0" w:line="276" w:lineRule="auto"/>
      <w:jc w:val="left"/>
      <w:textAlignment w:val="auto"/>
      <w:outlineLvl w:val="9"/>
    </w:pPr>
    <w:rPr>
      <w:rFonts w:asciiTheme="majorHAnsi" w:eastAsiaTheme="majorEastAsia" w:hAnsiTheme="majorHAnsi" w:cstheme="majorBidi"/>
      <w:caps w:val="0"/>
      <w:color w:val="365F91" w:themeColor="accent1" w:themeShade="BF"/>
      <w:kern w:val="0"/>
      <w:lang w:eastAsia="en-US"/>
    </w:rPr>
  </w:style>
  <w:style w:type="paragraph" w:customStyle="1" w:styleId="C289308D74E2492DA70DEFAE9D5EDFC8">
    <w:name w:val="C289308D74E2492DA70DEFAE9D5EDFC8"/>
    <w:rsid w:val="002412CC"/>
    <w:pPr>
      <w:spacing w:after="200" w:line="276" w:lineRule="auto"/>
    </w:pPr>
    <w:rPr>
      <w:rFonts w:asciiTheme="minorHAnsi" w:eastAsiaTheme="minorEastAsia" w:hAnsiTheme="minorHAnsi" w:cstheme="minorBidi"/>
    </w:rPr>
  </w:style>
  <w:style w:type="paragraph" w:customStyle="1" w:styleId="podpkta">
    <w:name w:val="pod_pkt_a"/>
    <w:basedOn w:val="Normalny"/>
    <w:rsid w:val="002412CC"/>
    <w:pPr>
      <w:keepNext/>
      <w:overflowPunct/>
      <w:autoSpaceDE/>
      <w:autoSpaceDN/>
      <w:adjustRightInd/>
      <w:ind w:left="426" w:hanging="425"/>
      <w:textAlignment w:val="auto"/>
    </w:pPr>
    <w:rPr>
      <w:sz w:val="22"/>
    </w:rPr>
  </w:style>
  <w:style w:type="paragraph" w:customStyle="1" w:styleId="Style4">
    <w:name w:val="Style4"/>
    <w:basedOn w:val="Normalny"/>
    <w:uiPriority w:val="99"/>
    <w:rsid w:val="002412CC"/>
    <w:pPr>
      <w:widowControl w:val="0"/>
      <w:overflowPunct/>
      <w:jc w:val="left"/>
      <w:textAlignment w:val="auto"/>
    </w:pPr>
    <w:rPr>
      <w:rFonts w:eastAsiaTheme="minorEastAsia"/>
      <w:sz w:val="24"/>
      <w:szCs w:val="24"/>
    </w:rPr>
  </w:style>
  <w:style w:type="paragraph" w:customStyle="1" w:styleId="Style6">
    <w:name w:val="Style6"/>
    <w:basedOn w:val="Normalny"/>
    <w:uiPriority w:val="99"/>
    <w:rsid w:val="002412CC"/>
    <w:pPr>
      <w:widowControl w:val="0"/>
      <w:overflowPunct/>
      <w:spacing w:line="283" w:lineRule="exact"/>
      <w:ind w:firstLine="418"/>
      <w:textAlignment w:val="auto"/>
    </w:pPr>
    <w:rPr>
      <w:rFonts w:eastAsiaTheme="minorEastAsia"/>
      <w:sz w:val="24"/>
      <w:szCs w:val="24"/>
    </w:rPr>
  </w:style>
  <w:style w:type="paragraph" w:customStyle="1" w:styleId="Style7">
    <w:name w:val="Style7"/>
    <w:basedOn w:val="Normalny"/>
    <w:uiPriority w:val="99"/>
    <w:rsid w:val="002412CC"/>
    <w:pPr>
      <w:widowControl w:val="0"/>
      <w:overflowPunct/>
      <w:jc w:val="left"/>
      <w:textAlignment w:val="auto"/>
    </w:pPr>
    <w:rPr>
      <w:rFonts w:eastAsiaTheme="minorEastAsia"/>
      <w:sz w:val="24"/>
      <w:szCs w:val="24"/>
    </w:rPr>
  </w:style>
  <w:style w:type="paragraph" w:customStyle="1" w:styleId="Style8">
    <w:name w:val="Style8"/>
    <w:basedOn w:val="Normalny"/>
    <w:uiPriority w:val="99"/>
    <w:rsid w:val="002412CC"/>
    <w:pPr>
      <w:widowControl w:val="0"/>
      <w:overflowPunct/>
      <w:spacing w:line="283" w:lineRule="exact"/>
      <w:textAlignment w:val="auto"/>
    </w:pPr>
    <w:rPr>
      <w:rFonts w:eastAsiaTheme="minorEastAsia"/>
      <w:sz w:val="24"/>
      <w:szCs w:val="24"/>
    </w:rPr>
  </w:style>
  <w:style w:type="paragraph" w:customStyle="1" w:styleId="Style9">
    <w:name w:val="Style9"/>
    <w:basedOn w:val="Normalny"/>
    <w:uiPriority w:val="99"/>
    <w:rsid w:val="002412CC"/>
    <w:pPr>
      <w:widowControl w:val="0"/>
      <w:overflowPunct/>
      <w:spacing w:line="283" w:lineRule="exact"/>
      <w:ind w:firstLine="341"/>
      <w:textAlignment w:val="auto"/>
    </w:pPr>
    <w:rPr>
      <w:rFonts w:eastAsiaTheme="minorEastAsia"/>
      <w:sz w:val="24"/>
      <w:szCs w:val="24"/>
    </w:rPr>
  </w:style>
  <w:style w:type="paragraph" w:customStyle="1" w:styleId="Style10">
    <w:name w:val="Style10"/>
    <w:basedOn w:val="Normalny"/>
    <w:uiPriority w:val="99"/>
    <w:rsid w:val="002412CC"/>
    <w:pPr>
      <w:widowControl w:val="0"/>
      <w:overflowPunct/>
      <w:spacing w:line="278" w:lineRule="exact"/>
      <w:ind w:hanging="432"/>
      <w:jc w:val="left"/>
      <w:textAlignment w:val="auto"/>
    </w:pPr>
    <w:rPr>
      <w:rFonts w:eastAsiaTheme="minorEastAsia"/>
      <w:sz w:val="24"/>
      <w:szCs w:val="24"/>
    </w:rPr>
  </w:style>
  <w:style w:type="paragraph" w:customStyle="1" w:styleId="Style11">
    <w:name w:val="Style11"/>
    <w:basedOn w:val="Normalny"/>
    <w:uiPriority w:val="99"/>
    <w:rsid w:val="002412CC"/>
    <w:pPr>
      <w:widowControl w:val="0"/>
      <w:overflowPunct/>
      <w:jc w:val="left"/>
      <w:textAlignment w:val="auto"/>
    </w:pPr>
    <w:rPr>
      <w:rFonts w:eastAsiaTheme="minorEastAsia"/>
      <w:sz w:val="24"/>
      <w:szCs w:val="24"/>
    </w:rPr>
  </w:style>
  <w:style w:type="paragraph" w:customStyle="1" w:styleId="Style17">
    <w:name w:val="Style17"/>
    <w:basedOn w:val="Normalny"/>
    <w:uiPriority w:val="99"/>
    <w:rsid w:val="002412CC"/>
    <w:pPr>
      <w:widowControl w:val="0"/>
      <w:overflowPunct/>
      <w:textAlignment w:val="auto"/>
    </w:pPr>
    <w:rPr>
      <w:rFonts w:eastAsiaTheme="minorEastAsia"/>
      <w:sz w:val="24"/>
      <w:szCs w:val="24"/>
    </w:rPr>
  </w:style>
  <w:style w:type="paragraph" w:customStyle="1" w:styleId="Style19">
    <w:name w:val="Style19"/>
    <w:basedOn w:val="Normalny"/>
    <w:uiPriority w:val="99"/>
    <w:rsid w:val="002412CC"/>
    <w:pPr>
      <w:widowControl w:val="0"/>
      <w:overflowPunct/>
      <w:spacing w:line="235" w:lineRule="exact"/>
      <w:ind w:firstLine="110"/>
      <w:jc w:val="left"/>
      <w:textAlignment w:val="auto"/>
    </w:pPr>
    <w:rPr>
      <w:rFonts w:eastAsiaTheme="minorEastAsia"/>
      <w:sz w:val="24"/>
      <w:szCs w:val="24"/>
    </w:rPr>
  </w:style>
  <w:style w:type="paragraph" w:customStyle="1" w:styleId="Style20">
    <w:name w:val="Style20"/>
    <w:basedOn w:val="Normalny"/>
    <w:uiPriority w:val="99"/>
    <w:rsid w:val="002412CC"/>
    <w:pPr>
      <w:widowControl w:val="0"/>
      <w:overflowPunct/>
      <w:jc w:val="left"/>
      <w:textAlignment w:val="auto"/>
    </w:pPr>
    <w:rPr>
      <w:rFonts w:eastAsiaTheme="minorEastAsia"/>
      <w:sz w:val="24"/>
      <w:szCs w:val="24"/>
    </w:rPr>
  </w:style>
  <w:style w:type="paragraph" w:customStyle="1" w:styleId="Style21">
    <w:name w:val="Style21"/>
    <w:basedOn w:val="Normalny"/>
    <w:uiPriority w:val="99"/>
    <w:rsid w:val="002412CC"/>
    <w:pPr>
      <w:widowControl w:val="0"/>
      <w:overflowPunct/>
      <w:jc w:val="left"/>
      <w:textAlignment w:val="auto"/>
    </w:pPr>
    <w:rPr>
      <w:rFonts w:eastAsiaTheme="minorEastAsia"/>
      <w:sz w:val="24"/>
      <w:szCs w:val="24"/>
    </w:rPr>
  </w:style>
  <w:style w:type="paragraph" w:customStyle="1" w:styleId="Style23">
    <w:name w:val="Style23"/>
    <w:basedOn w:val="Normalny"/>
    <w:uiPriority w:val="99"/>
    <w:rsid w:val="002412CC"/>
    <w:pPr>
      <w:widowControl w:val="0"/>
      <w:overflowPunct/>
      <w:spacing w:line="235" w:lineRule="exact"/>
      <w:jc w:val="center"/>
      <w:textAlignment w:val="auto"/>
    </w:pPr>
    <w:rPr>
      <w:rFonts w:eastAsiaTheme="minorEastAsia"/>
      <w:sz w:val="24"/>
      <w:szCs w:val="24"/>
    </w:rPr>
  </w:style>
  <w:style w:type="paragraph" w:customStyle="1" w:styleId="Style24">
    <w:name w:val="Style24"/>
    <w:basedOn w:val="Normalny"/>
    <w:uiPriority w:val="99"/>
    <w:rsid w:val="002412CC"/>
    <w:pPr>
      <w:widowControl w:val="0"/>
      <w:overflowPunct/>
      <w:jc w:val="left"/>
      <w:textAlignment w:val="auto"/>
    </w:pPr>
    <w:rPr>
      <w:rFonts w:eastAsiaTheme="minorEastAsia"/>
      <w:sz w:val="24"/>
      <w:szCs w:val="24"/>
    </w:rPr>
  </w:style>
  <w:style w:type="paragraph" w:customStyle="1" w:styleId="Style26">
    <w:name w:val="Style26"/>
    <w:basedOn w:val="Normalny"/>
    <w:uiPriority w:val="99"/>
    <w:rsid w:val="002412CC"/>
    <w:pPr>
      <w:widowControl w:val="0"/>
      <w:overflowPunct/>
      <w:jc w:val="left"/>
      <w:textAlignment w:val="auto"/>
    </w:pPr>
    <w:rPr>
      <w:rFonts w:eastAsiaTheme="minorEastAsia"/>
      <w:sz w:val="24"/>
      <w:szCs w:val="24"/>
    </w:rPr>
  </w:style>
  <w:style w:type="paragraph" w:customStyle="1" w:styleId="Style15">
    <w:name w:val="Style15"/>
    <w:basedOn w:val="Normalny"/>
    <w:uiPriority w:val="99"/>
    <w:rsid w:val="002412CC"/>
    <w:pPr>
      <w:widowControl w:val="0"/>
      <w:overflowPunct/>
      <w:spacing w:line="408" w:lineRule="exact"/>
      <w:ind w:firstLine="422"/>
      <w:jc w:val="left"/>
      <w:textAlignment w:val="auto"/>
    </w:pPr>
    <w:rPr>
      <w:rFonts w:eastAsiaTheme="minorEastAsia"/>
      <w:sz w:val="24"/>
      <w:szCs w:val="24"/>
    </w:rPr>
  </w:style>
  <w:style w:type="paragraph" w:customStyle="1" w:styleId="Style25">
    <w:name w:val="Style25"/>
    <w:basedOn w:val="Normalny"/>
    <w:uiPriority w:val="99"/>
    <w:rsid w:val="002412CC"/>
    <w:pPr>
      <w:widowControl w:val="0"/>
      <w:overflowPunct/>
      <w:textAlignment w:val="auto"/>
    </w:pPr>
    <w:rPr>
      <w:rFonts w:eastAsiaTheme="minorEastAsia"/>
      <w:sz w:val="24"/>
      <w:szCs w:val="24"/>
    </w:rPr>
  </w:style>
  <w:style w:type="paragraph" w:customStyle="1" w:styleId="Style13">
    <w:name w:val="Style13"/>
    <w:basedOn w:val="Normalny"/>
    <w:uiPriority w:val="99"/>
    <w:rsid w:val="002412CC"/>
    <w:pPr>
      <w:widowControl w:val="0"/>
      <w:overflowPunct/>
      <w:spacing w:line="230" w:lineRule="exact"/>
      <w:jc w:val="left"/>
      <w:textAlignment w:val="auto"/>
    </w:pPr>
    <w:rPr>
      <w:rFonts w:eastAsiaTheme="minorEastAsia"/>
      <w:sz w:val="24"/>
      <w:szCs w:val="24"/>
    </w:rPr>
  </w:style>
  <w:style w:type="paragraph" w:customStyle="1" w:styleId="Style22">
    <w:name w:val="Style22"/>
    <w:basedOn w:val="Normalny"/>
    <w:uiPriority w:val="99"/>
    <w:rsid w:val="002412CC"/>
    <w:pPr>
      <w:widowControl w:val="0"/>
      <w:overflowPunct/>
      <w:spacing w:line="230" w:lineRule="exact"/>
      <w:ind w:hanging="178"/>
      <w:jc w:val="left"/>
      <w:textAlignment w:val="auto"/>
    </w:pPr>
    <w:rPr>
      <w:rFonts w:eastAsiaTheme="minorEastAsia"/>
      <w:sz w:val="24"/>
      <w:szCs w:val="24"/>
    </w:rPr>
  </w:style>
  <w:style w:type="paragraph" w:customStyle="1" w:styleId="Style28">
    <w:name w:val="Style28"/>
    <w:basedOn w:val="Normalny"/>
    <w:uiPriority w:val="99"/>
    <w:rsid w:val="002412CC"/>
    <w:pPr>
      <w:widowControl w:val="0"/>
      <w:overflowPunct/>
      <w:spacing w:line="230" w:lineRule="exact"/>
      <w:textAlignment w:val="auto"/>
    </w:pPr>
    <w:rPr>
      <w:rFonts w:eastAsiaTheme="minorEastAsia"/>
      <w:sz w:val="24"/>
      <w:szCs w:val="24"/>
    </w:rPr>
  </w:style>
  <w:style w:type="paragraph" w:customStyle="1" w:styleId="Style30">
    <w:name w:val="Style30"/>
    <w:basedOn w:val="Normalny"/>
    <w:uiPriority w:val="99"/>
    <w:rsid w:val="002412CC"/>
    <w:pPr>
      <w:widowControl w:val="0"/>
      <w:overflowPunct/>
      <w:spacing w:line="240" w:lineRule="exact"/>
      <w:jc w:val="center"/>
      <w:textAlignment w:val="auto"/>
    </w:pPr>
    <w:rPr>
      <w:rFonts w:eastAsiaTheme="minorEastAsia"/>
      <w:sz w:val="24"/>
      <w:szCs w:val="24"/>
    </w:rPr>
  </w:style>
  <w:style w:type="paragraph" w:customStyle="1" w:styleId="Style36">
    <w:name w:val="Style36"/>
    <w:basedOn w:val="Normalny"/>
    <w:uiPriority w:val="99"/>
    <w:rsid w:val="002412CC"/>
    <w:pPr>
      <w:widowControl w:val="0"/>
      <w:overflowPunct/>
      <w:jc w:val="left"/>
      <w:textAlignment w:val="auto"/>
    </w:pPr>
    <w:rPr>
      <w:rFonts w:eastAsiaTheme="minorEastAsia"/>
      <w:sz w:val="24"/>
      <w:szCs w:val="24"/>
    </w:rPr>
  </w:style>
  <w:style w:type="paragraph" w:customStyle="1" w:styleId="Style39">
    <w:name w:val="Style39"/>
    <w:basedOn w:val="Normalny"/>
    <w:uiPriority w:val="99"/>
    <w:rsid w:val="002412CC"/>
    <w:pPr>
      <w:widowControl w:val="0"/>
      <w:overflowPunct/>
      <w:jc w:val="left"/>
      <w:textAlignment w:val="auto"/>
    </w:pPr>
    <w:rPr>
      <w:rFonts w:eastAsiaTheme="minorEastAsia"/>
      <w:sz w:val="24"/>
      <w:szCs w:val="24"/>
    </w:rPr>
  </w:style>
  <w:style w:type="paragraph" w:customStyle="1" w:styleId="Style32">
    <w:name w:val="Style32"/>
    <w:basedOn w:val="Normalny"/>
    <w:uiPriority w:val="99"/>
    <w:rsid w:val="002412CC"/>
    <w:pPr>
      <w:widowControl w:val="0"/>
      <w:overflowPunct/>
      <w:jc w:val="left"/>
      <w:textAlignment w:val="auto"/>
    </w:pPr>
    <w:rPr>
      <w:rFonts w:eastAsiaTheme="minorEastAsia"/>
      <w:sz w:val="24"/>
      <w:szCs w:val="24"/>
    </w:rPr>
  </w:style>
  <w:style w:type="paragraph" w:customStyle="1" w:styleId="Style33">
    <w:name w:val="Style33"/>
    <w:basedOn w:val="Normalny"/>
    <w:uiPriority w:val="99"/>
    <w:rsid w:val="002412CC"/>
    <w:pPr>
      <w:widowControl w:val="0"/>
      <w:overflowPunct/>
      <w:spacing w:line="211" w:lineRule="exact"/>
      <w:jc w:val="left"/>
      <w:textAlignment w:val="auto"/>
    </w:pPr>
    <w:rPr>
      <w:rFonts w:eastAsiaTheme="minorEastAsia"/>
      <w:sz w:val="24"/>
      <w:szCs w:val="24"/>
    </w:rPr>
  </w:style>
  <w:style w:type="paragraph" w:customStyle="1" w:styleId="Style35">
    <w:name w:val="Style35"/>
    <w:basedOn w:val="Normalny"/>
    <w:uiPriority w:val="99"/>
    <w:rsid w:val="002412CC"/>
    <w:pPr>
      <w:widowControl w:val="0"/>
      <w:overflowPunct/>
      <w:jc w:val="left"/>
      <w:textAlignment w:val="auto"/>
    </w:pPr>
    <w:rPr>
      <w:rFonts w:eastAsiaTheme="minorEastAsia"/>
      <w:sz w:val="24"/>
      <w:szCs w:val="24"/>
    </w:rPr>
  </w:style>
  <w:style w:type="paragraph" w:customStyle="1" w:styleId="Style38">
    <w:name w:val="Style38"/>
    <w:basedOn w:val="Normalny"/>
    <w:uiPriority w:val="99"/>
    <w:rsid w:val="002412CC"/>
    <w:pPr>
      <w:widowControl w:val="0"/>
      <w:overflowPunct/>
      <w:jc w:val="left"/>
      <w:textAlignment w:val="auto"/>
    </w:pPr>
    <w:rPr>
      <w:rFonts w:eastAsiaTheme="minorEastAsia"/>
      <w:sz w:val="24"/>
      <w:szCs w:val="24"/>
    </w:rPr>
  </w:style>
  <w:style w:type="paragraph" w:customStyle="1" w:styleId="Style42">
    <w:name w:val="Style42"/>
    <w:basedOn w:val="Normalny"/>
    <w:uiPriority w:val="99"/>
    <w:rsid w:val="002412CC"/>
    <w:pPr>
      <w:widowControl w:val="0"/>
      <w:overflowPunct/>
      <w:jc w:val="center"/>
      <w:textAlignment w:val="auto"/>
    </w:pPr>
    <w:rPr>
      <w:rFonts w:eastAsiaTheme="minorEastAsia"/>
      <w:sz w:val="24"/>
      <w:szCs w:val="24"/>
    </w:rPr>
  </w:style>
  <w:style w:type="paragraph" w:customStyle="1" w:styleId="Style49">
    <w:name w:val="Style49"/>
    <w:basedOn w:val="Normalny"/>
    <w:uiPriority w:val="99"/>
    <w:rsid w:val="002412CC"/>
    <w:pPr>
      <w:widowControl w:val="0"/>
      <w:overflowPunct/>
      <w:spacing w:line="235" w:lineRule="exact"/>
      <w:ind w:hanging="1070"/>
      <w:jc w:val="left"/>
      <w:textAlignment w:val="auto"/>
    </w:pPr>
    <w:rPr>
      <w:rFonts w:eastAsiaTheme="minorEastAsia"/>
      <w:sz w:val="24"/>
      <w:szCs w:val="24"/>
    </w:rPr>
  </w:style>
  <w:style w:type="paragraph" w:customStyle="1" w:styleId="Style47">
    <w:name w:val="Style47"/>
    <w:basedOn w:val="Normalny"/>
    <w:uiPriority w:val="99"/>
    <w:rsid w:val="002412CC"/>
    <w:pPr>
      <w:widowControl w:val="0"/>
      <w:overflowPunct/>
      <w:jc w:val="left"/>
      <w:textAlignment w:val="auto"/>
    </w:pPr>
    <w:rPr>
      <w:rFonts w:eastAsiaTheme="minorEastAsia"/>
      <w:sz w:val="24"/>
      <w:szCs w:val="24"/>
    </w:rPr>
  </w:style>
  <w:style w:type="paragraph" w:customStyle="1" w:styleId="Style51">
    <w:name w:val="Style51"/>
    <w:basedOn w:val="Normalny"/>
    <w:uiPriority w:val="99"/>
    <w:rsid w:val="002412CC"/>
    <w:pPr>
      <w:widowControl w:val="0"/>
      <w:overflowPunct/>
      <w:spacing w:line="283" w:lineRule="exact"/>
      <w:textAlignment w:val="auto"/>
    </w:pPr>
    <w:rPr>
      <w:rFonts w:eastAsiaTheme="minorEastAsia"/>
      <w:sz w:val="24"/>
      <w:szCs w:val="24"/>
    </w:rPr>
  </w:style>
  <w:style w:type="paragraph" w:customStyle="1" w:styleId="Style53">
    <w:name w:val="Style53"/>
    <w:basedOn w:val="Normalny"/>
    <w:uiPriority w:val="99"/>
    <w:rsid w:val="002412CC"/>
    <w:pPr>
      <w:widowControl w:val="0"/>
      <w:overflowPunct/>
      <w:spacing w:line="278" w:lineRule="exact"/>
      <w:ind w:hanging="427"/>
      <w:jc w:val="left"/>
      <w:textAlignment w:val="auto"/>
    </w:pPr>
    <w:rPr>
      <w:rFonts w:eastAsiaTheme="minorEastAsia"/>
      <w:sz w:val="24"/>
      <w:szCs w:val="24"/>
    </w:rPr>
  </w:style>
  <w:style w:type="paragraph" w:customStyle="1" w:styleId="Style52">
    <w:name w:val="Style52"/>
    <w:basedOn w:val="Normalny"/>
    <w:uiPriority w:val="99"/>
    <w:rsid w:val="002412CC"/>
    <w:pPr>
      <w:widowControl w:val="0"/>
      <w:overflowPunct/>
      <w:spacing w:line="403" w:lineRule="exact"/>
      <w:ind w:hanging="418"/>
      <w:jc w:val="left"/>
      <w:textAlignment w:val="auto"/>
    </w:pPr>
    <w:rPr>
      <w:rFonts w:eastAsiaTheme="minorEastAsia"/>
      <w:sz w:val="24"/>
      <w:szCs w:val="24"/>
    </w:rPr>
  </w:style>
  <w:style w:type="paragraph" w:customStyle="1" w:styleId="Style56">
    <w:name w:val="Style56"/>
    <w:basedOn w:val="Normalny"/>
    <w:uiPriority w:val="99"/>
    <w:rsid w:val="002412CC"/>
    <w:pPr>
      <w:widowControl w:val="0"/>
      <w:overflowPunct/>
      <w:spacing w:line="398" w:lineRule="exact"/>
      <w:ind w:firstLine="504"/>
      <w:jc w:val="left"/>
      <w:textAlignment w:val="auto"/>
    </w:pPr>
    <w:rPr>
      <w:rFonts w:eastAsiaTheme="minorEastAsia"/>
      <w:sz w:val="24"/>
      <w:szCs w:val="24"/>
    </w:rPr>
  </w:style>
  <w:style w:type="paragraph" w:customStyle="1" w:styleId="Style29">
    <w:name w:val="Style29"/>
    <w:basedOn w:val="Normalny"/>
    <w:uiPriority w:val="99"/>
    <w:rsid w:val="002412CC"/>
    <w:pPr>
      <w:widowControl w:val="0"/>
      <w:overflowPunct/>
      <w:spacing w:line="235" w:lineRule="exact"/>
      <w:ind w:hanging="854"/>
      <w:jc w:val="left"/>
      <w:textAlignment w:val="auto"/>
    </w:pPr>
    <w:rPr>
      <w:rFonts w:eastAsiaTheme="minorEastAsia"/>
      <w:sz w:val="24"/>
      <w:szCs w:val="24"/>
    </w:rPr>
  </w:style>
  <w:style w:type="paragraph" w:customStyle="1" w:styleId="Style16">
    <w:name w:val="Style16"/>
    <w:basedOn w:val="Normalny"/>
    <w:uiPriority w:val="99"/>
    <w:rsid w:val="002412CC"/>
    <w:pPr>
      <w:widowControl w:val="0"/>
      <w:overflowPunct/>
      <w:jc w:val="left"/>
      <w:textAlignment w:val="auto"/>
    </w:pPr>
    <w:rPr>
      <w:rFonts w:eastAsiaTheme="minorEastAsia"/>
      <w:sz w:val="24"/>
      <w:szCs w:val="24"/>
    </w:rPr>
  </w:style>
  <w:style w:type="paragraph" w:customStyle="1" w:styleId="Style45">
    <w:name w:val="Style45"/>
    <w:basedOn w:val="Normalny"/>
    <w:uiPriority w:val="99"/>
    <w:rsid w:val="002412CC"/>
    <w:pPr>
      <w:widowControl w:val="0"/>
      <w:overflowPunct/>
      <w:jc w:val="left"/>
      <w:textAlignment w:val="auto"/>
    </w:pPr>
    <w:rPr>
      <w:rFonts w:eastAsiaTheme="minorEastAsia"/>
      <w:sz w:val="24"/>
      <w:szCs w:val="24"/>
    </w:rPr>
  </w:style>
  <w:style w:type="paragraph" w:customStyle="1" w:styleId="Style48">
    <w:name w:val="Style48"/>
    <w:basedOn w:val="Normalny"/>
    <w:uiPriority w:val="99"/>
    <w:rsid w:val="002412CC"/>
    <w:pPr>
      <w:widowControl w:val="0"/>
      <w:overflowPunct/>
      <w:jc w:val="left"/>
      <w:textAlignment w:val="auto"/>
    </w:pPr>
    <w:rPr>
      <w:rFonts w:eastAsiaTheme="minorEastAsia"/>
      <w:sz w:val="24"/>
      <w:szCs w:val="24"/>
    </w:rPr>
  </w:style>
  <w:style w:type="paragraph" w:customStyle="1" w:styleId="Style54">
    <w:name w:val="Style54"/>
    <w:basedOn w:val="Normalny"/>
    <w:uiPriority w:val="99"/>
    <w:rsid w:val="002412CC"/>
    <w:pPr>
      <w:widowControl w:val="0"/>
      <w:overflowPunct/>
      <w:spacing w:line="235" w:lineRule="exact"/>
      <w:ind w:hanging="572"/>
      <w:jc w:val="left"/>
      <w:textAlignment w:val="auto"/>
    </w:pPr>
    <w:rPr>
      <w:rFonts w:eastAsiaTheme="minorEastAsia"/>
      <w:sz w:val="24"/>
      <w:szCs w:val="24"/>
    </w:rPr>
  </w:style>
  <w:style w:type="paragraph" w:customStyle="1" w:styleId="Style12">
    <w:name w:val="Style12"/>
    <w:basedOn w:val="Normalny"/>
    <w:uiPriority w:val="99"/>
    <w:rsid w:val="002412CC"/>
    <w:pPr>
      <w:widowControl w:val="0"/>
      <w:overflowPunct/>
      <w:jc w:val="left"/>
      <w:textAlignment w:val="auto"/>
    </w:pPr>
    <w:rPr>
      <w:rFonts w:eastAsiaTheme="minorEastAsia"/>
      <w:sz w:val="24"/>
      <w:szCs w:val="24"/>
    </w:rPr>
  </w:style>
  <w:style w:type="paragraph" w:customStyle="1" w:styleId="Style31">
    <w:name w:val="Style31"/>
    <w:basedOn w:val="Normalny"/>
    <w:uiPriority w:val="99"/>
    <w:rsid w:val="002412CC"/>
    <w:pPr>
      <w:widowControl w:val="0"/>
      <w:overflowPunct/>
      <w:spacing w:line="283" w:lineRule="exact"/>
      <w:ind w:firstLine="845"/>
      <w:jc w:val="left"/>
      <w:textAlignment w:val="auto"/>
    </w:pPr>
    <w:rPr>
      <w:rFonts w:eastAsiaTheme="minorEastAsia"/>
      <w:sz w:val="24"/>
      <w:szCs w:val="24"/>
    </w:rPr>
  </w:style>
  <w:style w:type="paragraph" w:customStyle="1" w:styleId="Style14">
    <w:name w:val="Style14"/>
    <w:basedOn w:val="Normalny"/>
    <w:uiPriority w:val="99"/>
    <w:rsid w:val="002412CC"/>
    <w:pPr>
      <w:widowControl w:val="0"/>
      <w:overflowPunct/>
      <w:spacing w:line="235" w:lineRule="exact"/>
      <w:ind w:hanging="979"/>
      <w:jc w:val="left"/>
      <w:textAlignment w:val="auto"/>
    </w:pPr>
    <w:rPr>
      <w:rFonts w:eastAsiaTheme="minorEastAsia"/>
      <w:sz w:val="24"/>
      <w:szCs w:val="24"/>
    </w:rPr>
  </w:style>
  <w:style w:type="paragraph" w:customStyle="1" w:styleId="Style43">
    <w:name w:val="Style43"/>
    <w:basedOn w:val="Normalny"/>
    <w:uiPriority w:val="99"/>
    <w:rsid w:val="002412CC"/>
    <w:pPr>
      <w:widowControl w:val="0"/>
      <w:overflowPunct/>
      <w:spacing w:line="461" w:lineRule="exact"/>
      <w:ind w:hanging="509"/>
      <w:jc w:val="left"/>
      <w:textAlignment w:val="auto"/>
    </w:pPr>
    <w:rPr>
      <w:rFonts w:eastAsiaTheme="minorEastAsia"/>
      <w:sz w:val="24"/>
      <w:szCs w:val="24"/>
    </w:rPr>
  </w:style>
  <w:style w:type="paragraph" w:customStyle="1" w:styleId="Style44">
    <w:name w:val="Style44"/>
    <w:basedOn w:val="Normalny"/>
    <w:uiPriority w:val="99"/>
    <w:rsid w:val="002412CC"/>
    <w:pPr>
      <w:widowControl w:val="0"/>
      <w:overflowPunct/>
      <w:spacing w:line="288" w:lineRule="exact"/>
      <w:ind w:hanging="418"/>
      <w:jc w:val="left"/>
      <w:textAlignment w:val="auto"/>
    </w:pPr>
    <w:rPr>
      <w:rFonts w:eastAsiaTheme="minorEastAsia"/>
      <w:sz w:val="24"/>
      <w:szCs w:val="24"/>
    </w:rPr>
  </w:style>
  <w:style w:type="paragraph" w:customStyle="1" w:styleId="Style37">
    <w:name w:val="Style37"/>
    <w:basedOn w:val="Normalny"/>
    <w:uiPriority w:val="99"/>
    <w:rsid w:val="002412CC"/>
    <w:pPr>
      <w:widowControl w:val="0"/>
      <w:overflowPunct/>
      <w:spacing w:line="283" w:lineRule="exact"/>
      <w:ind w:firstLine="701"/>
      <w:textAlignment w:val="auto"/>
    </w:pPr>
    <w:rPr>
      <w:rFonts w:eastAsiaTheme="minorEastAsia"/>
      <w:sz w:val="24"/>
      <w:szCs w:val="24"/>
    </w:rPr>
  </w:style>
  <w:style w:type="paragraph" w:customStyle="1" w:styleId="Style50">
    <w:name w:val="Style50"/>
    <w:basedOn w:val="Normalny"/>
    <w:uiPriority w:val="99"/>
    <w:rsid w:val="002412CC"/>
    <w:pPr>
      <w:widowControl w:val="0"/>
      <w:overflowPunct/>
      <w:jc w:val="left"/>
      <w:textAlignment w:val="auto"/>
    </w:pPr>
    <w:rPr>
      <w:rFonts w:eastAsiaTheme="minorEastAsia"/>
      <w:sz w:val="24"/>
      <w:szCs w:val="24"/>
    </w:rPr>
  </w:style>
  <w:style w:type="paragraph" w:customStyle="1" w:styleId="Style40">
    <w:name w:val="Style40"/>
    <w:basedOn w:val="Normalny"/>
    <w:uiPriority w:val="99"/>
    <w:rsid w:val="002412CC"/>
    <w:pPr>
      <w:widowControl w:val="0"/>
      <w:overflowPunct/>
      <w:jc w:val="left"/>
      <w:textAlignment w:val="auto"/>
    </w:pPr>
    <w:rPr>
      <w:rFonts w:eastAsiaTheme="minorEastAsia"/>
      <w:sz w:val="24"/>
      <w:szCs w:val="24"/>
    </w:rPr>
  </w:style>
  <w:style w:type="paragraph" w:customStyle="1" w:styleId="Style46">
    <w:name w:val="Style46"/>
    <w:basedOn w:val="Normalny"/>
    <w:uiPriority w:val="99"/>
    <w:rsid w:val="002412CC"/>
    <w:pPr>
      <w:widowControl w:val="0"/>
      <w:overflowPunct/>
      <w:jc w:val="left"/>
      <w:textAlignment w:val="auto"/>
    </w:pPr>
    <w:rPr>
      <w:rFonts w:eastAsiaTheme="minorEastAsia"/>
      <w:sz w:val="24"/>
      <w:szCs w:val="24"/>
    </w:rPr>
  </w:style>
  <w:style w:type="paragraph" w:customStyle="1" w:styleId="Style55">
    <w:name w:val="Style55"/>
    <w:basedOn w:val="Normalny"/>
    <w:uiPriority w:val="99"/>
    <w:rsid w:val="002412CC"/>
    <w:pPr>
      <w:widowControl w:val="0"/>
      <w:overflowPunct/>
      <w:spacing w:line="283" w:lineRule="exact"/>
      <w:ind w:hanging="312"/>
      <w:jc w:val="left"/>
      <w:textAlignment w:val="auto"/>
    </w:pPr>
    <w:rPr>
      <w:rFonts w:eastAsiaTheme="minorEastAsia"/>
      <w:sz w:val="24"/>
      <w:szCs w:val="24"/>
    </w:rPr>
  </w:style>
  <w:style w:type="paragraph" w:customStyle="1" w:styleId="a2">
    <w:name w:val="a2"/>
    <w:basedOn w:val="Normalny"/>
    <w:rsid w:val="002412CC"/>
    <w:pPr>
      <w:numPr>
        <w:numId w:val="56"/>
      </w:numPr>
      <w:suppressAutoHyphens/>
      <w:overflowPunct/>
      <w:autoSpaceDE/>
      <w:autoSpaceDN/>
      <w:adjustRightInd/>
      <w:spacing w:after="120" w:line="300" w:lineRule="atLeast"/>
      <w:textAlignment w:val="auto"/>
    </w:pPr>
    <w:rPr>
      <w:rFonts w:ascii="Arial" w:hAnsi="Arial"/>
      <w:bCs/>
      <w:sz w:val="24"/>
      <w:lang w:eastAsia="ar-SA"/>
    </w:rPr>
  </w:style>
  <w:style w:type="paragraph" w:customStyle="1" w:styleId="Tekstpodstawowywcity21">
    <w:name w:val="Tekst podstawowy wcięty 21"/>
    <w:basedOn w:val="Normalny"/>
    <w:rsid w:val="002412CC"/>
    <w:pPr>
      <w:overflowPunct/>
      <w:autoSpaceDE/>
      <w:autoSpaceDN/>
      <w:adjustRightInd/>
      <w:spacing w:line="360" w:lineRule="auto"/>
      <w:ind w:left="709"/>
      <w:textAlignment w:val="auto"/>
    </w:pPr>
    <w:rPr>
      <w:rFonts w:ascii="Arial" w:hAnsi="Arial"/>
      <w:sz w:val="24"/>
    </w:rPr>
  </w:style>
  <w:style w:type="paragraph" w:customStyle="1" w:styleId="BodyTextIndent21">
    <w:name w:val="Body Text Indent 21"/>
    <w:basedOn w:val="Normalny"/>
    <w:rsid w:val="002412CC"/>
    <w:pPr>
      <w:overflowPunct/>
      <w:autoSpaceDE/>
      <w:autoSpaceDN/>
      <w:adjustRightInd/>
      <w:spacing w:line="360" w:lineRule="auto"/>
      <w:ind w:left="709"/>
      <w:textAlignment w:val="auto"/>
    </w:pPr>
    <w:rPr>
      <w:rFonts w:ascii="Arial" w:hAnsi="Arial"/>
      <w:sz w:val="24"/>
    </w:rPr>
  </w:style>
  <w:style w:type="paragraph" w:customStyle="1" w:styleId="Standard">
    <w:name w:val="Standard"/>
    <w:rsid w:val="002412CC"/>
    <w:pPr>
      <w:widowControl w:val="0"/>
      <w:suppressAutoHyphens/>
      <w:autoSpaceDE w:val="0"/>
    </w:pPr>
    <w:rPr>
      <w:rFonts w:ascii="Times New Roman" w:eastAsia="Times New Roman" w:hAnsi="Times New Roman"/>
      <w:sz w:val="24"/>
      <w:szCs w:val="24"/>
      <w:lang w:eastAsia="ar-SA"/>
    </w:rPr>
  </w:style>
  <w:style w:type="paragraph" w:customStyle="1" w:styleId="z1">
    <w:name w:val="z1"/>
    <w:rsid w:val="002412CC"/>
    <w:pPr>
      <w:widowControl w:val="0"/>
      <w:tabs>
        <w:tab w:val="left" w:pos="397"/>
      </w:tabs>
      <w:autoSpaceDE w:val="0"/>
      <w:autoSpaceDN w:val="0"/>
      <w:adjustRightInd w:val="0"/>
      <w:spacing w:before="170" w:line="360" w:lineRule="auto"/>
      <w:jc w:val="both"/>
    </w:pPr>
    <w:rPr>
      <w:rFonts w:ascii="Times New Roman" w:eastAsia="Times New Roman" w:hAnsi="Times New Roman"/>
      <w:b/>
      <w:bCs/>
      <w:color w:val="000000"/>
      <w:sz w:val="28"/>
      <w:szCs w:val="23"/>
    </w:rPr>
  </w:style>
  <w:style w:type="paragraph" w:customStyle="1" w:styleId="znormal">
    <w:name w:val="z_normal"/>
    <w:rsid w:val="002412CC"/>
    <w:pPr>
      <w:widowControl w:val="0"/>
      <w:autoSpaceDE w:val="0"/>
      <w:autoSpaceDN w:val="0"/>
      <w:adjustRightInd w:val="0"/>
      <w:spacing w:line="360" w:lineRule="auto"/>
      <w:ind w:left="397"/>
      <w:jc w:val="both"/>
    </w:pPr>
    <w:rPr>
      <w:rFonts w:ascii="Times New Roman" w:eastAsia="Times New Roman" w:hAnsi="Times New Roman"/>
      <w:color w:val="000000"/>
      <w:szCs w:val="23"/>
    </w:rPr>
  </w:style>
  <w:style w:type="paragraph" w:customStyle="1" w:styleId="z11">
    <w:name w:val="z11"/>
    <w:rsid w:val="002412CC"/>
    <w:pPr>
      <w:widowControl w:val="0"/>
      <w:autoSpaceDE w:val="0"/>
      <w:autoSpaceDN w:val="0"/>
      <w:adjustRightInd w:val="0"/>
      <w:spacing w:before="57" w:line="224" w:lineRule="exact"/>
      <w:jc w:val="both"/>
    </w:pPr>
    <w:rPr>
      <w:rFonts w:ascii="Times New Roman" w:eastAsia="Times New Roman" w:hAnsi="Times New Roman"/>
      <w:color w:val="000000"/>
      <w:sz w:val="19"/>
      <w:szCs w:val="19"/>
      <w:u w:val="single"/>
    </w:rPr>
  </w:style>
  <w:style w:type="paragraph" w:customStyle="1" w:styleId="KRESKA">
    <w:name w:val="KRESKA"/>
    <w:basedOn w:val="znormal"/>
    <w:rsid w:val="002412CC"/>
    <w:pPr>
      <w:numPr>
        <w:numId w:val="57"/>
      </w:numPr>
      <w:tabs>
        <w:tab w:val="num" w:pos="851"/>
      </w:tabs>
      <w:ind w:left="851" w:hanging="425"/>
    </w:pPr>
  </w:style>
  <w:style w:type="paragraph" w:customStyle="1" w:styleId="Podpis1">
    <w:name w:val="Podpis1"/>
    <w:basedOn w:val="Normalny"/>
    <w:rsid w:val="002412CC"/>
    <w:pPr>
      <w:suppressLineNumbers/>
      <w:suppressAutoHyphens/>
      <w:autoSpaceDN/>
      <w:adjustRightInd/>
      <w:spacing w:before="120" w:after="120"/>
      <w:jc w:val="left"/>
      <w:textAlignment w:val="auto"/>
    </w:pPr>
    <w:rPr>
      <w:rFonts w:cs="Tahoma"/>
      <w:i/>
      <w:iCs/>
      <w:sz w:val="24"/>
      <w:szCs w:val="24"/>
      <w:lang w:eastAsia="ar-SA"/>
    </w:rPr>
  </w:style>
  <w:style w:type="paragraph" w:customStyle="1" w:styleId="Indeks">
    <w:name w:val="Indeks"/>
    <w:basedOn w:val="Normalny"/>
    <w:rsid w:val="002412CC"/>
    <w:pPr>
      <w:suppressLineNumbers/>
      <w:suppressAutoHyphens/>
      <w:autoSpaceDN/>
      <w:adjustRightInd/>
      <w:jc w:val="left"/>
      <w:textAlignment w:val="auto"/>
    </w:pPr>
    <w:rPr>
      <w:rFonts w:cs="Tahoma"/>
      <w:lang w:eastAsia="ar-SA"/>
    </w:rPr>
  </w:style>
  <w:style w:type="paragraph" w:customStyle="1" w:styleId="xl24">
    <w:name w:val="xl24"/>
    <w:basedOn w:val="Normalny"/>
    <w:rsid w:val="002412CC"/>
    <w:pPr>
      <w:pBdr>
        <w:top w:val="single" w:sz="4" w:space="0" w:color="000000"/>
        <w:left w:val="single" w:sz="4" w:space="0" w:color="000000"/>
        <w:bottom w:val="single" w:sz="4" w:space="0" w:color="000000"/>
        <w:right w:val="single" w:sz="4" w:space="0" w:color="000000"/>
      </w:pBdr>
      <w:suppressAutoHyphens/>
      <w:overflowPunct/>
      <w:autoSpaceDE/>
      <w:autoSpaceDN/>
      <w:adjustRightInd/>
      <w:spacing w:before="100" w:after="100"/>
      <w:jc w:val="center"/>
      <w:textAlignment w:val="auto"/>
    </w:pPr>
    <w:rPr>
      <w:rFonts w:ascii="Arial Unicode MS" w:eastAsia="Arial Unicode MS" w:hAnsi="Arial Unicode MS" w:cs="Arial Unicode MS"/>
      <w:sz w:val="24"/>
      <w:szCs w:val="24"/>
      <w:lang w:eastAsia="ar-SA"/>
    </w:rPr>
  </w:style>
  <w:style w:type="paragraph" w:customStyle="1" w:styleId="xl25">
    <w:name w:val="xl25"/>
    <w:basedOn w:val="Normalny"/>
    <w:rsid w:val="002412CC"/>
    <w:pPr>
      <w:pBdr>
        <w:top w:val="single" w:sz="4" w:space="0" w:color="000000"/>
        <w:left w:val="single" w:sz="4" w:space="0" w:color="000000"/>
        <w:bottom w:val="single" w:sz="4" w:space="0" w:color="000000"/>
        <w:right w:val="single" w:sz="4" w:space="0" w:color="000000"/>
      </w:pBdr>
      <w:suppressAutoHyphens/>
      <w:overflowPunct/>
      <w:autoSpaceDE/>
      <w:autoSpaceDN/>
      <w:adjustRightInd/>
      <w:spacing w:before="100" w:after="100"/>
      <w:jc w:val="right"/>
      <w:textAlignment w:val="auto"/>
    </w:pPr>
    <w:rPr>
      <w:rFonts w:ascii="Arial Unicode MS" w:eastAsia="Arial Unicode MS" w:hAnsi="Arial Unicode MS" w:cs="Arial Unicode MS"/>
      <w:sz w:val="24"/>
      <w:szCs w:val="24"/>
      <w:lang w:eastAsia="ar-SA"/>
    </w:rPr>
  </w:style>
  <w:style w:type="paragraph" w:customStyle="1" w:styleId="xl26">
    <w:name w:val="xl26"/>
    <w:basedOn w:val="Normalny"/>
    <w:rsid w:val="002412CC"/>
    <w:pPr>
      <w:pBdr>
        <w:top w:val="single" w:sz="4" w:space="0" w:color="000000"/>
        <w:left w:val="single" w:sz="4" w:space="0" w:color="000000"/>
        <w:bottom w:val="single" w:sz="4" w:space="0" w:color="000000"/>
        <w:right w:val="single" w:sz="4" w:space="0" w:color="000000"/>
      </w:pBdr>
      <w:suppressAutoHyphens/>
      <w:overflowPunct/>
      <w:autoSpaceDE/>
      <w:autoSpaceDN/>
      <w:adjustRightInd/>
      <w:spacing w:before="100" w:after="100"/>
      <w:jc w:val="right"/>
      <w:textAlignment w:val="auto"/>
    </w:pPr>
    <w:rPr>
      <w:rFonts w:ascii="Arial Unicode MS" w:eastAsia="Arial Unicode MS" w:hAnsi="Arial Unicode MS" w:cs="Arial Unicode MS"/>
      <w:sz w:val="24"/>
      <w:szCs w:val="24"/>
      <w:lang w:eastAsia="ar-SA"/>
    </w:rPr>
  </w:style>
  <w:style w:type="paragraph" w:customStyle="1" w:styleId="xl27">
    <w:name w:val="xl27"/>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left"/>
      <w:textAlignment w:val="auto"/>
    </w:pPr>
    <w:rPr>
      <w:rFonts w:ascii="Arial Unicode MS" w:eastAsia="Arial Unicode MS" w:hAnsi="Arial Unicode MS" w:cs="Arial Unicode MS"/>
      <w:sz w:val="24"/>
      <w:szCs w:val="24"/>
      <w:lang w:eastAsia="ar-SA"/>
    </w:rPr>
  </w:style>
  <w:style w:type="paragraph" w:customStyle="1" w:styleId="xl28">
    <w:name w:val="xl28"/>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left"/>
      <w:textAlignment w:val="auto"/>
    </w:pPr>
    <w:rPr>
      <w:rFonts w:ascii="Arial" w:eastAsia="Arial Unicode MS" w:hAnsi="Arial" w:cs="Arial Unicode MS"/>
      <w:b/>
      <w:bCs/>
      <w:sz w:val="24"/>
      <w:szCs w:val="24"/>
      <w:lang w:eastAsia="ar-SA"/>
    </w:rPr>
  </w:style>
  <w:style w:type="paragraph" w:customStyle="1" w:styleId="xl29">
    <w:name w:val="xl29"/>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left"/>
      <w:textAlignment w:val="auto"/>
    </w:pPr>
    <w:rPr>
      <w:rFonts w:ascii="Arial" w:eastAsia="Arial Unicode MS" w:hAnsi="Arial" w:cs="Arial Unicode MS"/>
      <w:sz w:val="24"/>
      <w:szCs w:val="24"/>
      <w:lang w:eastAsia="ar-SA"/>
    </w:rPr>
  </w:style>
  <w:style w:type="paragraph" w:customStyle="1" w:styleId="xl30">
    <w:name w:val="xl30"/>
    <w:basedOn w:val="Normalny"/>
    <w:rsid w:val="002412CC"/>
    <w:pPr>
      <w:pBdr>
        <w:top w:val="single" w:sz="4" w:space="0" w:color="000000"/>
        <w:left w:val="single" w:sz="4" w:space="0" w:color="000000"/>
        <w:bottom w:val="single" w:sz="4" w:space="0" w:color="000000"/>
        <w:right w:val="single" w:sz="4" w:space="0" w:color="000000"/>
      </w:pBdr>
      <w:shd w:val="clear" w:color="auto" w:fill="CCFFFF"/>
      <w:suppressAutoHyphens/>
      <w:overflowPunct/>
      <w:autoSpaceDE/>
      <w:autoSpaceDN/>
      <w:adjustRightInd/>
      <w:spacing w:before="100" w:after="100"/>
      <w:jc w:val="left"/>
      <w:textAlignment w:val="auto"/>
    </w:pPr>
    <w:rPr>
      <w:rFonts w:ascii="Arial" w:eastAsia="Arial Unicode MS" w:hAnsi="Arial" w:cs="Arial Unicode MS"/>
      <w:b/>
      <w:bCs/>
      <w:sz w:val="24"/>
      <w:szCs w:val="24"/>
      <w:lang w:eastAsia="ar-SA"/>
    </w:rPr>
  </w:style>
  <w:style w:type="paragraph" w:customStyle="1" w:styleId="xl31">
    <w:name w:val="xl31"/>
    <w:basedOn w:val="Normalny"/>
    <w:rsid w:val="002412CC"/>
    <w:pPr>
      <w:pBdr>
        <w:top w:val="single" w:sz="4" w:space="0" w:color="000000"/>
        <w:left w:val="single" w:sz="4" w:space="0" w:color="000000"/>
        <w:bottom w:val="single" w:sz="4" w:space="0" w:color="000000"/>
        <w:right w:val="single" w:sz="4" w:space="0" w:color="000000"/>
      </w:pBdr>
      <w:shd w:val="clear" w:color="auto" w:fill="CCFFFF"/>
      <w:suppressAutoHyphens/>
      <w:overflowPunct/>
      <w:autoSpaceDE/>
      <w:autoSpaceDN/>
      <w:adjustRightInd/>
      <w:spacing w:before="100" w:after="100"/>
      <w:jc w:val="left"/>
      <w:textAlignment w:val="auto"/>
    </w:pPr>
    <w:rPr>
      <w:rFonts w:ascii="Arial" w:eastAsia="Arial Unicode MS" w:hAnsi="Arial" w:cs="Arial Unicode MS"/>
      <w:b/>
      <w:bCs/>
      <w:sz w:val="24"/>
      <w:szCs w:val="24"/>
      <w:lang w:eastAsia="ar-SA"/>
    </w:rPr>
  </w:style>
  <w:style w:type="paragraph" w:customStyle="1" w:styleId="xl32">
    <w:name w:val="xl32"/>
    <w:basedOn w:val="Normalny"/>
    <w:rsid w:val="002412CC"/>
    <w:pPr>
      <w:pBdr>
        <w:top w:val="single" w:sz="4" w:space="0" w:color="000000"/>
        <w:left w:val="single" w:sz="4" w:space="0" w:color="000000"/>
        <w:bottom w:val="single" w:sz="4" w:space="0" w:color="000000"/>
        <w:right w:val="single" w:sz="4" w:space="0" w:color="000000"/>
      </w:pBdr>
      <w:shd w:val="clear" w:color="auto" w:fill="99CC00"/>
      <w:suppressAutoHyphens/>
      <w:overflowPunct/>
      <w:autoSpaceDE/>
      <w:autoSpaceDN/>
      <w:adjustRightInd/>
      <w:spacing w:before="100" w:after="100"/>
      <w:jc w:val="right"/>
      <w:textAlignment w:val="auto"/>
    </w:pPr>
    <w:rPr>
      <w:rFonts w:ascii="Arial Unicode MS" w:eastAsia="Arial Unicode MS" w:hAnsi="Arial Unicode MS" w:cs="Arial Unicode MS"/>
      <w:sz w:val="24"/>
      <w:szCs w:val="24"/>
      <w:lang w:eastAsia="ar-SA"/>
    </w:rPr>
  </w:style>
  <w:style w:type="paragraph" w:customStyle="1" w:styleId="xl33">
    <w:name w:val="xl33"/>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center"/>
      <w:textAlignment w:val="auto"/>
    </w:pPr>
    <w:rPr>
      <w:rFonts w:ascii="Arial Unicode MS" w:eastAsia="Arial Unicode MS" w:hAnsi="Arial Unicode MS" w:cs="Arial Unicode MS"/>
      <w:sz w:val="24"/>
      <w:szCs w:val="24"/>
      <w:lang w:eastAsia="ar-SA"/>
    </w:rPr>
  </w:style>
  <w:style w:type="paragraph" w:customStyle="1" w:styleId="xl34">
    <w:name w:val="xl34"/>
    <w:basedOn w:val="Normalny"/>
    <w:rsid w:val="002412CC"/>
    <w:pPr>
      <w:pBdr>
        <w:bottom w:val="single" w:sz="4" w:space="0" w:color="000000"/>
      </w:pBdr>
      <w:suppressAutoHyphens/>
      <w:overflowPunct/>
      <w:autoSpaceDE/>
      <w:autoSpaceDN/>
      <w:adjustRightInd/>
      <w:spacing w:before="100" w:after="100"/>
      <w:jc w:val="center"/>
      <w:textAlignment w:val="auto"/>
    </w:pPr>
    <w:rPr>
      <w:rFonts w:ascii="Arial" w:eastAsia="Arial Unicode MS" w:hAnsi="Arial" w:cs="Arial Unicode MS"/>
      <w:b/>
      <w:bCs/>
      <w:i/>
      <w:iCs/>
      <w:sz w:val="24"/>
      <w:szCs w:val="24"/>
      <w:lang w:eastAsia="ar-SA"/>
    </w:rPr>
  </w:style>
  <w:style w:type="paragraph" w:customStyle="1" w:styleId="xl35">
    <w:name w:val="xl35"/>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center"/>
      <w:textAlignment w:val="auto"/>
    </w:pPr>
    <w:rPr>
      <w:rFonts w:ascii="Arial" w:eastAsia="Arial Unicode MS" w:hAnsi="Arial" w:cs="Arial Unicode MS"/>
      <w:b/>
      <w:bCs/>
      <w:sz w:val="24"/>
      <w:szCs w:val="24"/>
      <w:lang w:eastAsia="ar-SA"/>
    </w:rPr>
  </w:style>
  <w:style w:type="paragraph" w:customStyle="1" w:styleId="xl36">
    <w:name w:val="xl36"/>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center"/>
      <w:textAlignment w:val="auto"/>
    </w:pPr>
    <w:rPr>
      <w:rFonts w:ascii="Arial" w:eastAsia="Arial Unicode MS" w:hAnsi="Arial" w:cs="Arial Unicode MS"/>
      <w:sz w:val="24"/>
      <w:szCs w:val="24"/>
      <w:lang w:eastAsia="ar-SA"/>
    </w:rPr>
  </w:style>
  <w:style w:type="paragraph" w:customStyle="1" w:styleId="Tekstpodstawowy31">
    <w:name w:val="Tekst podstawowy 31"/>
    <w:basedOn w:val="Normalny"/>
    <w:rsid w:val="002412CC"/>
    <w:pPr>
      <w:suppressAutoHyphens/>
      <w:autoSpaceDN/>
      <w:adjustRightInd/>
      <w:spacing w:line="240" w:lineRule="atLeast"/>
      <w:textAlignment w:val="auto"/>
    </w:pPr>
    <w:rPr>
      <w:color w:val="FF0000"/>
      <w:sz w:val="24"/>
      <w:lang w:eastAsia="ar-SA"/>
    </w:rPr>
  </w:style>
  <w:style w:type="paragraph" w:customStyle="1" w:styleId="opistechnicznyy">
    <w:name w:val="opis technicznyy"/>
    <w:basedOn w:val="Normalny"/>
    <w:rsid w:val="002412CC"/>
    <w:pPr>
      <w:tabs>
        <w:tab w:val="num" w:pos="454"/>
      </w:tabs>
      <w:suppressAutoHyphens/>
      <w:overflowPunct/>
      <w:autoSpaceDE/>
      <w:autoSpaceDN/>
      <w:adjustRightInd/>
      <w:jc w:val="left"/>
      <w:textAlignment w:val="auto"/>
    </w:pPr>
    <w:rPr>
      <w:lang w:eastAsia="ar-SA"/>
    </w:rPr>
  </w:style>
  <w:style w:type="paragraph" w:customStyle="1" w:styleId="Zawartotabeli">
    <w:name w:val="Zawartość tabeli"/>
    <w:basedOn w:val="Normalny"/>
    <w:rsid w:val="002412CC"/>
    <w:pPr>
      <w:suppressLineNumbers/>
      <w:suppressAutoHyphens/>
      <w:autoSpaceDN/>
      <w:adjustRightInd/>
      <w:jc w:val="left"/>
      <w:textAlignment w:val="auto"/>
    </w:pPr>
    <w:rPr>
      <w:lang w:eastAsia="ar-SA"/>
    </w:rPr>
  </w:style>
  <w:style w:type="paragraph" w:customStyle="1" w:styleId="Nagwektabeli">
    <w:name w:val="Nagłówek tabeli"/>
    <w:basedOn w:val="Zawartotabeli"/>
    <w:rsid w:val="002412CC"/>
    <w:pPr>
      <w:jc w:val="center"/>
    </w:pPr>
    <w:rPr>
      <w:b/>
      <w:bCs/>
    </w:rPr>
  </w:style>
  <w:style w:type="character" w:customStyle="1" w:styleId="NoSpacingChar">
    <w:name w:val="No Spacing Char"/>
    <w:basedOn w:val="Domylnaczcionkaakapitu"/>
    <w:link w:val="Bezodstpw1"/>
    <w:locked/>
    <w:rsid w:val="002412CC"/>
    <w:rPr>
      <w:rFonts w:eastAsia="Times New Roman"/>
      <w:lang w:eastAsia="en-US"/>
    </w:rPr>
  </w:style>
  <w:style w:type="paragraph" w:customStyle="1" w:styleId="Bezodstpw1">
    <w:name w:val="Bez odstępów1"/>
    <w:link w:val="NoSpacingChar"/>
    <w:rsid w:val="002412CC"/>
    <w:rPr>
      <w:rFonts w:eastAsia="Times New Roman"/>
      <w:lang w:eastAsia="en-US"/>
    </w:rPr>
  </w:style>
  <w:style w:type="paragraph" w:customStyle="1" w:styleId="Nagwekspisutreci1">
    <w:name w:val="Nagłówek spisu treści1"/>
    <w:basedOn w:val="Nagwek1"/>
    <w:next w:val="Normalny"/>
    <w:rsid w:val="002412CC"/>
    <w:pPr>
      <w:suppressAutoHyphens w:val="0"/>
      <w:overflowPunct/>
      <w:autoSpaceDE/>
      <w:autoSpaceDN/>
      <w:adjustRightInd/>
      <w:spacing w:before="480" w:after="0" w:line="276" w:lineRule="auto"/>
      <w:jc w:val="left"/>
      <w:textAlignment w:val="auto"/>
      <w:outlineLvl w:val="9"/>
    </w:pPr>
    <w:rPr>
      <w:rFonts w:ascii="Cambria" w:hAnsi="Cambria"/>
      <w:caps w:val="0"/>
      <w:color w:val="365F91"/>
      <w:kern w:val="0"/>
      <w:lang w:eastAsia="en-US"/>
    </w:rPr>
  </w:style>
  <w:style w:type="paragraph" w:customStyle="1" w:styleId="Tekstpodstawowywcity32">
    <w:name w:val="Tekst podstawowy wcięty 32"/>
    <w:basedOn w:val="Normalny"/>
    <w:rsid w:val="002412CC"/>
    <w:pPr>
      <w:tabs>
        <w:tab w:val="left" w:pos="964"/>
      </w:tabs>
      <w:spacing w:after="120"/>
      <w:ind w:left="964" w:hanging="964"/>
      <w:textAlignment w:val="auto"/>
    </w:pPr>
  </w:style>
  <w:style w:type="paragraph" w:customStyle="1" w:styleId="StylArial12ptWyjustowanyInterlinia15wiersza">
    <w:name w:val="Styl Arial 12 pt Wyjustowany Interlinia:  15 wiersza"/>
    <w:basedOn w:val="Normalny"/>
    <w:rsid w:val="002412CC"/>
    <w:pPr>
      <w:overflowPunct/>
      <w:autoSpaceDE/>
      <w:autoSpaceDN/>
      <w:adjustRightInd/>
      <w:spacing w:line="360" w:lineRule="auto"/>
      <w:ind w:left="425"/>
      <w:textAlignment w:val="auto"/>
    </w:pPr>
    <w:rPr>
      <w:rFonts w:ascii="Arial" w:hAnsi="Arial"/>
      <w:sz w:val="24"/>
    </w:rPr>
  </w:style>
  <w:style w:type="paragraph" w:customStyle="1" w:styleId="StylLegendaWyjustowany">
    <w:name w:val="Styl Legenda + Wyjustowany"/>
    <w:basedOn w:val="Legenda"/>
    <w:rsid w:val="002412CC"/>
    <w:pPr>
      <w:overflowPunct/>
      <w:autoSpaceDE/>
      <w:autoSpaceDN/>
      <w:adjustRightInd/>
      <w:ind w:left="425"/>
      <w:jc w:val="center"/>
      <w:textAlignment w:val="auto"/>
    </w:pPr>
  </w:style>
  <w:style w:type="paragraph" w:customStyle="1" w:styleId="Style5">
    <w:name w:val="Style5"/>
    <w:basedOn w:val="Normalny"/>
    <w:uiPriority w:val="99"/>
    <w:rsid w:val="002412CC"/>
    <w:pPr>
      <w:widowControl w:val="0"/>
      <w:overflowPunct/>
      <w:jc w:val="left"/>
      <w:textAlignment w:val="auto"/>
    </w:pPr>
    <w:rPr>
      <w:rFonts w:ascii="Verdana" w:eastAsiaTheme="minorEastAsia" w:hAnsi="Verdana" w:cstheme="minorBidi"/>
      <w:sz w:val="24"/>
      <w:szCs w:val="24"/>
    </w:rPr>
  </w:style>
  <w:style w:type="paragraph" w:customStyle="1" w:styleId="Style41">
    <w:name w:val="Style41"/>
    <w:basedOn w:val="Normalny"/>
    <w:uiPriority w:val="99"/>
    <w:rsid w:val="002412CC"/>
    <w:pPr>
      <w:widowControl w:val="0"/>
      <w:overflowPunct/>
      <w:spacing w:line="250" w:lineRule="exact"/>
      <w:jc w:val="center"/>
      <w:textAlignment w:val="auto"/>
    </w:pPr>
    <w:rPr>
      <w:rFonts w:ascii="Verdana" w:eastAsiaTheme="minorEastAsia" w:hAnsi="Verdana" w:cstheme="minorBidi"/>
      <w:sz w:val="24"/>
      <w:szCs w:val="24"/>
    </w:rPr>
  </w:style>
  <w:style w:type="paragraph" w:customStyle="1" w:styleId="Style67">
    <w:name w:val="Style67"/>
    <w:basedOn w:val="Normalny"/>
    <w:uiPriority w:val="99"/>
    <w:rsid w:val="002412CC"/>
    <w:pPr>
      <w:widowControl w:val="0"/>
      <w:overflowPunct/>
      <w:spacing w:line="187" w:lineRule="exact"/>
      <w:jc w:val="center"/>
      <w:textAlignment w:val="auto"/>
    </w:pPr>
    <w:rPr>
      <w:rFonts w:ascii="MS Reference Sans Serif" w:eastAsiaTheme="minorEastAsia" w:hAnsi="MS Reference Sans Serif" w:cstheme="minorBidi"/>
      <w:sz w:val="24"/>
      <w:szCs w:val="24"/>
    </w:rPr>
  </w:style>
  <w:style w:type="paragraph" w:customStyle="1" w:styleId="Style105">
    <w:name w:val="Style105"/>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06">
    <w:name w:val="Style106"/>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08">
    <w:name w:val="Style108"/>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10">
    <w:name w:val="Style110"/>
    <w:basedOn w:val="Normalny"/>
    <w:uiPriority w:val="99"/>
    <w:rsid w:val="002412CC"/>
    <w:pPr>
      <w:widowControl w:val="0"/>
      <w:overflowPunct/>
      <w:spacing w:line="194" w:lineRule="exact"/>
      <w:jc w:val="center"/>
      <w:textAlignment w:val="auto"/>
    </w:pPr>
    <w:rPr>
      <w:rFonts w:ascii="MS Reference Sans Serif" w:eastAsiaTheme="minorEastAsia" w:hAnsi="MS Reference Sans Serif" w:cstheme="minorBidi"/>
      <w:sz w:val="24"/>
      <w:szCs w:val="24"/>
    </w:rPr>
  </w:style>
  <w:style w:type="paragraph" w:customStyle="1" w:styleId="Style111">
    <w:name w:val="Style111"/>
    <w:basedOn w:val="Normalny"/>
    <w:uiPriority w:val="99"/>
    <w:rsid w:val="002412CC"/>
    <w:pPr>
      <w:widowControl w:val="0"/>
      <w:overflowPunct/>
      <w:spacing w:line="194" w:lineRule="exact"/>
      <w:jc w:val="center"/>
      <w:textAlignment w:val="auto"/>
    </w:pPr>
    <w:rPr>
      <w:rFonts w:ascii="MS Reference Sans Serif" w:eastAsiaTheme="minorEastAsia" w:hAnsi="MS Reference Sans Serif" w:cstheme="minorBidi"/>
      <w:sz w:val="24"/>
      <w:szCs w:val="24"/>
    </w:rPr>
  </w:style>
  <w:style w:type="paragraph" w:customStyle="1" w:styleId="Style59">
    <w:name w:val="Style59"/>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00">
    <w:name w:val="Style100"/>
    <w:basedOn w:val="Normalny"/>
    <w:uiPriority w:val="99"/>
    <w:rsid w:val="002412CC"/>
    <w:pPr>
      <w:widowControl w:val="0"/>
      <w:overflowPunct/>
      <w:spacing w:line="194" w:lineRule="exact"/>
      <w:ind w:hanging="137"/>
      <w:jc w:val="left"/>
      <w:textAlignment w:val="auto"/>
    </w:pPr>
    <w:rPr>
      <w:rFonts w:ascii="MS Reference Sans Serif" w:eastAsiaTheme="minorEastAsia" w:hAnsi="MS Reference Sans Serif" w:cstheme="minorBidi"/>
      <w:sz w:val="24"/>
      <w:szCs w:val="24"/>
    </w:rPr>
  </w:style>
  <w:style w:type="paragraph" w:customStyle="1" w:styleId="Style1">
    <w:name w:val="Style1"/>
    <w:basedOn w:val="Normalny"/>
    <w:uiPriority w:val="99"/>
    <w:rsid w:val="002412CC"/>
    <w:pPr>
      <w:widowControl w:val="0"/>
      <w:overflowPunct/>
      <w:spacing w:line="360" w:lineRule="exact"/>
      <w:jc w:val="right"/>
      <w:textAlignment w:val="auto"/>
    </w:pPr>
    <w:rPr>
      <w:rFonts w:ascii="Verdana" w:eastAsiaTheme="minorEastAsia" w:hAnsi="Verdana" w:cstheme="minorBidi"/>
      <w:sz w:val="24"/>
      <w:szCs w:val="24"/>
    </w:rPr>
  </w:style>
  <w:style w:type="paragraph" w:customStyle="1" w:styleId="Style18">
    <w:name w:val="Style18"/>
    <w:basedOn w:val="Normalny"/>
    <w:uiPriority w:val="99"/>
    <w:rsid w:val="002412CC"/>
    <w:pPr>
      <w:widowControl w:val="0"/>
      <w:overflowPunct/>
      <w:spacing w:line="277" w:lineRule="exact"/>
      <w:textAlignment w:val="auto"/>
    </w:pPr>
    <w:rPr>
      <w:rFonts w:ascii="Verdana" w:eastAsiaTheme="minorEastAsia" w:hAnsi="Verdana" w:cstheme="minorBidi"/>
      <w:sz w:val="24"/>
      <w:szCs w:val="24"/>
    </w:rPr>
  </w:style>
  <w:style w:type="paragraph" w:customStyle="1" w:styleId="Style64">
    <w:name w:val="Style64"/>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96">
    <w:name w:val="Style96"/>
    <w:basedOn w:val="Normalny"/>
    <w:uiPriority w:val="99"/>
    <w:rsid w:val="002412CC"/>
    <w:pPr>
      <w:widowControl w:val="0"/>
      <w:overflowPunct/>
      <w:spacing w:line="202" w:lineRule="exact"/>
      <w:jc w:val="center"/>
      <w:textAlignment w:val="auto"/>
    </w:pPr>
    <w:rPr>
      <w:rFonts w:ascii="MS Reference Sans Serif" w:eastAsiaTheme="minorEastAsia" w:hAnsi="MS Reference Sans Serif" w:cstheme="minorBidi"/>
      <w:sz w:val="24"/>
      <w:szCs w:val="24"/>
    </w:rPr>
  </w:style>
  <w:style w:type="paragraph" w:customStyle="1" w:styleId="Style99">
    <w:name w:val="Style99"/>
    <w:basedOn w:val="Normalny"/>
    <w:uiPriority w:val="99"/>
    <w:rsid w:val="002412CC"/>
    <w:pPr>
      <w:widowControl w:val="0"/>
      <w:overflowPunct/>
      <w:spacing w:line="194" w:lineRule="exact"/>
      <w:jc w:val="center"/>
      <w:textAlignment w:val="auto"/>
    </w:pPr>
    <w:rPr>
      <w:rFonts w:ascii="MS Reference Sans Serif" w:eastAsiaTheme="minorEastAsia" w:hAnsi="MS Reference Sans Serif" w:cstheme="minorBidi"/>
      <w:sz w:val="24"/>
      <w:szCs w:val="24"/>
    </w:rPr>
  </w:style>
  <w:style w:type="paragraph" w:customStyle="1" w:styleId="Style58">
    <w:name w:val="Style58"/>
    <w:basedOn w:val="Normalny"/>
    <w:uiPriority w:val="99"/>
    <w:rsid w:val="002412CC"/>
    <w:pPr>
      <w:widowControl w:val="0"/>
      <w:overflowPunct/>
      <w:spacing w:line="194" w:lineRule="exact"/>
      <w:textAlignment w:val="auto"/>
    </w:pPr>
    <w:rPr>
      <w:rFonts w:ascii="MS Reference Sans Serif" w:eastAsiaTheme="minorEastAsia" w:hAnsi="MS Reference Sans Serif" w:cstheme="minorBidi"/>
      <w:sz w:val="24"/>
      <w:szCs w:val="24"/>
    </w:rPr>
  </w:style>
  <w:style w:type="paragraph" w:customStyle="1" w:styleId="Style73">
    <w:name w:val="Style73"/>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90">
    <w:name w:val="Style90"/>
    <w:basedOn w:val="Normalny"/>
    <w:uiPriority w:val="99"/>
    <w:rsid w:val="002412CC"/>
    <w:pPr>
      <w:widowControl w:val="0"/>
      <w:overflowPunct/>
      <w:spacing w:line="187" w:lineRule="exact"/>
      <w:jc w:val="center"/>
      <w:textAlignment w:val="auto"/>
    </w:pPr>
    <w:rPr>
      <w:rFonts w:ascii="MS Reference Sans Serif" w:eastAsiaTheme="minorEastAsia" w:hAnsi="MS Reference Sans Serif" w:cstheme="minorBidi"/>
      <w:sz w:val="24"/>
      <w:szCs w:val="24"/>
    </w:rPr>
  </w:style>
  <w:style w:type="paragraph" w:customStyle="1" w:styleId="Style109">
    <w:name w:val="Style109"/>
    <w:basedOn w:val="Normalny"/>
    <w:uiPriority w:val="99"/>
    <w:rsid w:val="002412CC"/>
    <w:pPr>
      <w:widowControl w:val="0"/>
      <w:overflowPunct/>
      <w:spacing w:line="194" w:lineRule="exact"/>
      <w:ind w:firstLine="497"/>
      <w:jc w:val="left"/>
      <w:textAlignment w:val="auto"/>
    </w:pPr>
    <w:rPr>
      <w:rFonts w:ascii="MS Reference Sans Serif" w:eastAsiaTheme="minorEastAsia" w:hAnsi="MS Reference Sans Serif" w:cstheme="minorBidi"/>
      <w:sz w:val="24"/>
      <w:szCs w:val="24"/>
    </w:rPr>
  </w:style>
  <w:style w:type="paragraph" w:customStyle="1" w:styleId="Style101">
    <w:name w:val="Style101"/>
    <w:basedOn w:val="Normalny"/>
    <w:uiPriority w:val="99"/>
    <w:rsid w:val="002412CC"/>
    <w:pPr>
      <w:widowControl w:val="0"/>
      <w:overflowPunct/>
      <w:spacing w:line="194" w:lineRule="exact"/>
      <w:ind w:firstLine="360"/>
      <w:jc w:val="left"/>
      <w:textAlignment w:val="auto"/>
    </w:pPr>
    <w:rPr>
      <w:rFonts w:ascii="MS Reference Sans Serif" w:eastAsiaTheme="minorEastAsia" w:hAnsi="MS Reference Sans Serif" w:cstheme="minorBidi"/>
      <w:sz w:val="24"/>
      <w:szCs w:val="24"/>
    </w:rPr>
  </w:style>
  <w:style w:type="paragraph" w:customStyle="1" w:styleId="Tekstpodstawowy26">
    <w:name w:val="Tekst podstawowy 26"/>
    <w:basedOn w:val="Normalny"/>
    <w:rsid w:val="002412CC"/>
    <w:pPr>
      <w:widowControl w:val="0"/>
      <w:overflowPunct/>
      <w:autoSpaceDE/>
      <w:autoSpaceDN/>
      <w:adjustRightInd/>
      <w:ind w:left="708"/>
      <w:jc w:val="left"/>
      <w:textAlignment w:val="auto"/>
    </w:pPr>
    <w:rPr>
      <w:rFonts w:ascii="Arial" w:hAnsi="Arial"/>
      <w:sz w:val="24"/>
    </w:rPr>
  </w:style>
  <w:style w:type="character" w:styleId="Odwoanieprzypisukocowego">
    <w:name w:val="endnote reference"/>
    <w:basedOn w:val="Domylnaczcionkaakapitu"/>
    <w:semiHidden/>
    <w:unhideWhenUsed/>
    <w:locked/>
    <w:rsid w:val="002412CC"/>
    <w:rPr>
      <w:rFonts w:ascii="Times New Roman" w:hAnsi="Times New Roman" w:cs="Times New Roman" w:hint="default"/>
      <w:vertAlign w:val="superscript"/>
    </w:rPr>
  </w:style>
  <w:style w:type="character" w:customStyle="1" w:styleId="FontStyle72">
    <w:name w:val="Font Style72"/>
    <w:basedOn w:val="Domylnaczcionkaakapitu"/>
    <w:uiPriority w:val="99"/>
    <w:rsid w:val="002412CC"/>
    <w:rPr>
      <w:rFonts w:ascii="Times New Roman" w:hAnsi="Times New Roman" w:cs="Times New Roman" w:hint="default"/>
      <w:b/>
      <w:bCs/>
      <w:sz w:val="26"/>
      <w:szCs w:val="26"/>
    </w:rPr>
  </w:style>
  <w:style w:type="character" w:customStyle="1" w:styleId="FontStyle73">
    <w:name w:val="Font Style73"/>
    <w:basedOn w:val="Domylnaczcionkaakapitu"/>
    <w:uiPriority w:val="99"/>
    <w:rsid w:val="002412CC"/>
    <w:rPr>
      <w:rFonts w:ascii="Times New Roman" w:hAnsi="Times New Roman" w:cs="Times New Roman" w:hint="default"/>
      <w:b/>
      <w:bCs/>
      <w:sz w:val="22"/>
      <w:szCs w:val="22"/>
    </w:rPr>
  </w:style>
  <w:style w:type="character" w:customStyle="1" w:styleId="FontStyle75">
    <w:name w:val="Font Style75"/>
    <w:basedOn w:val="Domylnaczcionkaakapitu"/>
    <w:uiPriority w:val="99"/>
    <w:rsid w:val="002412CC"/>
    <w:rPr>
      <w:rFonts w:ascii="Times New Roman" w:hAnsi="Times New Roman" w:cs="Times New Roman" w:hint="default"/>
      <w:sz w:val="22"/>
      <w:szCs w:val="22"/>
    </w:rPr>
  </w:style>
  <w:style w:type="character" w:customStyle="1" w:styleId="FontStyle59">
    <w:name w:val="Font Style59"/>
    <w:basedOn w:val="Domylnaczcionkaakapitu"/>
    <w:uiPriority w:val="99"/>
    <w:rsid w:val="002412CC"/>
    <w:rPr>
      <w:rFonts w:ascii="Times New Roman" w:hAnsi="Times New Roman" w:cs="Times New Roman" w:hint="default"/>
      <w:b/>
      <w:bCs/>
      <w:sz w:val="18"/>
      <w:szCs w:val="18"/>
    </w:rPr>
  </w:style>
  <w:style w:type="character" w:customStyle="1" w:styleId="FontStyle60">
    <w:name w:val="Font Style60"/>
    <w:basedOn w:val="Domylnaczcionkaakapitu"/>
    <w:uiPriority w:val="99"/>
    <w:rsid w:val="002412CC"/>
    <w:rPr>
      <w:rFonts w:ascii="Times New Roman" w:hAnsi="Times New Roman" w:cs="Times New Roman" w:hint="default"/>
      <w:sz w:val="18"/>
      <w:szCs w:val="18"/>
    </w:rPr>
  </w:style>
  <w:style w:type="character" w:customStyle="1" w:styleId="FontStyle71">
    <w:name w:val="Font Style71"/>
    <w:basedOn w:val="Domylnaczcionkaakapitu"/>
    <w:uiPriority w:val="99"/>
    <w:rsid w:val="002412CC"/>
    <w:rPr>
      <w:rFonts w:ascii="Times New Roman" w:hAnsi="Times New Roman" w:cs="Times New Roman" w:hint="default"/>
      <w:sz w:val="18"/>
      <w:szCs w:val="18"/>
    </w:rPr>
  </w:style>
  <w:style w:type="character" w:customStyle="1" w:styleId="FontStyle61">
    <w:name w:val="Font Style61"/>
    <w:basedOn w:val="Domylnaczcionkaakapitu"/>
    <w:uiPriority w:val="99"/>
    <w:rsid w:val="002412CC"/>
    <w:rPr>
      <w:rFonts w:ascii="Times New Roman" w:hAnsi="Times New Roman" w:cs="Times New Roman" w:hint="default"/>
      <w:i/>
      <w:iCs/>
      <w:sz w:val="12"/>
      <w:szCs w:val="12"/>
    </w:rPr>
  </w:style>
  <w:style w:type="character" w:customStyle="1" w:styleId="FontStyle62">
    <w:name w:val="Font Style62"/>
    <w:basedOn w:val="Domylnaczcionkaakapitu"/>
    <w:uiPriority w:val="99"/>
    <w:rsid w:val="002412CC"/>
    <w:rPr>
      <w:rFonts w:ascii="Times New Roman" w:hAnsi="Times New Roman" w:cs="Times New Roman" w:hint="default"/>
      <w:sz w:val="12"/>
      <w:szCs w:val="12"/>
    </w:rPr>
  </w:style>
  <w:style w:type="character" w:customStyle="1" w:styleId="FontStyle64">
    <w:name w:val="Font Style64"/>
    <w:basedOn w:val="Domylnaczcionkaakapitu"/>
    <w:uiPriority w:val="99"/>
    <w:rsid w:val="002412CC"/>
    <w:rPr>
      <w:rFonts w:ascii="Times New Roman" w:hAnsi="Times New Roman" w:cs="Times New Roman" w:hint="default"/>
      <w:i/>
      <w:iCs/>
      <w:sz w:val="18"/>
      <w:szCs w:val="18"/>
    </w:rPr>
  </w:style>
  <w:style w:type="character" w:customStyle="1" w:styleId="FontStyle65">
    <w:name w:val="Font Style65"/>
    <w:basedOn w:val="Domylnaczcionkaakapitu"/>
    <w:uiPriority w:val="99"/>
    <w:rsid w:val="002412CC"/>
    <w:rPr>
      <w:rFonts w:ascii="Times New Roman" w:hAnsi="Times New Roman" w:cs="Times New Roman" w:hint="default"/>
      <w:smallCaps/>
      <w:sz w:val="18"/>
      <w:szCs w:val="18"/>
    </w:rPr>
  </w:style>
  <w:style w:type="character" w:customStyle="1" w:styleId="FontStyle66">
    <w:name w:val="Font Style66"/>
    <w:basedOn w:val="Domylnaczcionkaakapitu"/>
    <w:uiPriority w:val="99"/>
    <w:rsid w:val="002412CC"/>
    <w:rPr>
      <w:rFonts w:ascii="Times New Roman" w:hAnsi="Times New Roman" w:cs="Times New Roman" w:hint="default"/>
      <w:sz w:val="12"/>
      <w:szCs w:val="12"/>
    </w:rPr>
  </w:style>
  <w:style w:type="character" w:customStyle="1" w:styleId="FontStyle63">
    <w:name w:val="Font Style63"/>
    <w:basedOn w:val="Domylnaczcionkaakapitu"/>
    <w:uiPriority w:val="99"/>
    <w:rsid w:val="002412CC"/>
    <w:rPr>
      <w:rFonts w:ascii="Times New Roman" w:hAnsi="Times New Roman" w:cs="Times New Roman" w:hint="default"/>
      <w:i/>
      <w:iCs/>
      <w:sz w:val="12"/>
      <w:szCs w:val="12"/>
    </w:rPr>
  </w:style>
  <w:style w:type="character" w:customStyle="1" w:styleId="FontStyle67">
    <w:name w:val="Font Style67"/>
    <w:basedOn w:val="Domylnaczcionkaakapitu"/>
    <w:uiPriority w:val="99"/>
    <w:rsid w:val="002412CC"/>
    <w:rPr>
      <w:rFonts w:ascii="Times New Roman" w:hAnsi="Times New Roman" w:cs="Times New Roman" w:hint="default"/>
      <w:smallCaps/>
      <w:sz w:val="12"/>
      <w:szCs w:val="12"/>
    </w:rPr>
  </w:style>
  <w:style w:type="character" w:customStyle="1" w:styleId="FontStyle69">
    <w:name w:val="Font Style69"/>
    <w:basedOn w:val="Domylnaczcionkaakapitu"/>
    <w:uiPriority w:val="99"/>
    <w:rsid w:val="002412CC"/>
    <w:rPr>
      <w:rFonts w:ascii="Aharoni" w:hAnsi="Aharoni" w:cs="Aharoni" w:hint="default"/>
      <w:sz w:val="16"/>
      <w:szCs w:val="16"/>
    </w:rPr>
  </w:style>
  <w:style w:type="character" w:customStyle="1" w:styleId="FontStyle70">
    <w:name w:val="Font Style70"/>
    <w:basedOn w:val="Domylnaczcionkaakapitu"/>
    <w:uiPriority w:val="99"/>
    <w:rsid w:val="002412CC"/>
    <w:rPr>
      <w:rFonts w:ascii="Times New Roman" w:hAnsi="Times New Roman" w:cs="Times New Roman" w:hint="default"/>
      <w:spacing w:val="10"/>
      <w:sz w:val="14"/>
      <w:szCs w:val="14"/>
    </w:rPr>
  </w:style>
  <w:style w:type="character" w:customStyle="1" w:styleId="FontStyle74">
    <w:name w:val="Font Style74"/>
    <w:basedOn w:val="Domylnaczcionkaakapitu"/>
    <w:uiPriority w:val="99"/>
    <w:rsid w:val="002412CC"/>
    <w:rPr>
      <w:rFonts w:ascii="Times New Roman" w:hAnsi="Times New Roman" w:cs="Times New Roman" w:hint="default"/>
      <w:i/>
      <w:iCs/>
      <w:sz w:val="24"/>
      <w:szCs w:val="24"/>
    </w:rPr>
  </w:style>
  <w:style w:type="character" w:customStyle="1" w:styleId="WW8Num1z0">
    <w:name w:val="WW8Num1z0"/>
    <w:rsid w:val="002412CC"/>
    <w:rPr>
      <w:rFonts w:ascii="Symbol" w:hAnsi="Symbol" w:hint="default"/>
    </w:rPr>
  </w:style>
  <w:style w:type="character" w:customStyle="1" w:styleId="WW8Num1z2">
    <w:name w:val="WW8Num1z2"/>
    <w:rsid w:val="002412CC"/>
    <w:rPr>
      <w:rFonts w:ascii="Wingdings" w:hAnsi="Wingdings" w:hint="default"/>
    </w:rPr>
  </w:style>
  <w:style w:type="character" w:customStyle="1" w:styleId="WW8Num1z4">
    <w:name w:val="WW8Num1z4"/>
    <w:rsid w:val="002412CC"/>
    <w:rPr>
      <w:rFonts w:ascii="Courier New" w:hAnsi="Courier New" w:cs="Courier New" w:hint="default"/>
    </w:rPr>
  </w:style>
  <w:style w:type="character" w:customStyle="1" w:styleId="WW8Num2z0">
    <w:name w:val="WW8Num2z0"/>
    <w:rsid w:val="002412CC"/>
    <w:rPr>
      <w:rFonts w:ascii="Times New Roman" w:hAnsi="Times New Roman" w:cs="Times New Roman" w:hint="default"/>
    </w:rPr>
  </w:style>
  <w:style w:type="character" w:customStyle="1" w:styleId="WW8Num2z1">
    <w:name w:val="WW8Num2z1"/>
    <w:rsid w:val="002412CC"/>
    <w:rPr>
      <w:rFonts w:ascii="Courier New" w:hAnsi="Courier New" w:cs="Courier New" w:hint="default"/>
    </w:rPr>
  </w:style>
  <w:style w:type="character" w:customStyle="1" w:styleId="WW8Num2z2">
    <w:name w:val="WW8Num2z2"/>
    <w:rsid w:val="002412CC"/>
    <w:rPr>
      <w:rFonts w:ascii="Wingdings" w:hAnsi="Wingdings" w:hint="default"/>
    </w:rPr>
  </w:style>
  <w:style w:type="character" w:customStyle="1" w:styleId="WW8Num2z3">
    <w:name w:val="WW8Num2z3"/>
    <w:rsid w:val="002412CC"/>
    <w:rPr>
      <w:rFonts w:ascii="Symbol" w:hAnsi="Symbol" w:hint="default"/>
    </w:rPr>
  </w:style>
  <w:style w:type="character" w:customStyle="1" w:styleId="WW8Num3z0">
    <w:name w:val="WW8Num3z0"/>
    <w:rsid w:val="002412CC"/>
    <w:rPr>
      <w:rFonts w:ascii="Symbol" w:hAnsi="Symbol" w:hint="default"/>
    </w:rPr>
  </w:style>
  <w:style w:type="character" w:customStyle="1" w:styleId="WW8Num3z2">
    <w:name w:val="WW8Num3z2"/>
    <w:rsid w:val="002412CC"/>
    <w:rPr>
      <w:rFonts w:ascii="Wingdings" w:hAnsi="Wingdings" w:hint="default"/>
    </w:rPr>
  </w:style>
  <w:style w:type="character" w:customStyle="1" w:styleId="WW8Num3z4">
    <w:name w:val="WW8Num3z4"/>
    <w:rsid w:val="002412CC"/>
    <w:rPr>
      <w:rFonts w:ascii="Courier New" w:hAnsi="Courier New" w:cs="Courier New" w:hint="default"/>
    </w:rPr>
  </w:style>
  <w:style w:type="character" w:customStyle="1" w:styleId="WW8Num4z0">
    <w:name w:val="WW8Num4z0"/>
    <w:rsid w:val="002412CC"/>
    <w:rPr>
      <w:rFonts w:ascii="Wingdings" w:hAnsi="Wingdings" w:hint="default"/>
      <w:color w:val="auto"/>
    </w:rPr>
  </w:style>
  <w:style w:type="character" w:customStyle="1" w:styleId="WW8Num4z1">
    <w:name w:val="WW8Num4z1"/>
    <w:rsid w:val="002412CC"/>
    <w:rPr>
      <w:rFonts w:ascii="Times New Roman" w:hAnsi="Times New Roman" w:cs="Times New Roman" w:hint="default"/>
    </w:rPr>
  </w:style>
  <w:style w:type="character" w:customStyle="1" w:styleId="WW8Num4z2">
    <w:name w:val="WW8Num4z2"/>
    <w:rsid w:val="002412CC"/>
    <w:rPr>
      <w:rFonts w:ascii="Wingdings" w:hAnsi="Wingdings" w:hint="default"/>
    </w:rPr>
  </w:style>
  <w:style w:type="character" w:customStyle="1" w:styleId="WW8Num4z3">
    <w:name w:val="WW8Num4z3"/>
    <w:rsid w:val="002412CC"/>
    <w:rPr>
      <w:rFonts w:ascii="Symbol" w:hAnsi="Symbol" w:hint="default"/>
    </w:rPr>
  </w:style>
  <w:style w:type="character" w:customStyle="1" w:styleId="WW8Num4z4">
    <w:name w:val="WW8Num4z4"/>
    <w:rsid w:val="002412CC"/>
    <w:rPr>
      <w:rFonts w:ascii="Courier New" w:hAnsi="Courier New" w:cs="Courier New" w:hint="default"/>
    </w:rPr>
  </w:style>
  <w:style w:type="character" w:customStyle="1" w:styleId="WW8Num5z0">
    <w:name w:val="WW8Num5z0"/>
    <w:rsid w:val="002412CC"/>
    <w:rPr>
      <w:rFonts w:ascii="Times New Roman" w:hAnsi="Times New Roman" w:cs="Times New Roman" w:hint="default"/>
    </w:rPr>
  </w:style>
  <w:style w:type="character" w:customStyle="1" w:styleId="WW8Num5z1">
    <w:name w:val="WW8Num5z1"/>
    <w:rsid w:val="002412CC"/>
    <w:rPr>
      <w:rFonts w:ascii="Courier New" w:hAnsi="Courier New" w:cs="Courier New" w:hint="default"/>
    </w:rPr>
  </w:style>
  <w:style w:type="character" w:customStyle="1" w:styleId="WW8Num5z2">
    <w:name w:val="WW8Num5z2"/>
    <w:rsid w:val="002412CC"/>
    <w:rPr>
      <w:rFonts w:ascii="Wingdings" w:hAnsi="Wingdings" w:hint="default"/>
    </w:rPr>
  </w:style>
  <w:style w:type="character" w:customStyle="1" w:styleId="WW8Num5z3">
    <w:name w:val="WW8Num5z3"/>
    <w:rsid w:val="002412CC"/>
    <w:rPr>
      <w:rFonts w:ascii="Symbol" w:hAnsi="Symbol" w:hint="default"/>
    </w:rPr>
  </w:style>
  <w:style w:type="character" w:customStyle="1" w:styleId="WW8Num6z0">
    <w:name w:val="WW8Num6z0"/>
    <w:rsid w:val="002412CC"/>
    <w:rPr>
      <w:rFonts w:ascii="Times New Roman" w:hAnsi="Times New Roman" w:cs="Times New Roman" w:hint="default"/>
    </w:rPr>
  </w:style>
  <w:style w:type="character" w:customStyle="1" w:styleId="WW8Num6z1">
    <w:name w:val="WW8Num6z1"/>
    <w:rsid w:val="002412CC"/>
    <w:rPr>
      <w:rFonts w:ascii="Courier New" w:hAnsi="Courier New" w:cs="Courier New" w:hint="default"/>
    </w:rPr>
  </w:style>
  <w:style w:type="character" w:customStyle="1" w:styleId="WW8Num6z2">
    <w:name w:val="WW8Num6z2"/>
    <w:rsid w:val="002412CC"/>
    <w:rPr>
      <w:rFonts w:ascii="Wingdings" w:hAnsi="Wingdings" w:hint="default"/>
    </w:rPr>
  </w:style>
  <w:style w:type="character" w:customStyle="1" w:styleId="WW8Num6z3">
    <w:name w:val="WW8Num6z3"/>
    <w:rsid w:val="002412CC"/>
    <w:rPr>
      <w:rFonts w:ascii="Symbol" w:hAnsi="Symbol" w:hint="default"/>
    </w:rPr>
  </w:style>
  <w:style w:type="character" w:customStyle="1" w:styleId="WW8Num8z0">
    <w:name w:val="WW8Num8z0"/>
    <w:rsid w:val="002412CC"/>
    <w:rPr>
      <w:rFonts w:ascii="Times New Roman" w:hAnsi="Times New Roman" w:cs="Times New Roman" w:hint="default"/>
    </w:rPr>
  </w:style>
  <w:style w:type="character" w:customStyle="1" w:styleId="WW8Num8z1">
    <w:name w:val="WW8Num8z1"/>
    <w:rsid w:val="002412CC"/>
    <w:rPr>
      <w:rFonts w:ascii="Courier New" w:hAnsi="Courier New" w:cs="Courier New" w:hint="default"/>
    </w:rPr>
  </w:style>
  <w:style w:type="character" w:customStyle="1" w:styleId="WW8Num8z2">
    <w:name w:val="WW8Num8z2"/>
    <w:rsid w:val="002412CC"/>
    <w:rPr>
      <w:rFonts w:ascii="Wingdings" w:hAnsi="Wingdings" w:hint="default"/>
    </w:rPr>
  </w:style>
  <w:style w:type="character" w:customStyle="1" w:styleId="WW8Num8z3">
    <w:name w:val="WW8Num8z3"/>
    <w:rsid w:val="002412CC"/>
    <w:rPr>
      <w:rFonts w:ascii="Symbol" w:hAnsi="Symbol" w:hint="default"/>
    </w:rPr>
  </w:style>
  <w:style w:type="character" w:customStyle="1" w:styleId="WW8Num9z0">
    <w:name w:val="WW8Num9z0"/>
    <w:rsid w:val="002412CC"/>
    <w:rPr>
      <w:rFonts w:ascii="Times New Roman" w:hAnsi="Times New Roman" w:cs="Times New Roman" w:hint="default"/>
    </w:rPr>
  </w:style>
  <w:style w:type="character" w:customStyle="1" w:styleId="WW8Num9z1">
    <w:name w:val="WW8Num9z1"/>
    <w:rsid w:val="002412CC"/>
    <w:rPr>
      <w:rFonts w:ascii="Courier New" w:hAnsi="Courier New" w:cs="Courier New" w:hint="default"/>
    </w:rPr>
  </w:style>
  <w:style w:type="character" w:customStyle="1" w:styleId="WW8Num9z2">
    <w:name w:val="WW8Num9z2"/>
    <w:rsid w:val="002412CC"/>
    <w:rPr>
      <w:rFonts w:ascii="Wingdings" w:hAnsi="Wingdings" w:hint="default"/>
    </w:rPr>
  </w:style>
  <w:style w:type="character" w:customStyle="1" w:styleId="WW8Num9z3">
    <w:name w:val="WW8Num9z3"/>
    <w:rsid w:val="002412CC"/>
    <w:rPr>
      <w:rFonts w:ascii="Symbol" w:hAnsi="Symbol" w:hint="default"/>
    </w:rPr>
  </w:style>
  <w:style w:type="character" w:customStyle="1" w:styleId="WW8Num10z1">
    <w:name w:val="WW8Num10z1"/>
    <w:rsid w:val="002412CC"/>
    <w:rPr>
      <w:rFonts w:ascii="Times New Roman" w:hAnsi="Times New Roman" w:cs="Times New Roman" w:hint="default"/>
    </w:rPr>
  </w:style>
  <w:style w:type="character" w:customStyle="1" w:styleId="WW8Num12z0">
    <w:name w:val="WW8Num12z0"/>
    <w:rsid w:val="002412CC"/>
    <w:rPr>
      <w:rFonts w:ascii="Symbol" w:hAnsi="Symbol" w:hint="default"/>
    </w:rPr>
  </w:style>
  <w:style w:type="character" w:customStyle="1" w:styleId="WW8Num12z2">
    <w:name w:val="WW8Num12z2"/>
    <w:rsid w:val="002412CC"/>
    <w:rPr>
      <w:rFonts w:ascii="Wingdings" w:hAnsi="Wingdings" w:hint="default"/>
    </w:rPr>
  </w:style>
  <w:style w:type="character" w:customStyle="1" w:styleId="WW8Num12z4">
    <w:name w:val="WW8Num12z4"/>
    <w:rsid w:val="002412CC"/>
    <w:rPr>
      <w:rFonts w:ascii="Courier New" w:hAnsi="Courier New" w:cs="Courier New" w:hint="default"/>
    </w:rPr>
  </w:style>
  <w:style w:type="character" w:customStyle="1" w:styleId="WW8Num13z0">
    <w:name w:val="WW8Num13z0"/>
    <w:rsid w:val="002412CC"/>
    <w:rPr>
      <w:rFonts w:ascii="Wingdings" w:hAnsi="Wingdings" w:hint="default"/>
    </w:rPr>
  </w:style>
  <w:style w:type="character" w:customStyle="1" w:styleId="WW8Num13z1">
    <w:name w:val="WW8Num13z1"/>
    <w:rsid w:val="002412CC"/>
    <w:rPr>
      <w:rFonts w:ascii="Courier New" w:hAnsi="Courier New" w:cs="Courier New" w:hint="default"/>
    </w:rPr>
  </w:style>
  <w:style w:type="character" w:customStyle="1" w:styleId="WW8Num13z2">
    <w:name w:val="WW8Num13z2"/>
    <w:rsid w:val="002412CC"/>
    <w:rPr>
      <w:rFonts w:ascii="Times New Roman" w:hAnsi="Times New Roman" w:cs="Times New Roman" w:hint="default"/>
    </w:rPr>
  </w:style>
  <w:style w:type="character" w:customStyle="1" w:styleId="WW8Num13z3">
    <w:name w:val="WW8Num13z3"/>
    <w:rsid w:val="002412CC"/>
    <w:rPr>
      <w:rFonts w:ascii="Symbol" w:hAnsi="Symbol" w:hint="default"/>
    </w:rPr>
  </w:style>
  <w:style w:type="character" w:customStyle="1" w:styleId="WW8Num14z1">
    <w:name w:val="WW8Num14z1"/>
    <w:rsid w:val="002412CC"/>
    <w:rPr>
      <w:rFonts w:ascii="Times New Roman" w:hAnsi="Times New Roman" w:cs="Times New Roman" w:hint="default"/>
    </w:rPr>
  </w:style>
  <w:style w:type="character" w:customStyle="1" w:styleId="WW8Num15z0">
    <w:name w:val="WW8Num15z0"/>
    <w:rsid w:val="002412CC"/>
    <w:rPr>
      <w:rFonts w:ascii="Symbol" w:hAnsi="Symbol" w:hint="default"/>
    </w:rPr>
  </w:style>
  <w:style w:type="character" w:customStyle="1" w:styleId="WW8Num15z1">
    <w:name w:val="WW8Num15z1"/>
    <w:rsid w:val="002412CC"/>
    <w:rPr>
      <w:rFonts w:ascii="Courier New" w:hAnsi="Courier New" w:cs="Courier New" w:hint="default"/>
    </w:rPr>
  </w:style>
  <w:style w:type="character" w:customStyle="1" w:styleId="WW8Num15z2">
    <w:name w:val="WW8Num15z2"/>
    <w:rsid w:val="002412CC"/>
    <w:rPr>
      <w:rFonts w:ascii="Wingdings" w:hAnsi="Wingdings" w:hint="default"/>
    </w:rPr>
  </w:style>
  <w:style w:type="character" w:customStyle="1" w:styleId="WW8Num16z0">
    <w:name w:val="WW8Num16z0"/>
    <w:rsid w:val="002412CC"/>
    <w:rPr>
      <w:rFonts w:ascii="Times New Roman" w:hAnsi="Times New Roman" w:cs="Times New Roman" w:hint="default"/>
      <w:b/>
      <w:bCs w:val="0"/>
      <w:sz w:val="28"/>
      <w:u w:val="single"/>
    </w:rPr>
  </w:style>
  <w:style w:type="character" w:customStyle="1" w:styleId="WW8Num16z1">
    <w:name w:val="WW8Num16z1"/>
    <w:rsid w:val="002412CC"/>
    <w:rPr>
      <w:rFonts w:ascii="Times New Roman" w:hAnsi="Times New Roman" w:cs="Times New Roman" w:hint="default"/>
      <w:b/>
      <w:bCs w:val="0"/>
      <w:strike w:val="0"/>
      <w:dstrike w:val="0"/>
      <w:sz w:val="30"/>
      <w:u w:val="none"/>
      <w:effect w:val="none"/>
    </w:rPr>
  </w:style>
  <w:style w:type="character" w:customStyle="1" w:styleId="WW8Num16z2">
    <w:name w:val="WW8Num16z2"/>
    <w:rsid w:val="002412CC"/>
    <w:rPr>
      <w:rFonts w:ascii="Times New Roman" w:hAnsi="Times New Roman" w:cs="Times New Roman" w:hint="default"/>
      <w:b/>
      <w:bCs w:val="0"/>
      <w:sz w:val="26"/>
    </w:rPr>
  </w:style>
  <w:style w:type="character" w:customStyle="1" w:styleId="WW8Num16z3">
    <w:name w:val="WW8Num16z3"/>
    <w:rsid w:val="002412CC"/>
    <w:rPr>
      <w:rFonts w:ascii="Times New Roman" w:hAnsi="Times New Roman" w:cs="Times New Roman" w:hint="default"/>
      <w:b/>
      <w:bCs w:val="0"/>
      <w:i/>
      <w:iCs w:val="0"/>
      <w:sz w:val="26"/>
    </w:rPr>
  </w:style>
  <w:style w:type="character" w:customStyle="1" w:styleId="WW8Num17z0">
    <w:name w:val="WW8Num17z0"/>
    <w:rsid w:val="002412CC"/>
  </w:style>
  <w:style w:type="character" w:customStyle="1" w:styleId="WW8Num18z0">
    <w:name w:val="WW8Num18z0"/>
    <w:rsid w:val="002412CC"/>
    <w:rPr>
      <w:rFonts w:ascii="Symbol" w:hAnsi="Symbol" w:hint="default"/>
    </w:rPr>
  </w:style>
  <w:style w:type="character" w:customStyle="1" w:styleId="WW8Num18z2">
    <w:name w:val="WW8Num18z2"/>
    <w:rsid w:val="002412CC"/>
    <w:rPr>
      <w:rFonts w:ascii="Wingdings" w:hAnsi="Wingdings" w:hint="default"/>
    </w:rPr>
  </w:style>
  <w:style w:type="character" w:customStyle="1" w:styleId="WW8Num18z4">
    <w:name w:val="WW8Num18z4"/>
    <w:rsid w:val="002412CC"/>
    <w:rPr>
      <w:rFonts w:ascii="Courier New" w:hAnsi="Courier New" w:cs="Courier New" w:hint="default"/>
    </w:rPr>
  </w:style>
  <w:style w:type="character" w:customStyle="1" w:styleId="WW8Num19z1">
    <w:name w:val="WW8Num19z1"/>
    <w:rsid w:val="002412CC"/>
    <w:rPr>
      <w:rFonts w:ascii="Courier New" w:hAnsi="Courier New" w:cs="Courier New" w:hint="default"/>
    </w:rPr>
  </w:style>
  <w:style w:type="character" w:customStyle="1" w:styleId="WW8Num19z2">
    <w:name w:val="WW8Num19z2"/>
    <w:rsid w:val="002412CC"/>
    <w:rPr>
      <w:rFonts w:ascii="Wingdings" w:hAnsi="Wingdings" w:hint="default"/>
    </w:rPr>
  </w:style>
  <w:style w:type="character" w:customStyle="1" w:styleId="WW8Num19z3">
    <w:name w:val="WW8Num19z3"/>
    <w:rsid w:val="002412CC"/>
    <w:rPr>
      <w:rFonts w:ascii="Symbol" w:hAnsi="Symbol" w:hint="default"/>
    </w:rPr>
  </w:style>
  <w:style w:type="character" w:customStyle="1" w:styleId="Domylnaczcionkaakapitu1">
    <w:name w:val="Domyślna czcionka akapitu1"/>
    <w:rsid w:val="002412CC"/>
  </w:style>
  <w:style w:type="character" w:customStyle="1" w:styleId="Znakiprzypiswkocowych">
    <w:name w:val="Znaki przypisów końcowych"/>
    <w:basedOn w:val="Domylnaczcionkaakapitu1"/>
    <w:rsid w:val="002412CC"/>
    <w:rPr>
      <w:rFonts w:ascii="Times New Roman" w:hAnsi="Times New Roman" w:cs="Times New Roman" w:hint="default"/>
      <w:vertAlign w:val="superscript"/>
    </w:rPr>
  </w:style>
  <w:style w:type="character" w:customStyle="1" w:styleId="FontStyle22">
    <w:name w:val="Font Style22"/>
    <w:basedOn w:val="Domylnaczcionkaakapitu"/>
    <w:rsid w:val="002412CC"/>
    <w:rPr>
      <w:rFonts w:ascii="Times New Roman" w:hAnsi="Times New Roman" w:cs="Times New Roman" w:hint="default"/>
      <w:sz w:val="22"/>
      <w:szCs w:val="22"/>
    </w:rPr>
  </w:style>
  <w:style w:type="character" w:customStyle="1" w:styleId="Tekstzastpczy1">
    <w:name w:val="Tekst zastępczy1"/>
    <w:basedOn w:val="Domylnaczcionkaakapitu"/>
    <w:semiHidden/>
    <w:rsid w:val="002412CC"/>
    <w:rPr>
      <w:rFonts w:ascii="Times New Roman" w:hAnsi="Times New Roman" w:cs="Times New Roman" w:hint="default"/>
      <w:color w:val="808080"/>
    </w:rPr>
  </w:style>
  <w:style w:type="character" w:customStyle="1" w:styleId="FontStyle46">
    <w:name w:val="Font Style46"/>
    <w:basedOn w:val="Domylnaczcionkaakapitu"/>
    <w:uiPriority w:val="99"/>
    <w:rsid w:val="002412CC"/>
    <w:rPr>
      <w:rFonts w:ascii="Verdana" w:hAnsi="Verdana" w:cs="Verdana" w:hint="default"/>
      <w:smallCaps/>
      <w:sz w:val="16"/>
      <w:szCs w:val="16"/>
    </w:rPr>
  </w:style>
  <w:style w:type="character" w:customStyle="1" w:styleId="FontStyle50">
    <w:name w:val="Font Style50"/>
    <w:basedOn w:val="Domylnaczcionkaakapitu"/>
    <w:uiPriority w:val="99"/>
    <w:rsid w:val="002412CC"/>
    <w:rPr>
      <w:rFonts w:ascii="Verdana" w:hAnsi="Verdana" w:cs="Verdana" w:hint="default"/>
      <w:smallCaps/>
      <w:sz w:val="18"/>
      <w:szCs w:val="18"/>
    </w:rPr>
  </w:style>
  <w:style w:type="character" w:customStyle="1" w:styleId="FontStyle52">
    <w:name w:val="Font Style52"/>
    <w:basedOn w:val="Domylnaczcionkaakapitu"/>
    <w:uiPriority w:val="99"/>
    <w:rsid w:val="002412CC"/>
    <w:rPr>
      <w:rFonts w:ascii="Verdana" w:hAnsi="Verdana" w:cs="Verdana" w:hint="default"/>
      <w:i/>
      <w:iCs/>
      <w:sz w:val="12"/>
      <w:szCs w:val="12"/>
    </w:rPr>
  </w:style>
  <w:style w:type="character" w:customStyle="1" w:styleId="FontStyle56">
    <w:name w:val="Font Style56"/>
    <w:basedOn w:val="Domylnaczcionkaakapitu"/>
    <w:uiPriority w:val="99"/>
    <w:rsid w:val="002412CC"/>
    <w:rPr>
      <w:rFonts w:ascii="Verdana" w:hAnsi="Verdana" w:cs="Verdana" w:hint="default"/>
      <w:sz w:val="12"/>
      <w:szCs w:val="12"/>
    </w:rPr>
  </w:style>
  <w:style w:type="character" w:customStyle="1" w:styleId="FontStyle57">
    <w:name w:val="Font Style57"/>
    <w:basedOn w:val="Domylnaczcionkaakapitu"/>
    <w:uiPriority w:val="99"/>
    <w:rsid w:val="002412CC"/>
    <w:rPr>
      <w:rFonts w:ascii="Verdana" w:hAnsi="Verdana" w:cs="Verdana" w:hint="default"/>
      <w:spacing w:val="-10"/>
      <w:sz w:val="16"/>
      <w:szCs w:val="16"/>
    </w:rPr>
  </w:style>
  <w:style w:type="character" w:customStyle="1" w:styleId="FontStyle55">
    <w:name w:val="Font Style55"/>
    <w:basedOn w:val="Domylnaczcionkaakapitu"/>
    <w:uiPriority w:val="99"/>
    <w:rsid w:val="002412CC"/>
    <w:rPr>
      <w:rFonts w:ascii="Verdana" w:hAnsi="Verdana" w:cs="Verdana" w:hint="default"/>
      <w:i/>
      <w:iCs/>
      <w:spacing w:val="20"/>
      <w:sz w:val="16"/>
      <w:szCs w:val="16"/>
    </w:rPr>
  </w:style>
  <w:style w:type="character" w:customStyle="1" w:styleId="FontStyle58">
    <w:name w:val="Font Style58"/>
    <w:basedOn w:val="Domylnaczcionkaakapitu"/>
    <w:uiPriority w:val="99"/>
    <w:rsid w:val="002412CC"/>
    <w:rPr>
      <w:rFonts w:ascii="Verdana" w:hAnsi="Verdana" w:cs="Verdana" w:hint="default"/>
      <w:sz w:val="16"/>
      <w:szCs w:val="16"/>
    </w:rPr>
  </w:style>
  <w:style w:type="character" w:customStyle="1" w:styleId="FontStyle48">
    <w:name w:val="Font Style48"/>
    <w:basedOn w:val="Domylnaczcionkaakapitu"/>
    <w:uiPriority w:val="99"/>
    <w:rsid w:val="002412CC"/>
    <w:rPr>
      <w:rFonts w:ascii="Verdana" w:hAnsi="Verdana" w:cs="Verdana" w:hint="default"/>
      <w:i/>
      <w:iCs/>
      <w:smallCaps/>
      <w:sz w:val="16"/>
      <w:szCs w:val="16"/>
    </w:rPr>
  </w:style>
  <w:style w:type="character" w:customStyle="1" w:styleId="FontStyle119">
    <w:name w:val="Font Style119"/>
    <w:basedOn w:val="Domylnaczcionkaakapitu"/>
    <w:uiPriority w:val="99"/>
    <w:rsid w:val="002412CC"/>
    <w:rPr>
      <w:rFonts w:ascii="MS Reference Sans Serif" w:hAnsi="MS Reference Sans Serif" w:cs="MS Reference Sans Serif" w:hint="default"/>
      <w:b/>
      <w:bCs/>
      <w:sz w:val="14"/>
      <w:szCs w:val="14"/>
    </w:rPr>
  </w:style>
  <w:style w:type="character" w:customStyle="1" w:styleId="FontStyle123">
    <w:name w:val="Font Style123"/>
    <w:basedOn w:val="Domylnaczcionkaakapitu"/>
    <w:uiPriority w:val="99"/>
    <w:rsid w:val="002412CC"/>
    <w:rPr>
      <w:rFonts w:ascii="MS Reference Sans Serif" w:hAnsi="MS Reference Sans Serif" w:cs="MS Reference Sans Serif" w:hint="default"/>
      <w:b/>
      <w:bCs/>
      <w:sz w:val="16"/>
      <w:szCs w:val="16"/>
    </w:rPr>
  </w:style>
  <w:style w:type="character" w:customStyle="1" w:styleId="FontStyle124">
    <w:name w:val="Font Style124"/>
    <w:basedOn w:val="Domylnaczcionkaakapitu"/>
    <w:uiPriority w:val="99"/>
    <w:rsid w:val="002412CC"/>
    <w:rPr>
      <w:rFonts w:ascii="Franklin Gothic Demi" w:hAnsi="Franklin Gothic Demi" w:cs="Franklin Gothic Demi" w:hint="default"/>
      <w:sz w:val="20"/>
      <w:szCs w:val="20"/>
    </w:rPr>
  </w:style>
  <w:style w:type="character" w:customStyle="1" w:styleId="FontStyle125">
    <w:name w:val="Font Style125"/>
    <w:basedOn w:val="Domylnaczcionkaakapitu"/>
    <w:uiPriority w:val="99"/>
    <w:rsid w:val="002412CC"/>
    <w:rPr>
      <w:rFonts w:ascii="Verdana" w:hAnsi="Verdana" w:cs="Verdana" w:hint="default"/>
      <w:b/>
      <w:bCs/>
      <w:sz w:val="14"/>
      <w:szCs w:val="14"/>
    </w:rPr>
  </w:style>
  <w:style w:type="character" w:customStyle="1" w:styleId="FontStyle126">
    <w:name w:val="Font Style126"/>
    <w:basedOn w:val="Domylnaczcionkaakapitu"/>
    <w:uiPriority w:val="99"/>
    <w:rsid w:val="002412CC"/>
    <w:rPr>
      <w:rFonts w:ascii="MS Reference Sans Serif" w:hAnsi="MS Reference Sans Serif" w:cs="MS Reference Sans Serif" w:hint="default"/>
      <w:b/>
      <w:bCs/>
      <w:i/>
      <w:iCs/>
      <w:sz w:val="10"/>
      <w:szCs w:val="10"/>
    </w:rPr>
  </w:style>
  <w:style w:type="character" w:customStyle="1" w:styleId="FontStyle133">
    <w:name w:val="Font Style133"/>
    <w:basedOn w:val="Domylnaczcionkaakapitu"/>
    <w:uiPriority w:val="99"/>
    <w:rsid w:val="002412CC"/>
    <w:rPr>
      <w:rFonts w:ascii="MS Reference Sans Serif" w:hAnsi="MS Reference Sans Serif" w:cs="MS Reference Sans Serif" w:hint="default"/>
      <w:b/>
      <w:bCs/>
      <w:i/>
      <w:iCs/>
      <w:sz w:val="12"/>
      <w:szCs w:val="12"/>
    </w:rPr>
  </w:style>
  <w:style w:type="character" w:customStyle="1" w:styleId="FontStyle134">
    <w:name w:val="Font Style134"/>
    <w:basedOn w:val="Domylnaczcionkaakapitu"/>
    <w:uiPriority w:val="99"/>
    <w:rsid w:val="002412CC"/>
    <w:rPr>
      <w:rFonts w:ascii="MS Reference Sans Serif" w:hAnsi="MS Reference Sans Serif" w:cs="MS Reference Sans Serif" w:hint="default"/>
      <w:b/>
      <w:bCs/>
      <w:sz w:val="12"/>
      <w:szCs w:val="12"/>
    </w:rPr>
  </w:style>
  <w:style w:type="character" w:customStyle="1" w:styleId="FontStyle127">
    <w:name w:val="Font Style127"/>
    <w:basedOn w:val="Domylnaczcionkaakapitu"/>
    <w:uiPriority w:val="99"/>
    <w:rsid w:val="002412CC"/>
    <w:rPr>
      <w:rFonts w:ascii="MS Reference Sans Serif" w:hAnsi="MS Reference Sans Serif" w:cs="MS Reference Sans Serif" w:hint="default"/>
      <w:b/>
      <w:bCs/>
      <w:i/>
      <w:iCs/>
      <w:smallCaps/>
      <w:sz w:val="14"/>
      <w:szCs w:val="14"/>
    </w:rPr>
  </w:style>
  <w:style w:type="character" w:customStyle="1" w:styleId="FontStyle141">
    <w:name w:val="Font Style141"/>
    <w:basedOn w:val="Domylnaczcionkaakapitu"/>
    <w:uiPriority w:val="99"/>
    <w:rsid w:val="002412CC"/>
    <w:rPr>
      <w:rFonts w:ascii="Corbel" w:hAnsi="Corbel" w:cs="Corbel" w:hint="default"/>
      <w:b/>
      <w:bCs/>
      <w:sz w:val="12"/>
      <w:szCs w:val="12"/>
    </w:rPr>
  </w:style>
  <w:style w:type="character" w:customStyle="1" w:styleId="FontStyle148">
    <w:name w:val="Font Style148"/>
    <w:basedOn w:val="Domylnaczcionkaakapitu"/>
    <w:uiPriority w:val="99"/>
    <w:rsid w:val="002412CC"/>
    <w:rPr>
      <w:rFonts w:ascii="Verdana" w:hAnsi="Verdana" w:cs="Verdana" w:hint="default"/>
      <w:i/>
      <w:iCs/>
      <w:smallCaps/>
      <w:sz w:val="16"/>
      <w:szCs w:val="16"/>
    </w:rPr>
  </w:style>
  <w:style w:type="character" w:customStyle="1" w:styleId="FontStyle53">
    <w:name w:val="Font Style53"/>
    <w:basedOn w:val="Domylnaczcionkaakapitu"/>
    <w:uiPriority w:val="99"/>
    <w:rsid w:val="002412CC"/>
    <w:rPr>
      <w:rFonts w:ascii="Verdana" w:hAnsi="Verdana" w:cs="Verdana" w:hint="default"/>
      <w:i/>
      <w:iCs/>
      <w:sz w:val="10"/>
      <w:szCs w:val="10"/>
    </w:rPr>
  </w:style>
  <w:style w:type="character" w:customStyle="1" w:styleId="FontStyle114">
    <w:name w:val="Font Style114"/>
    <w:basedOn w:val="Domylnaczcionkaakapitu"/>
    <w:uiPriority w:val="99"/>
    <w:rsid w:val="002412CC"/>
    <w:rPr>
      <w:rFonts w:ascii="MS Reference Sans Serif" w:hAnsi="MS Reference Sans Serif" w:cs="MS Reference Sans Serif" w:hint="default"/>
      <w:b/>
      <w:bCs/>
      <w:sz w:val="18"/>
      <w:szCs w:val="18"/>
    </w:rPr>
  </w:style>
  <w:style w:type="character" w:customStyle="1" w:styleId="FontStyle128">
    <w:name w:val="Font Style128"/>
    <w:basedOn w:val="Domylnaczcionkaakapitu"/>
    <w:uiPriority w:val="99"/>
    <w:rsid w:val="002412CC"/>
    <w:rPr>
      <w:rFonts w:ascii="Corbel" w:hAnsi="Corbel" w:cs="Corbel" w:hint="default"/>
      <w:sz w:val="24"/>
      <w:szCs w:val="24"/>
    </w:rPr>
  </w:style>
  <w:style w:type="character" w:customStyle="1" w:styleId="FontStyle129">
    <w:name w:val="Font Style129"/>
    <w:basedOn w:val="Domylnaczcionkaakapitu"/>
    <w:uiPriority w:val="99"/>
    <w:rsid w:val="002412CC"/>
    <w:rPr>
      <w:rFonts w:ascii="MS Reference Sans Serif" w:hAnsi="MS Reference Sans Serif" w:cs="MS Reference Sans Serif" w:hint="default"/>
      <w:b/>
      <w:bCs/>
      <w:sz w:val="14"/>
      <w:szCs w:val="14"/>
    </w:rPr>
  </w:style>
  <w:style w:type="character" w:customStyle="1" w:styleId="FontStyle130">
    <w:name w:val="Font Style130"/>
    <w:basedOn w:val="Domylnaczcionkaakapitu"/>
    <w:uiPriority w:val="99"/>
    <w:rsid w:val="002412CC"/>
    <w:rPr>
      <w:rFonts w:ascii="Tahoma" w:hAnsi="Tahoma" w:cs="Tahoma" w:hint="default"/>
      <w:b/>
      <w:bCs/>
      <w:sz w:val="16"/>
      <w:szCs w:val="16"/>
    </w:rPr>
  </w:style>
  <w:style w:type="character" w:customStyle="1" w:styleId="FontStyle135">
    <w:name w:val="Font Style135"/>
    <w:basedOn w:val="Domylnaczcionkaakapitu"/>
    <w:uiPriority w:val="99"/>
    <w:rsid w:val="002412CC"/>
    <w:rPr>
      <w:rFonts w:ascii="MS Reference Sans Serif" w:hAnsi="MS Reference Sans Serif" w:cs="MS Reference Sans Serif" w:hint="default"/>
      <w:smallCaps/>
      <w:spacing w:val="-10"/>
      <w:sz w:val="10"/>
      <w:szCs w:val="10"/>
    </w:rPr>
  </w:style>
  <w:style w:type="character" w:customStyle="1" w:styleId="FontStyle131">
    <w:name w:val="Font Style131"/>
    <w:basedOn w:val="Domylnaczcionkaakapitu"/>
    <w:uiPriority w:val="99"/>
    <w:rsid w:val="002412CC"/>
    <w:rPr>
      <w:rFonts w:ascii="Consolas" w:hAnsi="Consolas" w:cs="Consolas" w:hint="default"/>
      <w:b/>
      <w:bCs/>
      <w:sz w:val="12"/>
      <w:szCs w:val="12"/>
    </w:rPr>
  </w:style>
  <w:style w:type="character" w:customStyle="1" w:styleId="FontStyle132">
    <w:name w:val="Font Style132"/>
    <w:basedOn w:val="Domylnaczcionkaakapitu"/>
    <w:uiPriority w:val="99"/>
    <w:rsid w:val="002412CC"/>
    <w:rPr>
      <w:rFonts w:ascii="Consolas" w:hAnsi="Consolas" w:cs="Consolas" w:hint="default"/>
      <w:b/>
      <w:bCs/>
      <w:i/>
      <w:iCs/>
      <w:sz w:val="10"/>
      <w:szCs w:val="10"/>
    </w:rPr>
  </w:style>
  <w:style w:type="character" w:customStyle="1" w:styleId="FontStyle143">
    <w:name w:val="Font Style143"/>
    <w:basedOn w:val="Domylnaczcionkaakapitu"/>
    <w:uiPriority w:val="99"/>
    <w:rsid w:val="002412CC"/>
    <w:rPr>
      <w:rFonts w:ascii="MS Reference Sans Serif" w:hAnsi="MS Reference Sans Serif" w:cs="MS Reference Sans Serif" w:hint="default"/>
      <w:b/>
      <w:bCs/>
      <w:smallCaps/>
      <w:sz w:val="14"/>
      <w:szCs w:val="14"/>
    </w:rPr>
  </w:style>
  <w:style w:type="character" w:customStyle="1" w:styleId="FontStyle149">
    <w:name w:val="Font Style149"/>
    <w:basedOn w:val="Domylnaczcionkaakapitu"/>
    <w:uiPriority w:val="99"/>
    <w:rsid w:val="002412CC"/>
    <w:rPr>
      <w:rFonts w:ascii="Franklin Gothic Demi" w:hAnsi="Franklin Gothic Demi" w:cs="Franklin Gothic Demi" w:hint="default"/>
      <w:sz w:val="20"/>
      <w:szCs w:val="20"/>
    </w:rPr>
  </w:style>
  <w:style w:type="character" w:customStyle="1" w:styleId="FontStyle150">
    <w:name w:val="Font Style150"/>
    <w:basedOn w:val="Domylnaczcionkaakapitu"/>
    <w:uiPriority w:val="99"/>
    <w:rsid w:val="002412CC"/>
    <w:rPr>
      <w:rFonts w:ascii="Arial Narrow" w:hAnsi="Arial Narrow" w:cs="Arial Narrow" w:hint="default"/>
      <w:sz w:val="22"/>
      <w:szCs w:val="22"/>
    </w:rPr>
  </w:style>
  <w:style w:type="character" w:customStyle="1" w:styleId="FontStyle151">
    <w:name w:val="Font Style151"/>
    <w:basedOn w:val="Domylnaczcionkaakapitu"/>
    <w:uiPriority w:val="99"/>
    <w:rsid w:val="002412CC"/>
    <w:rPr>
      <w:rFonts w:ascii="MS Reference Sans Serif" w:hAnsi="MS Reference Sans Serif" w:cs="MS Reference Sans Serif" w:hint="default"/>
      <w:sz w:val="16"/>
      <w:szCs w:val="16"/>
    </w:rPr>
  </w:style>
  <w:style w:type="character" w:customStyle="1" w:styleId="FontStyle154">
    <w:name w:val="Font Style154"/>
    <w:basedOn w:val="Domylnaczcionkaakapitu"/>
    <w:uiPriority w:val="99"/>
    <w:rsid w:val="002412CC"/>
    <w:rPr>
      <w:rFonts w:ascii="MS Reference Sans Serif" w:hAnsi="MS Reference Sans Serif" w:cs="MS Reference Sans Serif" w:hint="default"/>
      <w:sz w:val="16"/>
      <w:szCs w:val="16"/>
    </w:rPr>
  </w:style>
  <w:style w:type="character" w:customStyle="1" w:styleId="FontStyle155">
    <w:name w:val="Font Style155"/>
    <w:basedOn w:val="Domylnaczcionkaakapitu"/>
    <w:uiPriority w:val="99"/>
    <w:rsid w:val="002412CC"/>
    <w:rPr>
      <w:rFonts w:ascii="Corbel" w:hAnsi="Corbel" w:cs="Corbel" w:hint="default"/>
      <w:b/>
      <w:bCs/>
      <w:i/>
      <w:iCs/>
      <w:sz w:val="16"/>
      <w:szCs w:val="16"/>
    </w:rPr>
  </w:style>
  <w:style w:type="character" w:customStyle="1" w:styleId="FontStyle158">
    <w:name w:val="Font Style158"/>
    <w:basedOn w:val="Domylnaczcionkaakapitu"/>
    <w:uiPriority w:val="99"/>
    <w:rsid w:val="002412CC"/>
    <w:rPr>
      <w:rFonts w:ascii="MS Reference Sans Serif" w:hAnsi="MS Reference Sans Serif" w:cs="MS Reference Sans Serif" w:hint="default"/>
      <w:b/>
      <w:bCs/>
      <w:i/>
      <w:iCs/>
      <w:sz w:val="8"/>
      <w:szCs w:val="8"/>
    </w:rPr>
  </w:style>
  <w:style w:type="numbering" w:customStyle="1" w:styleId="Styl2">
    <w:name w:val="Styl2"/>
    <w:rsid w:val="002412CC"/>
    <w:pPr>
      <w:numPr>
        <w:numId w:val="60"/>
      </w:numPr>
    </w:pPr>
  </w:style>
  <w:style w:type="numbering" w:customStyle="1" w:styleId="Styl5">
    <w:name w:val="Styl5"/>
    <w:rsid w:val="002412CC"/>
    <w:pPr>
      <w:numPr>
        <w:numId w:val="61"/>
      </w:numPr>
    </w:pPr>
  </w:style>
  <w:style w:type="numbering" w:customStyle="1" w:styleId="Styl3">
    <w:name w:val="Styl3"/>
    <w:rsid w:val="002412CC"/>
    <w:pPr>
      <w:numPr>
        <w:numId w:val="62"/>
      </w:numPr>
    </w:pPr>
  </w:style>
  <w:style w:type="numbering" w:customStyle="1" w:styleId="StylStylStylKonspektynumerowaneKonspektynumerowane12pt">
    <w:name w:val="Styl Styl Styl Konspekty numerowane + Konspekty numerowane 12 pt +..."/>
    <w:rsid w:val="002412CC"/>
    <w:pPr>
      <w:numPr>
        <w:numId w:val="63"/>
      </w:numPr>
    </w:pPr>
  </w:style>
  <w:style w:type="numbering" w:customStyle="1" w:styleId="Styl1">
    <w:name w:val="Styl1"/>
    <w:uiPriority w:val="99"/>
    <w:rsid w:val="002412CC"/>
    <w:pPr>
      <w:numPr>
        <w:numId w:val="64"/>
      </w:numPr>
    </w:pPr>
  </w:style>
  <w:style w:type="numbering" w:customStyle="1" w:styleId="Styl4">
    <w:name w:val="Styl4"/>
    <w:rsid w:val="002412CC"/>
    <w:pPr>
      <w:numPr>
        <w:numId w:val="65"/>
      </w:numPr>
    </w:pPr>
  </w:style>
  <w:style w:type="numbering" w:styleId="111111">
    <w:name w:val="Outline List 2"/>
    <w:basedOn w:val="Bezlisty"/>
    <w:semiHidden/>
    <w:unhideWhenUsed/>
    <w:locked/>
    <w:rsid w:val="002412CC"/>
    <w:pPr>
      <w:numPr>
        <w:numId w:val="66"/>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pl-PL" w:eastAsia="pl-PL"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semiHidden="0" w:uiPriority="0" w:unhideWhenUsed="0" w:qFormat="1"/>
    <w:lsdException w:name="footnote reference" w:uiPriority="0"/>
    <w:lsdException w:name="annotation reference"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4" w:uiPriority="0"/>
    <w:lsdException w:name="List 5" w:uiPriority="0"/>
    <w:lsdException w:name="List Bullet 2" w:uiPriority="0"/>
    <w:lsdException w:name="List Bullet 3" w:uiPriority="0"/>
    <w:lsdException w:name="List Bullet 4" w:uiPriority="0"/>
    <w:lsdException w:name="List Bullet 5" w:uiPriority="0"/>
    <w:lsdException w:name="Title" w:semiHidden="0" w:uiPriority="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List Continue 3" w:uiPriority="0"/>
    <w:lsdException w:name="List Continue 4" w:uiPriority="0"/>
    <w:lsdException w:name="List Continue 5"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Outline List 2" w:uiPriority="0"/>
    <w:lsdException w:name="Balloon Text" w:uiPriority="0"/>
    <w:lsdException w:name="Table Grid" w:semiHidden="0" w:uiPriority="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ny">
    <w:name w:val="Normal"/>
    <w:aliases w:val="tekst"/>
    <w:qFormat/>
    <w:rsid w:val="00E07EF3"/>
    <w:pPr>
      <w:overflowPunct w:val="0"/>
      <w:autoSpaceDE w:val="0"/>
      <w:autoSpaceDN w:val="0"/>
      <w:adjustRightInd w:val="0"/>
      <w:jc w:val="both"/>
      <w:textAlignment w:val="baseline"/>
    </w:pPr>
    <w:rPr>
      <w:rFonts w:ascii="Times New Roman" w:eastAsia="Times New Roman" w:hAnsi="Times New Roman"/>
      <w:sz w:val="20"/>
      <w:szCs w:val="20"/>
    </w:rPr>
  </w:style>
  <w:style w:type="paragraph" w:styleId="Nagwek1">
    <w:name w:val="heading 1"/>
    <w:basedOn w:val="Normalny"/>
    <w:next w:val="Normalny"/>
    <w:link w:val="Nagwek1Znak"/>
    <w:uiPriority w:val="99"/>
    <w:qFormat/>
    <w:rsid w:val="00A4252F"/>
    <w:pPr>
      <w:keepNext/>
      <w:keepLines/>
      <w:suppressAutoHyphens/>
      <w:spacing w:before="120" w:after="120"/>
      <w:jc w:val="center"/>
      <w:outlineLvl w:val="0"/>
    </w:pPr>
    <w:rPr>
      <w:b/>
      <w:bCs/>
      <w:caps/>
      <w:kern w:val="28"/>
      <w:sz w:val="28"/>
      <w:szCs w:val="28"/>
    </w:rPr>
  </w:style>
  <w:style w:type="paragraph" w:styleId="Nagwek2">
    <w:name w:val="heading 2"/>
    <w:basedOn w:val="Normalny"/>
    <w:next w:val="Normalny"/>
    <w:link w:val="Nagwek2Znak"/>
    <w:qFormat/>
    <w:rsid w:val="00A4252F"/>
    <w:pPr>
      <w:keepNext/>
      <w:pageBreakBefore/>
      <w:spacing w:before="120" w:after="120"/>
      <w:jc w:val="center"/>
      <w:outlineLvl w:val="1"/>
    </w:pPr>
    <w:rPr>
      <w:b/>
      <w:bCs/>
      <w:sz w:val="28"/>
      <w:szCs w:val="28"/>
    </w:rPr>
  </w:style>
  <w:style w:type="paragraph" w:styleId="Nagwek3">
    <w:name w:val="heading 3"/>
    <w:basedOn w:val="Normalny"/>
    <w:next w:val="Normalny"/>
    <w:link w:val="Nagwek3Znak"/>
    <w:uiPriority w:val="99"/>
    <w:qFormat/>
    <w:rsid w:val="00A4252F"/>
    <w:pPr>
      <w:keepNext/>
      <w:spacing w:before="360" w:after="60"/>
      <w:outlineLvl w:val="2"/>
    </w:pPr>
    <w:rPr>
      <w:b/>
      <w:bCs/>
      <w:caps/>
    </w:rPr>
  </w:style>
  <w:style w:type="paragraph" w:styleId="Nagwek4">
    <w:name w:val="heading 4"/>
    <w:basedOn w:val="Normalny"/>
    <w:next w:val="Normalny"/>
    <w:link w:val="Nagwek4Znak"/>
    <w:uiPriority w:val="99"/>
    <w:qFormat/>
    <w:rsid w:val="00A4252F"/>
    <w:pPr>
      <w:keepNext/>
      <w:spacing w:before="240" w:after="60"/>
      <w:outlineLvl w:val="3"/>
    </w:pPr>
    <w:rPr>
      <w:b/>
      <w:bCs/>
    </w:rPr>
  </w:style>
  <w:style w:type="paragraph" w:styleId="Nagwek5">
    <w:name w:val="heading 5"/>
    <w:basedOn w:val="Normalny"/>
    <w:next w:val="Normalny"/>
    <w:link w:val="Nagwek5Znak"/>
    <w:uiPriority w:val="99"/>
    <w:qFormat/>
    <w:rsid w:val="00A4252F"/>
    <w:pPr>
      <w:spacing w:before="100" w:beforeAutospacing="1" w:after="100" w:afterAutospacing="1"/>
      <w:outlineLvl w:val="4"/>
    </w:pPr>
    <w:rPr>
      <w:b/>
      <w:bCs/>
      <w:i/>
      <w:iCs/>
    </w:rPr>
  </w:style>
  <w:style w:type="paragraph" w:styleId="Nagwek6">
    <w:name w:val="heading 6"/>
    <w:basedOn w:val="Normalny"/>
    <w:next w:val="Normalny"/>
    <w:link w:val="Nagwek6Znak"/>
    <w:qFormat/>
    <w:rsid w:val="00A4252F"/>
    <w:pPr>
      <w:spacing w:before="240" w:after="60"/>
      <w:outlineLvl w:val="5"/>
    </w:pPr>
    <w:rPr>
      <w:b/>
      <w:bCs/>
      <w:sz w:val="22"/>
      <w:szCs w:val="22"/>
    </w:rPr>
  </w:style>
  <w:style w:type="paragraph" w:styleId="Nagwek7">
    <w:name w:val="heading 7"/>
    <w:basedOn w:val="Normalny"/>
    <w:next w:val="Normalny"/>
    <w:link w:val="Nagwek7Znak"/>
    <w:qFormat/>
    <w:rsid w:val="00A4252F"/>
    <w:pPr>
      <w:outlineLvl w:val="6"/>
    </w:pPr>
  </w:style>
  <w:style w:type="paragraph" w:styleId="Nagwek8">
    <w:name w:val="heading 8"/>
    <w:basedOn w:val="Normalny"/>
    <w:next w:val="Normalny"/>
    <w:link w:val="Nagwek8Znak"/>
    <w:qFormat/>
    <w:rsid w:val="00A4252F"/>
    <w:pPr>
      <w:spacing w:before="240" w:after="60"/>
      <w:outlineLvl w:val="7"/>
    </w:pPr>
    <w:rPr>
      <w:i/>
      <w:iCs/>
      <w:sz w:val="24"/>
      <w:szCs w:val="24"/>
    </w:rPr>
  </w:style>
  <w:style w:type="paragraph" w:styleId="Nagwek9">
    <w:name w:val="heading 9"/>
    <w:basedOn w:val="Normalny"/>
    <w:next w:val="Normalny"/>
    <w:link w:val="Nagwek9Znak"/>
    <w:qFormat/>
    <w:rsid w:val="00E71FB9"/>
    <w:pPr>
      <w:overflowPunct/>
      <w:autoSpaceDE/>
      <w:autoSpaceDN/>
      <w:adjustRightInd/>
      <w:spacing w:before="240" w:after="60"/>
      <w:textAlignment w:val="auto"/>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A4252F"/>
    <w:rPr>
      <w:rFonts w:ascii="Times New Roman" w:hAnsi="Times New Roman" w:cs="Times New Roman"/>
      <w:b/>
      <w:bCs/>
      <w:caps/>
      <w:kern w:val="28"/>
      <w:sz w:val="20"/>
      <w:szCs w:val="20"/>
      <w:lang w:eastAsia="pl-PL"/>
    </w:rPr>
  </w:style>
  <w:style w:type="character" w:customStyle="1" w:styleId="Nagwek2Znak">
    <w:name w:val="Nagłówek 2 Znak"/>
    <w:basedOn w:val="Domylnaczcionkaakapitu"/>
    <w:link w:val="Nagwek2"/>
    <w:locked/>
    <w:rsid w:val="00A4252F"/>
    <w:rPr>
      <w:rFonts w:ascii="Times New Roman" w:hAnsi="Times New Roman" w:cs="Times New Roman"/>
      <w:b/>
      <w:bCs/>
      <w:sz w:val="20"/>
      <w:szCs w:val="20"/>
      <w:lang w:eastAsia="pl-PL"/>
    </w:rPr>
  </w:style>
  <w:style w:type="character" w:customStyle="1" w:styleId="Nagwek3Znak">
    <w:name w:val="Nagłówek 3 Znak"/>
    <w:basedOn w:val="Domylnaczcionkaakapitu"/>
    <w:link w:val="Nagwek3"/>
    <w:uiPriority w:val="99"/>
    <w:locked/>
    <w:rsid w:val="00A4252F"/>
    <w:rPr>
      <w:rFonts w:ascii="Times New Roman" w:hAnsi="Times New Roman" w:cs="Times New Roman"/>
      <w:b/>
      <w:bCs/>
      <w:caps/>
      <w:sz w:val="20"/>
      <w:szCs w:val="20"/>
      <w:lang w:eastAsia="pl-PL"/>
    </w:rPr>
  </w:style>
  <w:style w:type="character" w:customStyle="1" w:styleId="Nagwek4Znak">
    <w:name w:val="Nagłówek 4 Znak"/>
    <w:basedOn w:val="Domylnaczcionkaakapitu"/>
    <w:link w:val="Nagwek4"/>
    <w:uiPriority w:val="99"/>
    <w:locked/>
    <w:rsid w:val="00A4252F"/>
    <w:rPr>
      <w:rFonts w:ascii="Times New Roman" w:hAnsi="Times New Roman" w:cs="Times New Roman"/>
      <w:b/>
      <w:bCs/>
      <w:sz w:val="28"/>
      <w:szCs w:val="28"/>
      <w:lang w:eastAsia="pl-PL"/>
    </w:rPr>
  </w:style>
  <w:style w:type="character" w:customStyle="1" w:styleId="Nagwek5Znak">
    <w:name w:val="Nagłówek 5 Znak"/>
    <w:basedOn w:val="Domylnaczcionkaakapitu"/>
    <w:link w:val="Nagwek5"/>
    <w:uiPriority w:val="99"/>
    <w:locked/>
    <w:rsid w:val="00A4252F"/>
    <w:rPr>
      <w:rFonts w:ascii="Times New Roman" w:hAnsi="Times New Roman" w:cs="Times New Roman"/>
      <w:b/>
      <w:bCs/>
      <w:i/>
      <w:iCs/>
      <w:sz w:val="26"/>
      <w:szCs w:val="26"/>
      <w:lang w:eastAsia="pl-PL"/>
    </w:rPr>
  </w:style>
  <w:style w:type="character" w:customStyle="1" w:styleId="Nagwek6Znak">
    <w:name w:val="Nagłówek 6 Znak"/>
    <w:basedOn w:val="Domylnaczcionkaakapitu"/>
    <w:link w:val="Nagwek6"/>
    <w:locked/>
    <w:rsid w:val="00A4252F"/>
    <w:rPr>
      <w:rFonts w:ascii="Times New Roman" w:hAnsi="Times New Roman" w:cs="Times New Roman"/>
      <w:b/>
      <w:bCs/>
      <w:lang w:eastAsia="pl-PL"/>
    </w:rPr>
  </w:style>
  <w:style w:type="character" w:customStyle="1" w:styleId="Nagwek7Znak">
    <w:name w:val="Nagłówek 7 Znak"/>
    <w:basedOn w:val="Domylnaczcionkaakapitu"/>
    <w:link w:val="Nagwek7"/>
    <w:locked/>
    <w:rsid w:val="00A4252F"/>
    <w:rPr>
      <w:rFonts w:ascii="Times New Roman" w:hAnsi="Times New Roman" w:cs="Times New Roman"/>
      <w:sz w:val="24"/>
      <w:szCs w:val="24"/>
      <w:lang w:eastAsia="pl-PL"/>
    </w:rPr>
  </w:style>
  <w:style w:type="character" w:customStyle="1" w:styleId="Nagwek8Znak">
    <w:name w:val="Nagłówek 8 Znak"/>
    <w:basedOn w:val="Domylnaczcionkaakapitu"/>
    <w:link w:val="Nagwek8"/>
    <w:locked/>
    <w:rsid w:val="00A4252F"/>
    <w:rPr>
      <w:rFonts w:ascii="Times New Roman" w:hAnsi="Times New Roman" w:cs="Times New Roman"/>
      <w:i/>
      <w:iCs/>
      <w:sz w:val="24"/>
      <w:szCs w:val="24"/>
      <w:lang w:eastAsia="pl-PL"/>
    </w:rPr>
  </w:style>
  <w:style w:type="character" w:customStyle="1" w:styleId="Nagwek9Znak">
    <w:name w:val="Nagłówek 9 Znak"/>
    <w:basedOn w:val="Domylnaczcionkaakapitu"/>
    <w:link w:val="Nagwek9"/>
    <w:locked/>
    <w:rsid w:val="00E71FB9"/>
    <w:rPr>
      <w:rFonts w:ascii="Arial" w:hAnsi="Arial" w:cs="Arial"/>
      <w:lang w:eastAsia="pl-PL"/>
    </w:rPr>
  </w:style>
  <w:style w:type="paragraph" w:styleId="Spistreci1">
    <w:name w:val="toc 1"/>
    <w:basedOn w:val="Normalny"/>
    <w:next w:val="Normalny"/>
    <w:autoRedefine/>
    <w:uiPriority w:val="39"/>
    <w:rsid w:val="00EC116D"/>
    <w:pPr>
      <w:tabs>
        <w:tab w:val="right" w:leader="dot" w:pos="10065"/>
      </w:tabs>
      <w:spacing w:before="120" w:after="120"/>
      <w:jc w:val="left"/>
    </w:pPr>
    <w:rPr>
      <w:b/>
      <w:bCs/>
      <w:caps/>
    </w:rPr>
  </w:style>
  <w:style w:type="paragraph" w:styleId="Spistreci2">
    <w:name w:val="toc 2"/>
    <w:basedOn w:val="Normalny"/>
    <w:next w:val="Normalny"/>
    <w:autoRedefine/>
    <w:uiPriority w:val="39"/>
    <w:semiHidden/>
    <w:rsid w:val="00A4252F"/>
    <w:pPr>
      <w:tabs>
        <w:tab w:val="right" w:leader="dot" w:pos="7371"/>
      </w:tabs>
      <w:ind w:left="200"/>
      <w:jc w:val="left"/>
    </w:pPr>
  </w:style>
  <w:style w:type="paragraph" w:styleId="Spistreci3">
    <w:name w:val="toc 3"/>
    <w:basedOn w:val="Normalny"/>
    <w:next w:val="Normalny"/>
    <w:autoRedefine/>
    <w:semiHidden/>
    <w:rsid w:val="00A4252F"/>
    <w:pPr>
      <w:tabs>
        <w:tab w:val="right" w:leader="dot" w:pos="7371"/>
      </w:tabs>
      <w:ind w:left="400"/>
      <w:jc w:val="left"/>
    </w:pPr>
  </w:style>
  <w:style w:type="paragraph" w:styleId="Spistreci4">
    <w:name w:val="toc 4"/>
    <w:basedOn w:val="Normalny"/>
    <w:next w:val="Normalny"/>
    <w:autoRedefine/>
    <w:semiHidden/>
    <w:rsid w:val="00A4252F"/>
    <w:pPr>
      <w:tabs>
        <w:tab w:val="right" w:leader="dot" w:pos="7371"/>
      </w:tabs>
      <w:ind w:left="600"/>
      <w:jc w:val="left"/>
    </w:pPr>
    <w:rPr>
      <w:sz w:val="18"/>
      <w:szCs w:val="18"/>
    </w:rPr>
  </w:style>
  <w:style w:type="paragraph" w:styleId="Spistreci5">
    <w:name w:val="toc 5"/>
    <w:basedOn w:val="Normalny"/>
    <w:next w:val="Normalny"/>
    <w:autoRedefine/>
    <w:semiHidden/>
    <w:rsid w:val="00A4252F"/>
    <w:pPr>
      <w:tabs>
        <w:tab w:val="right" w:leader="dot" w:pos="7371"/>
      </w:tabs>
      <w:ind w:left="800"/>
      <w:jc w:val="left"/>
    </w:pPr>
    <w:rPr>
      <w:sz w:val="18"/>
      <w:szCs w:val="18"/>
    </w:rPr>
  </w:style>
  <w:style w:type="paragraph" w:styleId="Spistreci6">
    <w:name w:val="toc 6"/>
    <w:basedOn w:val="Normalny"/>
    <w:next w:val="Normalny"/>
    <w:autoRedefine/>
    <w:semiHidden/>
    <w:rsid w:val="00A4252F"/>
    <w:pPr>
      <w:tabs>
        <w:tab w:val="right" w:leader="dot" w:pos="7371"/>
      </w:tabs>
      <w:ind w:left="1000"/>
      <w:jc w:val="left"/>
    </w:pPr>
    <w:rPr>
      <w:sz w:val="18"/>
      <w:szCs w:val="18"/>
    </w:rPr>
  </w:style>
  <w:style w:type="paragraph" w:styleId="Spistreci7">
    <w:name w:val="toc 7"/>
    <w:basedOn w:val="Normalny"/>
    <w:next w:val="Normalny"/>
    <w:autoRedefine/>
    <w:semiHidden/>
    <w:rsid w:val="00A4252F"/>
    <w:pPr>
      <w:tabs>
        <w:tab w:val="right" w:leader="dot" w:pos="7371"/>
      </w:tabs>
      <w:ind w:left="1200"/>
      <w:jc w:val="left"/>
    </w:pPr>
    <w:rPr>
      <w:sz w:val="18"/>
      <w:szCs w:val="18"/>
    </w:rPr>
  </w:style>
  <w:style w:type="paragraph" w:styleId="Spistreci8">
    <w:name w:val="toc 8"/>
    <w:basedOn w:val="Normalny"/>
    <w:next w:val="Normalny"/>
    <w:autoRedefine/>
    <w:semiHidden/>
    <w:rsid w:val="00A4252F"/>
    <w:pPr>
      <w:tabs>
        <w:tab w:val="right" w:leader="dot" w:pos="7371"/>
      </w:tabs>
      <w:ind w:left="1400"/>
      <w:jc w:val="left"/>
    </w:pPr>
    <w:rPr>
      <w:sz w:val="18"/>
      <w:szCs w:val="18"/>
    </w:rPr>
  </w:style>
  <w:style w:type="paragraph" w:styleId="Spistreci9">
    <w:name w:val="toc 9"/>
    <w:basedOn w:val="Normalny"/>
    <w:next w:val="Normalny"/>
    <w:autoRedefine/>
    <w:semiHidden/>
    <w:rsid w:val="00A4252F"/>
    <w:pPr>
      <w:tabs>
        <w:tab w:val="right" w:leader="dot" w:pos="7371"/>
      </w:tabs>
      <w:ind w:left="1600"/>
      <w:jc w:val="left"/>
    </w:pPr>
    <w:rPr>
      <w:sz w:val="18"/>
      <w:szCs w:val="18"/>
    </w:rPr>
  </w:style>
  <w:style w:type="character" w:styleId="Numerstrony">
    <w:name w:val="page number"/>
    <w:basedOn w:val="Domylnaczcionkaakapitu"/>
    <w:uiPriority w:val="99"/>
    <w:rsid w:val="00A4252F"/>
  </w:style>
  <w:style w:type="paragraph" w:customStyle="1" w:styleId="StylIwony">
    <w:name w:val="Styl Iwony"/>
    <w:basedOn w:val="Normalny"/>
    <w:rsid w:val="00A4252F"/>
    <w:pPr>
      <w:spacing w:before="120" w:after="120"/>
    </w:pPr>
    <w:rPr>
      <w:rFonts w:ascii="Bookman Old Style" w:hAnsi="Bookman Old Style" w:cs="Bookman Old Style"/>
      <w:sz w:val="24"/>
      <w:szCs w:val="24"/>
    </w:rPr>
  </w:style>
  <w:style w:type="paragraph" w:styleId="Nagwek">
    <w:name w:val="header"/>
    <w:basedOn w:val="Normalny"/>
    <w:link w:val="NagwekZnak"/>
    <w:rsid w:val="00A4252F"/>
    <w:pPr>
      <w:tabs>
        <w:tab w:val="center" w:pos="4536"/>
        <w:tab w:val="right" w:pos="9072"/>
      </w:tabs>
      <w:jc w:val="left"/>
    </w:pPr>
    <w:rPr>
      <w:rFonts w:ascii="Century Gothic" w:hAnsi="Century Gothic" w:cs="Century Gothic"/>
      <w:sz w:val="24"/>
      <w:szCs w:val="24"/>
    </w:rPr>
  </w:style>
  <w:style w:type="character" w:customStyle="1" w:styleId="NagwekZnak">
    <w:name w:val="Nagłówek Znak"/>
    <w:basedOn w:val="Domylnaczcionkaakapitu"/>
    <w:link w:val="Nagwek"/>
    <w:locked/>
    <w:rsid w:val="00A4252F"/>
    <w:rPr>
      <w:rFonts w:ascii="Century Gothic" w:hAnsi="Century Gothic" w:cs="Century Gothic"/>
      <w:sz w:val="20"/>
      <w:szCs w:val="20"/>
      <w:lang w:eastAsia="pl-PL"/>
    </w:rPr>
  </w:style>
  <w:style w:type="paragraph" w:styleId="Stopka">
    <w:name w:val="footer"/>
    <w:basedOn w:val="Normalny"/>
    <w:link w:val="StopkaZnak"/>
    <w:rsid w:val="00A4252F"/>
    <w:pPr>
      <w:tabs>
        <w:tab w:val="center" w:pos="4536"/>
        <w:tab w:val="right" w:pos="9072"/>
      </w:tabs>
    </w:pPr>
  </w:style>
  <w:style w:type="character" w:customStyle="1" w:styleId="StopkaZnak">
    <w:name w:val="Stopka Znak"/>
    <w:basedOn w:val="Domylnaczcionkaakapitu"/>
    <w:link w:val="Stopka"/>
    <w:locked/>
    <w:rsid w:val="00A4252F"/>
    <w:rPr>
      <w:rFonts w:ascii="Times New Roman" w:hAnsi="Times New Roman" w:cs="Times New Roman"/>
      <w:sz w:val="20"/>
      <w:szCs w:val="20"/>
      <w:lang w:eastAsia="pl-PL"/>
    </w:rPr>
  </w:style>
  <w:style w:type="paragraph" w:styleId="Tekstprzypisudolnego">
    <w:name w:val="footnote text"/>
    <w:basedOn w:val="Normalny"/>
    <w:link w:val="TekstprzypisudolnegoZnak"/>
    <w:semiHidden/>
    <w:rsid w:val="00A4252F"/>
  </w:style>
  <w:style w:type="character" w:customStyle="1" w:styleId="TekstprzypisudolnegoZnak">
    <w:name w:val="Tekst przypisu dolnego Znak"/>
    <w:basedOn w:val="Domylnaczcionkaakapitu"/>
    <w:link w:val="Tekstprzypisudolnego"/>
    <w:semiHidden/>
    <w:locked/>
    <w:rsid w:val="00A4252F"/>
    <w:rPr>
      <w:rFonts w:ascii="Times New Roman" w:hAnsi="Times New Roman" w:cs="Times New Roman"/>
      <w:sz w:val="20"/>
      <w:szCs w:val="20"/>
      <w:lang w:eastAsia="pl-PL"/>
    </w:rPr>
  </w:style>
  <w:style w:type="paragraph" w:customStyle="1" w:styleId="tekstost">
    <w:name w:val="tekst ost"/>
    <w:basedOn w:val="Normalny"/>
    <w:link w:val="tekstostZnak"/>
    <w:rsid w:val="00A4252F"/>
  </w:style>
  <w:style w:type="character" w:styleId="Odwoanieprzypisudolnego">
    <w:name w:val="footnote reference"/>
    <w:basedOn w:val="Domylnaczcionkaakapitu"/>
    <w:semiHidden/>
    <w:rsid w:val="00A4252F"/>
    <w:rPr>
      <w:vertAlign w:val="superscript"/>
    </w:rPr>
  </w:style>
  <w:style w:type="paragraph" w:customStyle="1" w:styleId="Standardowytekst">
    <w:name w:val="Standardowy.tekst"/>
    <w:rsid w:val="00A4252F"/>
    <w:pPr>
      <w:overflowPunct w:val="0"/>
      <w:autoSpaceDE w:val="0"/>
      <w:autoSpaceDN w:val="0"/>
      <w:adjustRightInd w:val="0"/>
      <w:jc w:val="both"/>
      <w:textAlignment w:val="baseline"/>
    </w:pPr>
    <w:rPr>
      <w:rFonts w:ascii="Times New Roman" w:eastAsia="Times New Roman" w:hAnsi="Times New Roman"/>
      <w:sz w:val="20"/>
      <w:szCs w:val="20"/>
    </w:rPr>
  </w:style>
  <w:style w:type="paragraph" w:customStyle="1" w:styleId="Tekstpodstawowy21">
    <w:name w:val="Tekst podstawowy 21"/>
    <w:basedOn w:val="Normalny"/>
    <w:rsid w:val="00A4252F"/>
    <w:pPr>
      <w:ind w:left="360"/>
    </w:pPr>
  </w:style>
  <w:style w:type="paragraph" w:styleId="Tekstpodstawowy">
    <w:name w:val="Body Text"/>
    <w:basedOn w:val="Normalny"/>
    <w:link w:val="TekstpodstawowyZnak"/>
    <w:rsid w:val="00A4252F"/>
    <w:pPr>
      <w:spacing w:line="180" w:lineRule="exact"/>
      <w:jc w:val="left"/>
    </w:pPr>
    <w:rPr>
      <w:sz w:val="16"/>
      <w:szCs w:val="16"/>
    </w:rPr>
  </w:style>
  <w:style w:type="character" w:customStyle="1" w:styleId="TekstpodstawowyZnak">
    <w:name w:val="Tekst podstawowy Znak"/>
    <w:basedOn w:val="Domylnaczcionkaakapitu"/>
    <w:link w:val="Tekstpodstawowy"/>
    <w:locked/>
    <w:rsid w:val="00A4252F"/>
    <w:rPr>
      <w:rFonts w:ascii="Times New Roman" w:hAnsi="Times New Roman" w:cs="Times New Roman"/>
      <w:sz w:val="20"/>
      <w:szCs w:val="20"/>
      <w:lang w:eastAsia="pl-PL"/>
    </w:rPr>
  </w:style>
  <w:style w:type="character" w:styleId="Hipercze">
    <w:name w:val="Hyperlink"/>
    <w:basedOn w:val="Domylnaczcionkaakapitu"/>
    <w:uiPriority w:val="99"/>
    <w:rsid w:val="00A4252F"/>
    <w:rPr>
      <w:color w:val="0000FF"/>
      <w:u w:val="single"/>
    </w:rPr>
  </w:style>
  <w:style w:type="paragraph" w:customStyle="1" w:styleId="10">
    <w:name w:val="_10"/>
    <w:basedOn w:val="Normalny"/>
    <w:rsid w:val="00A4252F"/>
    <w:pPr>
      <w:overflowPunct/>
      <w:autoSpaceDE/>
      <w:autoSpaceDN/>
      <w:adjustRightInd/>
      <w:textAlignment w:val="auto"/>
    </w:pPr>
  </w:style>
  <w:style w:type="paragraph" w:customStyle="1" w:styleId="Styl12ptWyjustowany">
    <w:name w:val="Styl 12 pt Wyjustowany"/>
    <w:basedOn w:val="Normalny"/>
    <w:rsid w:val="00A4252F"/>
    <w:pPr>
      <w:overflowPunct/>
      <w:autoSpaceDE/>
      <w:autoSpaceDN/>
      <w:adjustRightInd/>
      <w:textAlignment w:val="auto"/>
    </w:pPr>
  </w:style>
  <w:style w:type="table" w:styleId="Tabela-Siatka">
    <w:name w:val="Table Grid"/>
    <w:basedOn w:val="Standardowy"/>
    <w:rsid w:val="00A4252F"/>
    <w:pPr>
      <w:overflowPunct w:val="0"/>
      <w:autoSpaceDE w:val="0"/>
      <w:autoSpaceDN w:val="0"/>
      <w:adjustRightInd w:val="0"/>
      <w:jc w:val="both"/>
      <w:textAlignment w:val="baseline"/>
    </w:pPr>
    <w:rPr>
      <w:rFonts w:ascii="Times New Roman" w:eastAsia="Times New Roman" w:hAnsi="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punktowana">
    <w:name w:val="List Bullet"/>
    <w:basedOn w:val="Normalny"/>
    <w:semiHidden/>
    <w:rsid w:val="00A4252F"/>
    <w:pPr>
      <w:overflowPunct/>
      <w:autoSpaceDE/>
      <w:autoSpaceDN/>
      <w:adjustRightInd/>
      <w:spacing w:line="360" w:lineRule="auto"/>
      <w:ind w:left="360" w:hanging="360"/>
      <w:jc w:val="left"/>
      <w:textAlignment w:val="auto"/>
    </w:pPr>
    <w:rPr>
      <w:sz w:val="24"/>
      <w:szCs w:val="24"/>
    </w:rPr>
  </w:style>
  <w:style w:type="paragraph" w:styleId="Lista">
    <w:name w:val="List"/>
    <w:basedOn w:val="Normalny"/>
    <w:rsid w:val="00A4252F"/>
    <w:pPr>
      <w:ind w:left="283" w:hanging="283"/>
    </w:pPr>
  </w:style>
  <w:style w:type="paragraph" w:styleId="Lista2">
    <w:name w:val="List 2"/>
    <w:basedOn w:val="Normalny"/>
    <w:rsid w:val="00A4252F"/>
    <w:pPr>
      <w:ind w:left="566" w:hanging="283"/>
    </w:pPr>
  </w:style>
  <w:style w:type="paragraph" w:styleId="Lista3">
    <w:name w:val="List 3"/>
    <w:basedOn w:val="Normalny"/>
    <w:rsid w:val="00A4252F"/>
    <w:pPr>
      <w:ind w:left="849" w:hanging="283"/>
    </w:pPr>
  </w:style>
  <w:style w:type="paragraph" w:styleId="Lista4">
    <w:name w:val="List 4"/>
    <w:basedOn w:val="Normalny"/>
    <w:rsid w:val="00A4252F"/>
    <w:pPr>
      <w:ind w:left="1132" w:hanging="283"/>
    </w:pPr>
  </w:style>
  <w:style w:type="paragraph" w:styleId="Lista5">
    <w:name w:val="List 5"/>
    <w:basedOn w:val="Normalny"/>
    <w:rsid w:val="00A4252F"/>
    <w:pPr>
      <w:ind w:left="1415" w:hanging="283"/>
    </w:pPr>
  </w:style>
  <w:style w:type="paragraph" w:styleId="Listapunktowana2">
    <w:name w:val="List Bullet 2"/>
    <w:basedOn w:val="Normalny"/>
    <w:rsid w:val="00A4252F"/>
    <w:pPr>
      <w:numPr>
        <w:numId w:val="8"/>
      </w:numPr>
      <w:tabs>
        <w:tab w:val="num" w:pos="643"/>
      </w:tabs>
      <w:ind w:left="643" w:hanging="360"/>
    </w:pPr>
  </w:style>
  <w:style w:type="paragraph" w:styleId="Listapunktowana3">
    <w:name w:val="List Bullet 3"/>
    <w:basedOn w:val="Normalny"/>
    <w:rsid w:val="00A4252F"/>
    <w:pPr>
      <w:numPr>
        <w:numId w:val="9"/>
      </w:numPr>
      <w:tabs>
        <w:tab w:val="num" w:pos="926"/>
      </w:tabs>
      <w:ind w:left="926" w:hanging="360"/>
    </w:pPr>
  </w:style>
  <w:style w:type="paragraph" w:styleId="Listapunktowana4">
    <w:name w:val="List Bullet 4"/>
    <w:basedOn w:val="Normalny"/>
    <w:rsid w:val="00A4252F"/>
    <w:pPr>
      <w:numPr>
        <w:numId w:val="10"/>
      </w:numPr>
      <w:tabs>
        <w:tab w:val="num" w:pos="1209"/>
      </w:tabs>
      <w:ind w:left="1209" w:hanging="360"/>
    </w:pPr>
  </w:style>
  <w:style w:type="paragraph" w:styleId="Listapunktowana5">
    <w:name w:val="List Bullet 5"/>
    <w:basedOn w:val="Normalny"/>
    <w:rsid w:val="00A4252F"/>
    <w:pPr>
      <w:numPr>
        <w:numId w:val="11"/>
      </w:numPr>
      <w:tabs>
        <w:tab w:val="num" w:pos="1492"/>
      </w:tabs>
      <w:ind w:left="1492" w:hanging="360"/>
    </w:pPr>
  </w:style>
  <w:style w:type="paragraph" w:styleId="Lista-kontynuacja">
    <w:name w:val="List Continue"/>
    <w:basedOn w:val="Normalny"/>
    <w:rsid w:val="00A4252F"/>
    <w:pPr>
      <w:spacing w:after="120"/>
      <w:ind w:left="283"/>
    </w:pPr>
  </w:style>
  <w:style w:type="paragraph" w:styleId="Lista-kontynuacja2">
    <w:name w:val="List Continue 2"/>
    <w:basedOn w:val="Normalny"/>
    <w:rsid w:val="00A4252F"/>
    <w:pPr>
      <w:spacing w:after="120"/>
      <w:ind w:left="566"/>
    </w:pPr>
  </w:style>
  <w:style w:type="paragraph" w:styleId="Lista-kontynuacja3">
    <w:name w:val="List Continue 3"/>
    <w:basedOn w:val="Normalny"/>
    <w:rsid w:val="00A4252F"/>
    <w:pPr>
      <w:spacing w:after="120"/>
      <w:ind w:left="849"/>
    </w:pPr>
  </w:style>
  <w:style w:type="paragraph" w:styleId="Lista-kontynuacja4">
    <w:name w:val="List Continue 4"/>
    <w:basedOn w:val="Normalny"/>
    <w:rsid w:val="00A4252F"/>
    <w:pPr>
      <w:spacing w:after="120"/>
      <w:ind w:left="1132"/>
    </w:pPr>
  </w:style>
  <w:style w:type="paragraph" w:styleId="Lista-kontynuacja5">
    <w:name w:val="List Continue 5"/>
    <w:basedOn w:val="Normalny"/>
    <w:rsid w:val="00A4252F"/>
    <w:pPr>
      <w:spacing w:after="120"/>
      <w:ind w:left="1415"/>
    </w:pPr>
  </w:style>
  <w:style w:type="paragraph" w:styleId="Legenda">
    <w:name w:val="caption"/>
    <w:basedOn w:val="Normalny"/>
    <w:next w:val="Normalny"/>
    <w:qFormat/>
    <w:rsid w:val="00A4252F"/>
    <w:rPr>
      <w:b/>
      <w:bCs/>
    </w:rPr>
  </w:style>
  <w:style w:type="paragraph" w:styleId="Tekstpodstawowywcity">
    <w:name w:val="Body Text Indent"/>
    <w:basedOn w:val="Normalny"/>
    <w:link w:val="TekstpodstawowywcityZnak"/>
    <w:rsid w:val="00A4252F"/>
    <w:pPr>
      <w:spacing w:after="120"/>
      <w:ind w:left="283"/>
    </w:pPr>
  </w:style>
  <w:style w:type="character" w:customStyle="1" w:styleId="TekstpodstawowywcityZnak">
    <w:name w:val="Tekst podstawowy wcięty Znak"/>
    <w:basedOn w:val="Domylnaczcionkaakapitu"/>
    <w:link w:val="Tekstpodstawowywcity"/>
    <w:locked/>
    <w:rsid w:val="00A4252F"/>
    <w:rPr>
      <w:rFonts w:ascii="Times New Roman" w:hAnsi="Times New Roman" w:cs="Times New Roman"/>
      <w:sz w:val="20"/>
      <w:szCs w:val="20"/>
      <w:lang w:eastAsia="pl-PL"/>
    </w:rPr>
  </w:style>
  <w:style w:type="paragraph" w:styleId="Tekstpodstawowyzwciciem">
    <w:name w:val="Body Text First Indent"/>
    <w:basedOn w:val="Tekstpodstawowy"/>
    <w:link w:val="TekstpodstawowyzwciciemZnak"/>
    <w:rsid w:val="00A4252F"/>
    <w:pPr>
      <w:spacing w:after="120" w:line="240" w:lineRule="auto"/>
      <w:ind w:firstLine="210"/>
      <w:jc w:val="both"/>
    </w:pPr>
    <w:rPr>
      <w:sz w:val="20"/>
      <w:szCs w:val="20"/>
    </w:rPr>
  </w:style>
  <w:style w:type="character" w:customStyle="1" w:styleId="TekstpodstawowyzwciciemZnak">
    <w:name w:val="Tekst podstawowy z wcięciem Znak"/>
    <w:basedOn w:val="TekstpodstawowyZnak"/>
    <w:link w:val="Tekstpodstawowyzwciciem"/>
    <w:locked/>
    <w:rsid w:val="00A4252F"/>
    <w:rPr>
      <w:rFonts w:ascii="Times New Roman" w:hAnsi="Times New Roman" w:cs="Times New Roman"/>
      <w:sz w:val="20"/>
      <w:szCs w:val="20"/>
      <w:lang w:eastAsia="pl-PL"/>
    </w:rPr>
  </w:style>
  <w:style w:type="paragraph" w:styleId="Tekstpodstawowyzwciciem2">
    <w:name w:val="Body Text First Indent 2"/>
    <w:basedOn w:val="Tekstpodstawowywcity"/>
    <w:link w:val="Tekstpodstawowyzwciciem2Znak"/>
    <w:rsid w:val="00A4252F"/>
    <w:pPr>
      <w:ind w:firstLine="210"/>
    </w:pPr>
  </w:style>
  <w:style w:type="character" w:customStyle="1" w:styleId="Tekstpodstawowyzwciciem2Znak">
    <w:name w:val="Tekst podstawowy z wcięciem 2 Znak"/>
    <w:basedOn w:val="TekstpodstawowywcityZnak"/>
    <w:link w:val="Tekstpodstawowyzwciciem2"/>
    <w:locked/>
    <w:rsid w:val="00A4252F"/>
    <w:rPr>
      <w:rFonts w:ascii="Times New Roman" w:hAnsi="Times New Roman" w:cs="Times New Roman"/>
      <w:sz w:val="20"/>
      <w:szCs w:val="20"/>
      <w:lang w:eastAsia="pl-PL"/>
    </w:rPr>
  </w:style>
  <w:style w:type="paragraph" w:styleId="Tekstdymka">
    <w:name w:val="Balloon Text"/>
    <w:basedOn w:val="Normalny"/>
    <w:link w:val="TekstdymkaZnak"/>
    <w:semiHidden/>
    <w:rsid w:val="00A4252F"/>
    <w:rPr>
      <w:rFonts w:ascii="Tahoma" w:hAnsi="Tahoma" w:cs="Tahoma"/>
      <w:sz w:val="16"/>
      <w:szCs w:val="16"/>
    </w:rPr>
  </w:style>
  <w:style w:type="character" w:customStyle="1" w:styleId="TekstdymkaZnak">
    <w:name w:val="Tekst dymka Znak"/>
    <w:basedOn w:val="Domylnaczcionkaakapitu"/>
    <w:link w:val="Tekstdymka"/>
    <w:semiHidden/>
    <w:locked/>
    <w:rsid w:val="00A4252F"/>
    <w:rPr>
      <w:rFonts w:ascii="Tahoma" w:hAnsi="Tahoma" w:cs="Tahoma"/>
      <w:sz w:val="16"/>
      <w:szCs w:val="16"/>
      <w:lang w:eastAsia="pl-PL"/>
    </w:rPr>
  </w:style>
  <w:style w:type="paragraph" w:customStyle="1" w:styleId="StylSpistreci1Wyjustowany">
    <w:name w:val="Styl Spis treści 1 + Wyjustowany"/>
    <w:basedOn w:val="Spistreci1"/>
    <w:rsid w:val="00A4252F"/>
    <w:pPr>
      <w:tabs>
        <w:tab w:val="right" w:leader="dot" w:pos="9072"/>
      </w:tabs>
      <w:jc w:val="both"/>
    </w:pPr>
  </w:style>
  <w:style w:type="paragraph" w:customStyle="1" w:styleId="StylNagwek7Pogrubienie">
    <w:name w:val="Styl Nagłówek 7 + Pogrubienie"/>
    <w:basedOn w:val="Nagwek7"/>
    <w:rsid w:val="00A4252F"/>
    <w:pPr>
      <w:numPr>
        <w:numId w:val="18"/>
      </w:numPr>
    </w:pPr>
    <w:rPr>
      <w:b/>
      <w:bCs/>
    </w:rPr>
  </w:style>
  <w:style w:type="paragraph" w:styleId="Akapitzlist">
    <w:name w:val="List Paragraph"/>
    <w:basedOn w:val="Normalny"/>
    <w:uiPriority w:val="99"/>
    <w:qFormat/>
    <w:rsid w:val="00F32534"/>
    <w:pPr>
      <w:ind w:left="720"/>
    </w:pPr>
  </w:style>
  <w:style w:type="paragraph" w:customStyle="1" w:styleId="Tekstpodstawowy22">
    <w:name w:val="Tekst podstawowy 22"/>
    <w:basedOn w:val="Normalny"/>
    <w:rsid w:val="007D4364"/>
    <w:pPr>
      <w:ind w:left="360"/>
    </w:pPr>
  </w:style>
  <w:style w:type="paragraph" w:customStyle="1" w:styleId="Standardowytekst1">
    <w:name w:val="Standardowy.tekst1"/>
    <w:rsid w:val="007D4364"/>
    <w:pPr>
      <w:overflowPunct w:val="0"/>
      <w:autoSpaceDE w:val="0"/>
      <w:autoSpaceDN w:val="0"/>
      <w:adjustRightInd w:val="0"/>
      <w:jc w:val="both"/>
      <w:textAlignment w:val="baseline"/>
    </w:pPr>
    <w:rPr>
      <w:rFonts w:ascii="Times New Roman" w:eastAsia="Times New Roman" w:hAnsi="Times New Roman"/>
      <w:sz w:val="20"/>
      <w:szCs w:val="20"/>
    </w:rPr>
  </w:style>
  <w:style w:type="paragraph" w:customStyle="1" w:styleId="Tekstpodstawowywcity31">
    <w:name w:val="Tekst podstawowy wcięty 31"/>
    <w:basedOn w:val="Normalny"/>
    <w:rsid w:val="007D4364"/>
    <w:pPr>
      <w:tabs>
        <w:tab w:val="left" w:pos="964"/>
      </w:tabs>
      <w:spacing w:after="120"/>
      <w:ind w:left="964" w:hanging="964"/>
    </w:pPr>
  </w:style>
  <w:style w:type="paragraph" w:styleId="Tytu">
    <w:name w:val="Title"/>
    <w:basedOn w:val="Normalny"/>
    <w:link w:val="TytuZnak"/>
    <w:qFormat/>
    <w:rsid w:val="007D4364"/>
    <w:pPr>
      <w:jc w:val="center"/>
    </w:pPr>
    <w:rPr>
      <w:sz w:val="24"/>
      <w:szCs w:val="24"/>
    </w:rPr>
  </w:style>
  <w:style w:type="character" w:customStyle="1" w:styleId="TytuZnak">
    <w:name w:val="Tytuł Znak"/>
    <w:basedOn w:val="Domylnaczcionkaakapitu"/>
    <w:link w:val="Tytu"/>
    <w:locked/>
    <w:rsid w:val="007D4364"/>
    <w:rPr>
      <w:rFonts w:ascii="Times New Roman" w:hAnsi="Times New Roman" w:cs="Times New Roman"/>
      <w:sz w:val="20"/>
      <w:szCs w:val="20"/>
      <w:lang w:eastAsia="pl-PL"/>
    </w:rPr>
  </w:style>
  <w:style w:type="paragraph" w:styleId="Mapadokumentu">
    <w:name w:val="Document Map"/>
    <w:basedOn w:val="Normalny"/>
    <w:link w:val="MapadokumentuZnak"/>
    <w:semiHidden/>
    <w:rsid w:val="007D4364"/>
    <w:pPr>
      <w:shd w:val="clear" w:color="auto" w:fill="000080"/>
    </w:pPr>
    <w:rPr>
      <w:rFonts w:ascii="Tahoma" w:hAnsi="Tahoma" w:cs="Tahoma"/>
    </w:rPr>
  </w:style>
  <w:style w:type="character" w:customStyle="1" w:styleId="MapadokumentuZnak">
    <w:name w:val="Mapa dokumentu Znak"/>
    <w:basedOn w:val="Domylnaczcionkaakapitu"/>
    <w:link w:val="Mapadokumentu"/>
    <w:semiHidden/>
    <w:locked/>
    <w:rsid w:val="007D4364"/>
    <w:rPr>
      <w:rFonts w:ascii="Tahoma" w:hAnsi="Tahoma" w:cs="Tahoma"/>
      <w:sz w:val="20"/>
      <w:szCs w:val="20"/>
      <w:shd w:val="clear" w:color="auto" w:fill="000080"/>
      <w:lang w:eastAsia="pl-PL"/>
    </w:rPr>
  </w:style>
  <w:style w:type="paragraph" w:styleId="Podtytu">
    <w:name w:val="Subtitle"/>
    <w:basedOn w:val="Normalny"/>
    <w:next w:val="Tekstpodstawowy"/>
    <w:link w:val="PodtytuZnak"/>
    <w:qFormat/>
    <w:rsid w:val="007D4364"/>
    <w:pPr>
      <w:suppressAutoHyphens/>
      <w:overflowPunct/>
      <w:autoSpaceDE/>
      <w:autoSpaceDN/>
      <w:adjustRightInd/>
      <w:jc w:val="left"/>
      <w:textAlignment w:val="auto"/>
    </w:pPr>
    <w:rPr>
      <w:b/>
      <w:bCs/>
      <w:sz w:val="28"/>
      <w:szCs w:val="28"/>
      <w:lang w:eastAsia="ar-SA"/>
    </w:rPr>
  </w:style>
  <w:style w:type="character" w:customStyle="1" w:styleId="PodtytuZnak">
    <w:name w:val="Podtytuł Znak"/>
    <w:basedOn w:val="Domylnaczcionkaakapitu"/>
    <w:link w:val="Podtytu"/>
    <w:locked/>
    <w:rsid w:val="007D4364"/>
    <w:rPr>
      <w:rFonts w:ascii="Times New Roman" w:hAnsi="Times New Roman" w:cs="Times New Roman"/>
      <w:b/>
      <w:bCs/>
      <w:sz w:val="20"/>
      <w:szCs w:val="20"/>
      <w:lang w:eastAsia="ar-SA" w:bidi="ar-SA"/>
    </w:rPr>
  </w:style>
  <w:style w:type="character" w:styleId="UyteHipercze">
    <w:name w:val="FollowedHyperlink"/>
    <w:basedOn w:val="Domylnaczcionkaakapitu"/>
    <w:rsid w:val="007D4364"/>
    <w:rPr>
      <w:color w:val="800080"/>
      <w:u w:val="single"/>
    </w:rPr>
  </w:style>
  <w:style w:type="character" w:customStyle="1" w:styleId="header1">
    <w:name w:val="header1"/>
    <w:rsid w:val="005A3701"/>
    <w:rPr>
      <w:rFonts w:ascii="Times New Roman" w:hAnsi="Times New Roman" w:cs="Times New Roman"/>
      <w:b/>
      <w:bCs/>
      <w:sz w:val="36"/>
      <w:szCs w:val="36"/>
    </w:rPr>
  </w:style>
  <w:style w:type="character" w:customStyle="1" w:styleId="header2">
    <w:name w:val="header2"/>
    <w:rsid w:val="005A3701"/>
    <w:rPr>
      <w:rFonts w:ascii="Times New Roman" w:hAnsi="Times New Roman" w:cs="Times New Roman"/>
      <w:b/>
      <w:bCs/>
      <w:sz w:val="36"/>
      <w:szCs w:val="36"/>
    </w:rPr>
  </w:style>
  <w:style w:type="character" w:customStyle="1" w:styleId="header3">
    <w:name w:val="header3"/>
    <w:rsid w:val="005A3701"/>
    <w:rPr>
      <w:rFonts w:ascii="Times New Roman" w:hAnsi="Times New Roman" w:cs="Times New Roman"/>
      <w:b/>
      <w:bCs/>
      <w:sz w:val="36"/>
      <w:szCs w:val="36"/>
    </w:rPr>
  </w:style>
  <w:style w:type="character" w:customStyle="1" w:styleId="podpunkt">
    <w:name w:val="podpunkt"/>
    <w:rsid w:val="005A3701"/>
    <w:rPr>
      <w:rFonts w:ascii="Times New Roman" w:hAnsi="Times New Roman" w:cs="Times New Roman"/>
      <w:b/>
      <w:bCs/>
    </w:rPr>
  </w:style>
  <w:style w:type="character" w:customStyle="1" w:styleId="Document2">
    <w:name w:val="Document 2"/>
    <w:basedOn w:val="Domylnaczcionkaakapitu"/>
    <w:rsid w:val="005A3701"/>
    <w:rPr>
      <w:rFonts w:ascii="Courier" w:hAnsi="Courier" w:cs="Courier"/>
      <w:sz w:val="24"/>
      <w:szCs w:val="24"/>
      <w:lang w:val="en-US"/>
    </w:rPr>
  </w:style>
  <w:style w:type="paragraph" w:customStyle="1" w:styleId="Akapitzlist1">
    <w:name w:val="Akapit z listą1"/>
    <w:basedOn w:val="Normalny"/>
    <w:rsid w:val="005A3701"/>
    <w:pPr>
      <w:overflowPunct/>
      <w:autoSpaceDE/>
      <w:autoSpaceDN/>
      <w:adjustRightInd/>
      <w:ind w:left="720"/>
      <w:jc w:val="left"/>
      <w:textAlignment w:val="auto"/>
    </w:pPr>
    <w:rPr>
      <w:rFonts w:eastAsia="Calibri"/>
      <w:sz w:val="26"/>
      <w:szCs w:val="26"/>
    </w:rPr>
  </w:style>
  <w:style w:type="paragraph" w:styleId="Tekstpodstawowywcity2">
    <w:name w:val="Body Text Indent 2"/>
    <w:basedOn w:val="Normalny"/>
    <w:link w:val="Tekstpodstawowywcity2Znak"/>
    <w:rsid w:val="007A5868"/>
    <w:pPr>
      <w:widowControl w:val="0"/>
      <w:overflowPunct/>
      <w:autoSpaceDE/>
      <w:autoSpaceDN/>
      <w:adjustRightInd/>
      <w:spacing w:after="120" w:line="480" w:lineRule="auto"/>
      <w:ind w:left="283"/>
      <w:jc w:val="left"/>
      <w:textAlignment w:val="auto"/>
    </w:pPr>
    <w:rPr>
      <w:sz w:val="24"/>
      <w:szCs w:val="24"/>
      <w:lang w:val="en-US"/>
    </w:rPr>
  </w:style>
  <w:style w:type="character" w:customStyle="1" w:styleId="Tekstpodstawowywcity2Znak">
    <w:name w:val="Tekst podstawowy wcięty 2 Znak"/>
    <w:basedOn w:val="Domylnaczcionkaakapitu"/>
    <w:link w:val="Tekstpodstawowywcity2"/>
    <w:locked/>
    <w:rsid w:val="007A5868"/>
    <w:rPr>
      <w:rFonts w:ascii="Times New Roman" w:hAnsi="Times New Roman" w:cs="Times New Roman"/>
      <w:snapToGrid w:val="0"/>
      <w:sz w:val="20"/>
      <w:szCs w:val="20"/>
      <w:lang w:val="en-US" w:eastAsia="pl-PL"/>
    </w:rPr>
  </w:style>
  <w:style w:type="paragraph" w:customStyle="1" w:styleId="Tekstpodstawowy23">
    <w:name w:val="Tekst podstawowy 23"/>
    <w:basedOn w:val="Normalny"/>
    <w:rsid w:val="00E71FB9"/>
    <w:pPr>
      <w:ind w:left="360"/>
    </w:pPr>
  </w:style>
  <w:style w:type="paragraph" w:customStyle="1" w:styleId="CM18">
    <w:name w:val="CM18"/>
    <w:basedOn w:val="Normalny"/>
    <w:next w:val="Normalny"/>
    <w:uiPriority w:val="99"/>
    <w:rsid w:val="00E71FB9"/>
    <w:pPr>
      <w:widowControl w:val="0"/>
      <w:overflowPunct/>
      <w:jc w:val="left"/>
      <w:textAlignment w:val="auto"/>
    </w:pPr>
    <w:rPr>
      <w:rFonts w:ascii="TTE18C80C0t00" w:hAnsi="TTE18C80C0t00" w:cs="TTE18C80C0t00"/>
      <w:sz w:val="24"/>
      <w:szCs w:val="24"/>
    </w:rPr>
  </w:style>
  <w:style w:type="paragraph" w:customStyle="1" w:styleId="Default">
    <w:name w:val="Default"/>
    <w:rsid w:val="00E71FB9"/>
    <w:pPr>
      <w:widowControl w:val="0"/>
      <w:autoSpaceDE w:val="0"/>
      <w:autoSpaceDN w:val="0"/>
      <w:adjustRightInd w:val="0"/>
      <w:jc w:val="both"/>
    </w:pPr>
    <w:rPr>
      <w:rFonts w:ascii="TTE18C80C0t00" w:eastAsia="Times New Roman" w:hAnsi="TTE18C80C0t00" w:cs="TTE18C80C0t00"/>
      <w:color w:val="000000"/>
      <w:sz w:val="24"/>
      <w:szCs w:val="24"/>
    </w:rPr>
  </w:style>
  <w:style w:type="character" w:customStyle="1" w:styleId="Teksttreci">
    <w:name w:val="Tekst treści_"/>
    <w:basedOn w:val="Domylnaczcionkaakapitu"/>
    <w:link w:val="Teksttreci0"/>
    <w:locked/>
    <w:rsid w:val="00E71FB9"/>
    <w:rPr>
      <w:shd w:val="clear" w:color="auto" w:fill="FFFFFF"/>
    </w:rPr>
  </w:style>
  <w:style w:type="paragraph" w:customStyle="1" w:styleId="Teksttreci0">
    <w:name w:val="Tekst treści"/>
    <w:basedOn w:val="Normalny"/>
    <w:link w:val="Teksttreci"/>
    <w:rsid w:val="00E71FB9"/>
    <w:pPr>
      <w:shd w:val="clear" w:color="auto" w:fill="FFFFFF"/>
      <w:overflowPunct/>
      <w:autoSpaceDE/>
      <w:autoSpaceDN/>
      <w:adjustRightInd/>
      <w:spacing w:before="360" w:after="360" w:line="240" w:lineRule="atLeast"/>
      <w:ind w:hanging="700"/>
      <w:jc w:val="left"/>
      <w:textAlignment w:val="auto"/>
    </w:pPr>
    <w:rPr>
      <w:rFonts w:ascii="Calibri" w:eastAsia="Calibri" w:hAnsi="Calibri" w:cs="Calibri"/>
      <w:sz w:val="22"/>
      <w:szCs w:val="22"/>
      <w:shd w:val="clear" w:color="auto" w:fill="FFFFFF"/>
      <w:lang w:eastAsia="en-US"/>
    </w:rPr>
  </w:style>
  <w:style w:type="character" w:customStyle="1" w:styleId="Teksttreci5">
    <w:name w:val="Tekst treści (5)_"/>
    <w:basedOn w:val="Domylnaczcionkaakapitu"/>
    <w:link w:val="Teksttreci50"/>
    <w:locked/>
    <w:rsid w:val="00E71FB9"/>
    <w:rPr>
      <w:sz w:val="18"/>
      <w:szCs w:val="18"/>
      <w:shd w:val="clear" w:color="auto" w:fill="FFFFFF"/>
    </w:rPr>
  </w:style>
  <w:style w:type="paragraph" w:customStyle="1" w:styleId="Teksttreci50">
    <w:name w:val="Tekst treści (5)"/>
    <w:basedOn w:val="Normalny"/>
    <w:link w:val="Teksttreci5"/>
    <w:rsid w:val="00E71FB9"/>
    <w:pPr>
      <w:shd w:val="clear" w:color="auto" w:fill="FFFFFF"/>
      <w:overflowPunct/>
      <w:autoSpaceDE/>
      <w:autoSpaceDN/>
      <w:adjustRightInd/>
      <w:spacing w:line="240" w:lineRule="atLeast"/>
      <w:jc w:val="right"/>
      <w:textAlignment w:val="auto"/>
    </w:pPr>
    <w:rPr>
      <w:rFonts w:ascii="Calibri" w:eastAsia="Calibri" w:hAnsi="Calibri" w:cs="Calibri"/>
      <w:sz w:val="18"/>
      <w:szCs w:val="18"/>
      <w:shd w:val="clear" w:color="auto" w:fill="FFFFFF"/>
      <w:lang w:eastAsia="en-US"/>
    </w:rPr>
  </w:style>
  <w:style w:type="paragraph" w:styleId="Tekstpodstawowywcity3">
    <w:name w:val="Body Text Indent 3"/>
    <w:basedOn w:val="Normalny"/>
    <w:link w:val="Tekstpodstawowywcity3Znak"/>
    <w:rsid w:val="00E71FB9"/>
    <w:pPr>
      <w:spacing w:after="120"/>
      <w:ind w:left="283"/>
    </w:pPr>
    <w:rPr>
      <w:sz w:val="16"/>
      <w:szCs w:val="16"/>
    </w:rPr>
  </w:style>
  <w:style w:type="character" w:customStyle="1" w:styleId="Tekstpodstawowywcity3Znak">
    <w:name w:val="Tekst podstawowy wcięty 3 Znak"/>
    <w:basedOn w:val="Domylnaczcionkaakapitu"/>
    <w:link w:val="Tekstpodstawowywcity3"/>
    <w:locked/>
    <w:rsid w:val="00E71FB9"/>
    <w:rPr>
      <w:rFonts w:ascii="Times New Roman" w:hAnsi="Times New Roman" w:cs="Times New Roman"/>
      <w:sz w:val="16"/>
      <w:szCs w:val="16"/>
      <w:lang w:eastAsia="pl-PL"/>
    </w:rPr>
  </w:style>
  <w:style w:type="paragraph" w:customStyle="1" w:styleId="paragraf">
    <w:name w:val="paragraf"/>
    <w:basedOn w:val="Normalny"/>
    <w:rsid w:val="00E71FB9"/>
    <w:pPr>
      <w:widowControl w:val="0"/>
      <w:overflowPunct/>
      <w:autoSpaceDE/>
      <w:autoSpaceDN/>
      <w:adjustRightInd/>
      <w:ind w:firstLine="339"/>
      <w:textAlignment w:val="auto"/>
    </w:pPr>
    <w:rPr>
      <w:b/>
      <w:bCs/>
      <w:sz w:val="24"/>
      <w:szCs w:val="24"/>
      <w:lang w:val="en-US"/>
    </w:rPr>
  </w:style>
  <w:style w:type="paragraph" w:customStyle="1" w:styleId="wierszzw9p">
    <w:name w:val="wiersz zw_9p"/>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textAlignment w:val="auto"/>
    </w:pPr>
    <w:rPr>
      <w:sz w:val="24"/>
      <w:szCs w:val="24"/>
    </w:rPr>
  </w:style>
  <w:style w:type="paragraph" w:customStyle="1" w:styleId="Tekstpodstawowywcity9">
    <w:name w:val="Tekst podstawowy wcięty 9"/>
    <w:basedOn w:val="Tekstpodstawowywcity"/>
    <w:rsid w:val="00E71FB9"/>
    <w:pPr>
      <w:tabs>
        <w:tab w:val="left" w:pos="0"/>
        <w:tab w:val="left" w:pos="425"/>
        <w:tab w:val="left" w:pos="851"/>
        <w:tab w:val="left" w:pos="1276"/>
        <w:tab w:val="left" w:pos="1700"/>
        <w:tab w:val="left" w:pos="2126"/>
        <w:tab w:val="left" w:pos="2552"/>
        <w:tab w:val="left" w:pos="3402"/>
        <w:tab w:val="left" w:pos="6804"/>
        <w:tab w:val="left" w:pos="7655"/>
        <w:tab w:val="left" w:pos="8505"/>
      </w:tabs>
      <w:overflowPunct/>
      <w:autoSpaceDE/>
      <w:autoSpaceDN/>
      <w:adjustRightInd/>
      <w:spacing w:after="180"/>
      <w:ind w:left="0" w:firstLine="340"/>
      <w:textAlignment w:val="auto"/>
    </w:pPr>
    <w:rPr>
      <w:sz w:val="24"/>
      <w:szCs w:val="24"/>
    </w:rPr>
  </w:style>
  <w:style w:type="paragraph" w:customStyle="1" w:styleId="punkt">
    <w:name w:val="punkt"/>
    <w:basedOn w:val="Normalny"/>
    <w:rsid w:val="00E71FB9"/>
    <w:pPr>
      <w:keepNext/>
      <w:overflowPunct/>
      <w:autoSpaceDE/>
      <w:autoSpaceDN/>
      <w:adjustRightInd/>
      <w:spacing w:line="480" w:lineRule="auto"/>
      <w:textAlignment w:val="auto"/>
    </w:pPr>
    <w:rPr>
      <w:b/>
      <w:bCs/>
      <w:sz w:val="28"/>
      <w:szCs w:val="28"/>
    </w:rPr>
  </w:style>
  <w:style w:type="paragraph" w:customStyle="1" w:styleId="podpodpunkt">
    <w:name w:val="podpodpunkt"/>
    <w:basedOn w:val="Normalny"/>
    <w:rsid w:val="00E71FB9"/>
    <w:pPr>
      <w:keepNext/>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textAlignment w:val="auto"/>
    </w:pPr>
    <w:rPr>
      <w:sz w:val="24"/>
      <w:szCs w:val="24"/>
    </w:rPr>
  </w:style>
  <w:style w:type="paragraph" w:customStyle="1" w:styleId="Paragraf1">
    <w:name w:val="Paragraf1"/>
    <w:basedOn w:val="Normalny"/>
    <w:rsid w:val="00E71FB9"/>
    <w:pPr>
      <w:keepNext/>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before="120" w:after="180"/>
      <w:ind w:firstLine="340"/>
      <w:textAlignment w:val="auto"/>
    </w:pPr>
    <w:rPr>
      <w:sz w:val="24"/>
      <w:szCs w:val="24"/>
    </w:rPr>
  </w:style>
  <w:style w:type="paragraph" w:customStyle="1" w:styleId="Normy">
    <w:name w:val="Normy"/>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80"/>
      <w:ind w:left="2126" w:hanging="2126"/>
      <w:textAlignment w:val="auto"/>
    </w:pPr>
    <w:rPr>
      <w:sz w:val="24"/>
      <w:szCs w:val="24"/>
    </w:rPr>
  </w:style>
  <w:style w:type="paragraph" w:customStyle="1" w:styleId="STytu">
    <w:name w:val="STytuł"/>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jc w:val="center"/>
    </w:pPr>
    <w:rPr>
      <w:b/>
      <w:bCs/>
      <w:sz w:val="36"/>
      <w:szCs w:val="36"/>
    </w:rPr>
  </w:style>
  <w:style w:type="paragraph" w:customStyle="1" w:styleId="Wierszzwp9p">
    <w:name w:val="Wiersz zw_p9p"/>
    <w:basedOn w:val="Normalny"/>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before="180" w:after="180"/>
      <w:textAlignment w:val="auto"/>
    </w:pPr>
    <w:rPr>
      <w:sz w:val="24"/>
      <w:szCs w:val="24"/>
    </w:rPr>
  </w:style>
  <w:style w:type="character" w:styleId="Odwoaniedokomentarza">
    <w:name w:val="annotation reference"/>
    <w:basedOn w:val="Domylnaczcionkaakapitu"/>
    <w:semiHidden/>
    <w:rsid w:val="00E71FB9"/>
    <w:rPr>
      <w:sz w:val="16"/>
      <w:szCs w:val="16"/>
    </w:rPr>
  </w:style>
  <w:style w:type="paragraph" w:customStyle="1" w:styleId="Normy4">
    <w:name w:val="Normy4"/>
    <w:basedOn w:val="Normalny"/>
    <w:rsid w:val="00E71FB9"/>
    <w:pPr>
      <w:tabs>
        <w:tab w:val="left" w:pos="2268"/>
        <w:tab w:val="left" w:pos="2552"/>
        <w:tab w:val="left" w:pos="3402"/>
        <w:tab w:val="left" w:pos="6804"/>
        <w:tab w:val="left" w:pos="7655"/>
        <w:tab w:val="left" w:pos="8505"/>
      </w:tabs>
      <w:overflowPunct/>
      <w:autoSpaceDE/>
      <w:autoSpaceDN/>
      <w:adjustRightInd/>
      <w:spacing w:after="180"/>
      <w:ind w:left="2268" w:hanging="2268"/>
      <w:textAlignment w:val="auto"/>
    </w:pPr>
    <w:rPr>
      <w:sz w:val="24"/>
      <w:szCs w:val="24"/>
    </w:rPr>
  </w:style>
  <w:style w:type="paragraph" w:customStyle="1" w:styleId="Par1">
    <w:name w:val="Par_1"/>
    <w:basedOn w:val="Normalny"/>
    <w:rsid w:val="00E71FB9"/>
    <w:pPr>
      <w:widowControl w:val="0"/>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ind w:firstLine="340"/>
      <w:textAlignment w:val="auto"/>
    </w:pPr>
    <w:rPr>
      <w:sz w:val="24"/>
      <w:szCs w:val="24"/>
    </w:rPr>
  </w:style>
  <w:style w:type="paragraph" w:customStyle="1" w:styleId="Par9po">
    <w:name w:val="Par_9po"/>
    <w:basedOn w:val="Par1"/>
    <w:rsid w:val="00E71FB9"/>
    <w:pPr>
      <w:keepNext/>
      <w:widowControl/>
      <w:spacing w:after="180"/>
    </w:pPr>
  </w:style>
  <w:style w:type="character" w:customStyle="1" w:styleId="minus">
    <w:name w:val="minus"/>
    <w:rsid w:val="00E71FB9"/>
  </w:style>
  <w:style w:type="paragraph" w:styleId="Tekstpodstawowy2">
    <w:name w:val="Body Text 2"/>
    <w:basedOn w:val="Normalny"/>
    <w:link w:val="Tekstpodstawowy2Znak"/>
    <w:rsid w:val="00E71FB9"/>
    <w:pPr>
      <w:tabs>
        <w:tab w:val="left" w:pos="425"/>
        <w:tab w:val="left" w:pos="851"/>
        <w:tab w:val="left" w:pos="1276"/>
        <w:tab w:val="left" w:pos="1701"/>
        <w:tab w:val="left" w:pos="2126"/>
        <w:tab w:val="left" w:pos="2552"/>
        <w:tab w:val="left" w:pos="3402"/>
        <w:tab w:val="left" w:pos="6804"/>
        <w:tab w:val="left" w:pos="7655"/>
        <w:tab w:val="left" w:pos="8505"/>
      </w:tabs>
      <w:overflowPunct/>
      <w:autoSpaceDE/>
      <w:autoSpaceDN/>
      <w:adjustRightInd/>
      <w:spacing w:after="120" w:line="480" w:lineRule="auto"/>
      <w:textAlignment w:val="auto"/>
    </w:pPr>
    <w:rPr>
      <w:sz w:val="24"/>
      <w:szCs w:val="24"/>
    </w:rPr>
  </w:style>
  <w:style w:type="character" w:customStyle="1" w:styleId="Tekstpodstawowy2Znak">
    <w:name w:val="Tekst podstawowy 2 Znak"/>
    <w:basedOn w:val="Domylnaczcionkaakapitu"/>
    <w:link w:val="Tekstpodstawowy2"/>
    <w:locked/>
    <w:rsid w:val="00E71FB9"/>
    <w:rPr>
      <w:rFonts w:ascii="Times New Roman" w:hAnsi="Times New Roman" w:cs="Times New Roman"/>
      <w:sz w:val="24"/>
      <w:szCs w:val="24"/>
      <w:lang w:eastAsia="pl-PL"/>
    </w:rPr>
  </w:style>
  <w:style w:type="paragraph" w:customStyle="1" w:styleId="Bullet1points">
    <w:name w:val="Bullet 1 points"/>
    <w:basedOn w:val="Normalny"/>
    <w:rsid w:val="00E71FB9"/>
    <w:pPr>
      <w:numPr>
        <w:numId w:val="26"/>
      </w:numPr>
      <w:overflowPunct/>
      <w:autoSpaceDE/>
      <w:autoSpaceDN/>
      <w:adjustRightInd/>
      <w:spacing w:before="60" w:after="60"/>
      <w:textAlignment w:val="auto"/>
    </w:pPr>
  </w:style>
  <w:style w:type="character" w:customStyle="1" w:styleId="kontynuacja">
    <w:name w:val="kontynuacja"/>
    <w:rsid w:val="00E71FB9"/>
  </w:style>
  <w:style w:type="character" w:customStyle="1" w:styleId="tekstostZnak">
    <w:name w:val="tekst ost Znak"/>
    <w:basedOn w:val="Domylnaczcionkaakapitu"/>
    <w:link w:val="tekstost"/>
    <w:locked/>
    <w:rsid w:val="00E71FB9"/>
    <w:rPr>
      <w:rFonts w:ascii="Times New Roman" w:hAnsi="Times New Roman" w:cs="Times New Roman"/>
      <w:sz w:val="20"/>
      <w:szCs w:val="20"/>
      <w:lang w:eastAsia="pl-PL"/>
    </w:rPr>
  </w:style>
  <w:style w:type="paragraph" w:customStyle="1" w:styleId="WW-Tekstpodstawowywcity3">
    <w:name w:val="WW-Tekst podstawowy wcięty 3"/>
    <w:basedOn w:val="Normalny"/>
    <w:rsid w:val="00482057"/>
    <w:pPr>
      <w:suppressAutoHyphens/>
      <w:overflowPunct/>
      <w:autoSpaceDE/>
      <w:autoSpaceDN/>
      <w:adjustRightInd/>
      <w:ind w:left="360"/>
      <w:textAlignment w:val="auto"/>
    </w:pPr>
    <w:rPr>
      <w:sz w:val="24"/>
      <w:szCs w:val="24"/>
      <w:lang w:eastAsia="ar-SA"/>
    </w:rPr>
  </w:style>
  <w:style w:type="paragraph" w:customStyle="1" w:styleId="Tekstpodstawowy24">
    <w:name w:val="Tekst podstawowy 24"/>
    <w:basedOn w:val="Normalny"/>
    <w:rsid w:val="000979D7"/>
    <w:pPr>
      <w:ind w:left="360"/>
    </w:pPr>
  </w:style>
  <w:style w:type="paragraph" w:customStyle="1" w:styleId="CM7">
    <w:name w:val="CM7"/>
    <w:basedOn w:val="Default"/>
    <w:next w:val="Default"/>
    <w:uiPriority w:val="99"/>
    <w:rsid w:val="00364E4D"/>
    <w:pPr>
      <w:jc w:val="left"/>
    </w:pPr>
    <w:rPr>
      <w:rFonts w:ascii="Times New Roman" w:hAnsi="Times New Roman" w:cs="Times New Roman"/>
      <w:color w:val="auto"/>
    </w:rPr>
  </w:style>
  <w:style w:type="paragraph" w:customStyle="1" w:styleId="CM2">
    <w:name w:val="CM2"/>
    <w:basedOn w:val="Default"/>
    <w:next w:val="Default"/>
    <w:uiPriority w:val="99"/>
    <w:rsid w:val="00364E4D"/>
    <w:pPr>
      <w:spacing w:line="276" w:lineRule="atLeast"/>
      <w:jc w:val="left"/>
    </w:pPr>
    <w:rPr>
      <w:rFonts w:ascii="Times New Roman" w:hAnsi="Times New Roman" w:cs="Times New Roman"/>
      <w:color w:val="auto"/>
    </w:rPr>
  </w:style>
  <w:style w:type="paragraph" w:customStyle="1" w:styleId="CM8">
    <w:name w:val="CM8"/>
    <w:basedOn w:val="Default"/>
    <w:next w:val="Default"/>
    <w:uiPriority w:val="99"/>
    <w:rsid w:val="00364E4D"/>
    <w:pPr>
      <w:jc w:val="left"/>
    </w:pPr>
    <w:rPr>
      <w:rFonts w:ascii="Times New Roman" w:hAnsi="Times New Roman" w:cs="Times New Roman"/>
      <w:color w:val="auto"/>
    </w:rPr>
  </w:style>
  <w:style w:type="paragraph" w:customStyle="1" w:styleId="CM9">
    <w:name w:val="CM9"/>
    <w:basedOn w:val="Default"/>
    <w:next w:val="Default"/>
    <w:uiPriority w:val="99"/>
    <w:rsid w:val="00364E4D"/>
    <w:pPr>
      <w:jc w:val="left"/>
    </w:pPr>
    <w:rPr>
      <w:rFonts w:ascii="Times New Roman" w:hAnsi="Times New Roman" w:cs="Times New Roman"/>
      <w:color w:val="auto"/>
    </w:rPr>
  </w:style>
  <w:style w:type="paragraph" w:customStyle="1" w:styleId="CM10">
    <w:name w:val="CM10"/>
    <w:basedOn w:val="Default"/>
    <w:next w:val="Default"/>
    <w:uiPriority w:val="99"/>
    <w:rsid w:val="00364E4D"/>
    <w:pPr>
      <w:jc w:val="left"/>
    </w:pPr>
    <w:rPr>
      <w:rFonts w:ascii="Times New Roman" w:hAnsi="Times New Roman" w:cs="Times New Roman"/>
      <w:color w:val="auto"/>
    </w:rPr>
  </w:style>
  <w:style w:type="paragraph" w:customStyle="1" w:styleId="CM3">
    <w:name w:val="CM3"/>
    <w:basedOn w:val="Default"/>
    <w:next w:val="Default"/>
    <w:uiPriority w:val="99"/>
    <w:rsid w:val="00364E4D"/>
    <w:pPr>
      <w:spacing w:line="278" w:lineRule="atLeast"/>
      <w:jc w:val="left"/>
    </w:pPr>
    <w:rPr>
      <w:rFonts w:ascii="Times New Roman" w:hAnsi="Times New Roman" w:cs="Times New Roman"/>
      <w:color w:val="auto"/>
    </w:rPr>
  </w:style>
  <w:style w:type="paragraph" w:customStyle="1" w:styleId="CM4">
    <w:name w:val="CM4"/>
    <w:basedOn w:val="Default"/>
    <w:next w:val="Default"/>
    <w:uiPriority w:val="99"/>
    <w:rsid w:val="00364E4D"/>
    <w:pPr>
      <w:spacing w:line="288" w:lineRule="atLeast"/>
      <w:jc w:val="left"/>
    </w:pPr>
    <w:rPr>
      <w:rFonts w:ascii="Times New Roman" w:hAnsi="Times New Roman" w:cs="Times New Roman"/>
      <w:color w:val="auto"/>
    </w:rPr>
  </w:style>
  <w:style w:type="character" w:customStyle="1" w:styleId="Teksttreci9pt">
    <w:name w:val="Tekst treści + 9 pt"/>
    <w:aliases w:val="Odstępy 0 pt"/>
    <w:basedOn w:val="Teksttreci"/>
    <w:uiPriority w:val="99"/>
    <w:rsid w:val="00EA48D9"/>
    <w:rPr>
      <w:rFonts w:ascii="Times New Roman" w:hAnsi="Times New Roman" w:cs="Times New Roman"/>
      <w:color w:val="000000"/>
      <w:w w:val="100"/>
      <w:position w:val="0"/>
      <w:sz w:val="18"/>
      <w:szCs w:val="18"/>
      <w:shd w:val="clear" w:color="auto" w:fill="FFFFFF"/>
      <w:lang w:val="pl-PL"/>
    </w:rPr>
  </w:style>
  <w:style w:type="paragraph" w:customStyle="1" w:styleId="podpkt11">
    <w:name w:val="pod_pkt1.1"/>
    <w:basedOn w:val="Normalny"/>
    <w:autoRedefine/>
    <w:rsid w:val="0044554B"/>
    <w:pPr>
      <w:keepNext/>
      <w:widowControl w:val="0"/>
    </w:pPr>
    <w:rPr>
      <w:b/>
      <w:bCs/>
      <w:sz w:val="24"/>
      <w:szCs w:val="24"/>
    </w:rPr>
  </w:style>
  <w:style w:type="paragraph" w:customStyle="1" w:styleId="Zwykytekst1">
    <w:name w:val="Zwykły tekst1"/>
    <w:basedOn w:val="Normalny"/>
    <w:rsid w:val="009B0E16"/>
    <w:pPr>
      <w:widowControl w:val="0"/>
      <w:jc w:val="left"/>
    </w:pPr>
    <w:rPr>
      <w:rFonts w:ascii="Courier New" w:hAnsi="Courier New" w:cs="Courier New"/>
    </w:rPr>
  </w:style>
  <w:style w:type="paragraph" w:styleId="Tekstkomentarza">
    <w:name w:val="annotation text"/>
    <w:basedOn w:val="Normalny"/>
    <w:link w:val="TekstkomentarzaZnak"/>
    <w:semiHidden/>
    <w:rsid w:val="00CC254B"/>
  </w:style>
  <w:style w:type="character" w:customStyle="1" w:styleId="TekstkomentarzaZnak">
    <w:name w:val="Tekst komentarza Znak"/>
    <w:basedOn w:val="Domylnaczcionkaakapitu"/>
    <w:link w:val="Tekstkomentarza"/>
    <w:semiHidden/>
    <w:locked/>
    <w:rsid w:val="00CC254B"/>
    <w:rPr>
      <w:rFonts w:ascii="Times New Roman" w:hAnsi="Times New Roman" w:cs="Times New Roman"/>
      <w:sz w:val="20"/>
      <w:szCs w:val="20"/>
      <w:lang w:eastAsia="pl-PL"/>
    </w:rPr>
  </w:style>
  <w:style w:type="paragraph" w:styleId="Tematkomentarza">
    <w:name w:val="annotation subject"/>
    <w:basedOn w:val="Tekstkomentarza"/>
    <w:next w:val="Tekstkomentarza"/>
    <w:link w:val="TematkomentarzaZnak"/>
    <w:semiHidden/>
    <w:rsid w:val="00CC254B"/>
    <w:rPr>
      <w:b/>
      <w:bCs/>
    </w:rPr>
  </w:style>
  <w:style w:type="character" w:customStyle="1" w:styleId="TematkomentarzaZnak">
    <w:name w:val="Temat komentarza Znak"/>
    <w:basedOn w:val="TekstkomentarzaZnak"/>
    <w:link w:val="Tematkomentarza"/>
    <w:semiHidden/>
    <w:locked/>
    <w:rsid w:val="00CC254B"/>
    <w:rPr>
      <w:rFonts w:ascii="Times New Roman" w:hAnsi="Times New Roman" w:cs="Times New Roman"/>
      <w:b/>
      <w:bCs/>
      <w:sz w:val="20"/>
      <w:szCs w:val="20"/>
      <w:lang w:eastAsia="pl-PL"/>
    </w:rPr>
  </w:style>
  <w:style w:type="paragraph" w:styleId="Zwykytekst">
    <w:name w:val="Plain Text"/>
    <w:basedOn w:val="Normalny"/>
    <w:link w:val="ZwykytekstZnak"/>
    <w:unhideWhenUsed/>
    <w:locked/>
    <w:rsid w:val="00CC585C"/>
    <w:pPr>
      <w:overflowPunct/>
      <w:autoSpaceDE/>
      <w:autoSpaceDN/>
      <w:adjustRightInd/>
      <w:jc w:val="left"/>
      <w:textAlignment w:val="auto"/>
    </w:pPr>
    <w:rPr>
      <w:rFonts w:ascii="Courier New" w:hAnsi="Courier New"/>
    </w:rPr>
  </w:style>
  <w:style w:type="character" w:customStyle="1" w:styleId="ZwykytekstZnak">
    <w:name w:val="Zwykły tekst Znak"/>
    <w:basedOn w:val="Domylnaczcionkaakapitu"/>
    <w:link w:val="Zwykytekst"/>
    <w:rsid w:val="00CC585C"/>
    <w:rPr>
      <w:rFonts w:ascii="Courier New" w:eastAsia="Times New Roman" w:hAnsi="Courier New"/>
      <w:sz w:val="20"/>
      <w:szCs w:val="20"/>
    </w:rPr>
  </w:style>
  <w:style w:type="paragraph" w:customStyle="1" w:styleId="Nagwek21">
    <w:name w:val="Nagłówek 21"/>
    <w:basedOn w:val="Default"/>
    <w:next w:val="Default"/>
    <w:uiPriority w:val="99"/>
    <w:rsid w:val="00961894"/>
    <w:pPr>
      <w:jc w:val="left"/>
    </w:pPr>
    <w:rPr>
      <w:rFonts w:ascii="Times New Roman" w:eastAsiaTheme="minorEastAsia" w:hAnsi="Times New Roman" w:cs="Times New Roman"/>
      <w:color w:val="auto"/>
    </w:rPr>
  </w:style>
  <w:style w:type="paragraph" w:customStyle="1" w:styleId="Nagwek11">
    <w:name w:val="Nagłówek 11"/>
    <w:basedOn w:val="Default"/>
    <w:next w:val="Default"/>
    <w:uiPriority w:val="99"/>
    <w:rsid w:val="00961894"/>
    <w:pPr>
      <w:jc w:val="left"/>
    </w:pPr>
    <w:rPr>
      <w:rFonts w:ascii="Times New Roman" w:eastAsiaTheme="minorEastAsia" w:hAnsi="Times New Roman" w:cs="Times New Roman"/>
      <w:color w:val="auto"/>
    </w:rPr>
  </w:style>
  <w:style w:type="paragraph" w:customStyle="1" w:styleId="Tekstprzypisudolnego1">
    <w:name w:val="Tekst przypisu dolnego1"/>
    <w:basedOn w:val="Default"/>
    <w:next w:val="Default"/>
    <w:uiPriority w:val="99"/>
    <w:rsid w:val="00961894"/>
    <w:pPr>
      <w:jc w:val="left"/>
    </w:pPr>
    <w:rPr>
      <w:rFonts w:ascii="Times New Roman" w:eastAsiaTheme="minorEastAsia" w:hAnsi="Times New Roman" w:cs="Times New Roman"/>
      <w:color w:val="auto"/>
    </w:rPr>
  </w:style>
  <w:style w:type="paragraph" w:customStyle="1" w:styleId="BodyText21">
    <w:name w:val="Body Text 21"/>
    <w:basedOn w:val="Default"/>
    <w:next w:val="Default"/>
    <w:uiPriority w:val="99"/>
    <w:rsid w:val="00961894"/>
    <w:pPr>
      <w:jc w:val="left"/>
    </w:pPr>
    <w:rPr>
      <w:rFonts w:ascii="Times New Roman" w:eastAsiaTheme="minorEastAsia" w:hAnsi="Times New Roman" w:cs="Times New Roman"/>
      <w:color w:val="auto"/>
    </w:rPr>
  </w:style>
  <w:style w:type="paragraph" w:customStyle="1" w:styleId="Stopka1">
    <w:name w:val="Stopka1"/>
    <w:basedOn w:val="Default"/>
    <w:next w:val="Default"/>
    <w:uiPriority w:val="99"/>
    <w:rsid w:val="00961894"/>
    <w:pPr>
      <w:jc w:val="left"/>
    </w:pPr>
    <w:rPr>
      <w:rFonts w:ascii="Times New Roman" w:eastAsiaTheme="minorEastAsia" w:hAnsi="Times New Roman" w:cs="Times New Roman"/>
      <w:color w:val="auto"/>
    </w:rPr>
  </w:style>
  <w:style w:type="paragraph" w:customStyle="1" w:styleId="Nagwek10">
    <w:name w:val="Nagłówek1"/>
    <w:basedOn w:val="Default"/>
    <w:next w:val="Default"/>
    <w:rsid w:val="00961894"/>
    <w:pPr>
      <w:jc w:val="left"/>
    </w:pPr>
    <w:rPr>
      <w:rFonts w:ascii="Times New Roman" w:eastAsiaTheme="minorEastAsia" w:hAnsi="Times New Roman" w:cs="Times New Roman"/>
      <w:color w:val="auto"/>
    </w:rPr>
  </w:style>
  <w:style w:type="character" w:styleId="Tekstzastpczy">
    <w:name w:val="Placeholder Text"/>
    <w:basedOn w:val="Domylnaczcionkaakapitu"/>
    <w:uiPriority w:val="99"/>
    <w:semiHidden/>
    <w:rsid w:val="00961894"/>
    <w:rPr>
      <w:color w:val="808080"/>
    </w:rPr>
  </w:style>
  <w:style w:type="paragraph" w:customStyle="1" w:styleId="Tekstpodstawowy25">
    <w:name w:val="Tekst podstawowy 25"/>
    <w:basedOn w:val="Normalny"/>
    <w:rsid w:val="004F5BEB"/>
    <w:pPr>
      <w:ind w:left="360"/>
    </w:pPr>
  </w:style>
  <w:style w:type="paragraph" w:styleId="Tekstprzypisukocowego">
    <w:name w:val="endnote text"/>
    <w:basedOn w:val="Normalny"/>
    <w:link w:val="TekstprzypisukocowegoZnak"/>
    <w:semiHidden/>
    <w:unhideWhenUsed/>
    <w:locked/>
    <w:rsid w:val="002412CC"/>
    <w:pPr>
      <w:suppressAutoHyphens/>
      <w:autoSpaceDN/>
      <w:adjustRightInd/>
      <w:jc w:val="left"/>
      <w:textAlignment w:val="auto"/>
    </w:pPr>
    <w:rPr>
      <w:lang w:eastAsia="ar-SA"/>
    </w:rPr>
  </w:style>
  <w:style w:type="character" w:customStyle="1" w:styleId="TekstprzypisukocowegoZnak">
    <w:name w:val="Tekst przypisu końcowego Znak"/>
    <w:basedOn w:val="Domylnaczcionkaakapitu"/>
    <w:link w:val="Tekstprzypisukocowego"/>
    <w:semiHidden/>
    <w:rsid w:val="002412CC"/>
    <w:rPr>
      <w:rFonts w:ascii="Times New Roman" w:eastAsia="Times New Roman" w:hAnsi="Times New Roman"/>
      <w:sz w:val="20"/>
      <w:szCs w:val="20"/>
      <w:lang w:eastAsia="ar-SA"/>
    </w:rPr>
  </w:style>
  <w:style w:type="paragraph" w:styleId="Tekstpodstawowy3">
    <w:name w:val="Body Text 3"/>
    <w:basedOn w:val="Normalny"/>
    <w:link w:val="Tekstpodstawowy3Znak"/>
    <w:semiHidden/>
    <w:unhideWhenUsed/>
    <w:locked/>
    <w:rsid w:val="002412CC"/>
    <w:pPr>
      <w:spacing w:after="120"/>
      <w:textAlignment w:val="auto"/>
    </w:pPr>
    <w:rPr>
      <w:sz w:val="16"/>
      <w:szCs w:val="16"/>
    </w:rPr>
  </w:style>
  <w:style w:type="character" w:customStyle="1" w:styleId="Tekstpodstawowy3Znak">
    <w:name w:val="Tekst podstawowy 3 Znak"/>
    <w:basedOn w:val="Domylnaczcionkaakapitu"/>
    <w:link w:val="Tekstpodstawowy3"/>
    <w:semiHidden/>
    <w:rsid w:val="002412CC"/>
    <w:rPr>
      <w:rFonts w:ascii="Times New Roman" w:eastAsia="Times New Roman" w:hAnsi="Times New Roman"/>
      <w:sz w:val="16"/>
      <w:szCs w:val="16"/>
    </w:rPr>
  </w:style>
  <w:style w:type="paragraph" w:styleId="Nagwekspisutreci">
    <w:name w:val="TOC Heading"/>
    <w:basedOn w:val="Nagwek1"/>
    <w:next w:val="Normalny"/>
    <w:uiPriority w:val="39"/>
    <w:semiHidden/>
    <w:unhideWhenUsed/>
    <w:qFormat/>
    <w:rsid w:val="002412CC"/>
    <w:pPr>
      <w:suppressAutoHyphens w:val="0"/>
      <w:overflowPunct/>
      <w:autoSpaceDE/>
      <w:autoSpaceDN/>
      <w:adjustRightInd/>
      <w:spacing w:before="480" w:after="0" w:line="276" w:lineRule="auto"/>
      <w:jc w:val="left"/>
      <w:textAlignment w:val="auto"/>
      <w:outlineLvl w:val="9"/>
    </w:pPr>
    <w:rPr>
      <w:rFonts w:asciiTheme="majorHAnsi" w:eastAsiaTheme="majorEastAsia" w:hAnsiTheme="majorHAnsi" w:cstheme="majorBidi"/>
      <w:caps w:val="0"/>
      <w:color w:val="365F91" w:themeColor="accent1" w:themeShade="BF"/>
      <w:kern w:val="0"/>
      <w:lang w:eastAsia="en-US"/>
    </w:rPr>
  </w:style>
  <w:style w:type="paragraph" w:customStyle="1" w:styleId="C289308D74E2492DA70DEFAE9D5EDFC8">
    <w:name w:val="C289308D74E2492DA70DEFAE9D5EDFC8"/>
    <w:rsid w:val="002412CC"/>
    <w:pPr>
      <w:spacing w:after="200" w:line="276" w:lineRule="auto"/>
    </w:pPr>
    <w:rPr>
      <w:rFonts w:asciiTheme="minorHAnsi" w:eastAsiaTheme="minorEastAsia" w:hAnsiTheme="minorHAnsi" w:cstheme="minorBidi"/>
    </w:rPr>
  </w:style>
  <w:style w:type="paragraph" w:customStyle="1" w:styleId="podpkta">
    <w:name w:val="pod_pkt_a"/>
    <w:basedOn w:val="Normalny"/>
    <w:rsid w:val="002412CC"/>
    <w:pPr>
      <w:keepNext/>
      <w:overflowPunct/>
      <w:autoSpaceDE/>
      <w:autoSpaceDN/>
      <w:adjustRightInd/>
      <w:ind w:left="426" w:hanging="425"/>
      <w:textAlignment w:val="auto"/>
    </w:pPr>
    <w:rPr>
      <w:sz w:val="22"/>
    </w:rPr>
  </w:style>
  <w:style w:type="paragraph" w:customStyle="1" w:styleId="Style4">
    <w:name w:val="Style4"/>
    <w:basedOn w:val="Normalny"/>
    <w:uiPriority w:val="99"/>
    <w:rsid w:val="002412CC"/>
    <w:pPr>
      <w:widowControl w:val="0"/>
      <w:overflowPunct/>
      <w:jc w:val="left"/>
      <w:textAlignment w:val="auto"/>
    </w:pPr>
    <w:rPr>
      <w:rFonts w:eastAsiaTheme="minorEastAsia"/>
      <w:sz w:val="24"/>
      <w:szCs w:val="24"/>
    </w:rPr>
  </w:style>
  <w:style w:type="paragraph" w:customStyle="1" w:styleId="Style6">
    <w:name w:val="Style6"/>
    <w:basedOn w:val="Normalny"/>
    <w:uiPriority w:val="99"/>
    <w:rsid w:val="002412CC"/>
    <w:pPr>
      <w:widowControl w:val="0"/>
      <w:overflowPunct/>
      <w:spacing w:line="283" w:lineRule="exact"/>
      <w:ind w:firstLine="418"/>
      <w:textAlignment w:val="auto"/>
    </w:pPr>
    <w:rPr>
      <w:rFonts w:eastAsiaTheme="minorEastAsia"/>
      <w:sz w:val="24"/>
      <w:szCs w:val="24"/>
    </w:rPr>
  </w:style>
  <w:style w:type="paragraph" w:customStyle="1" w:styleId="Style7">
    <w:name w:val="Style7"/>
    <w:basedOn w:val="Normalny"/>
    <w:uiPriority w:val="99"/>
    <w:rsid w:val="002412CC"/>
    <w:pPr>
      <w:widowControl w:val="0"/>
      <w:overflowPunct/>
      <w:jc w:val="left"/>
      <w:textAlignment w:val="auto"/>
    </w:pPr>
    <w:rPr>
      <w:rFonts w:eastAsiaTheme="minorEastAsia"/>
      <w:sz w:val="24"/>
      <w:szCs w:val="24"/>
    </w:rPr>
  </w:style>
  <w:style w:type="paragraph" w:customStyle="1" w:styleId="Style8">
    <w:name w:val="Style8"/>
    <w:basedOn w:val="Normalny"/>
    <w:uiPriority w:val="99"/>
    <w:rsid w:val="002412CC"/>
    <w:pPr>
      <w:widowControl w:val="0"/>
      <w:overflowPunct/>
      <w:spacing w:line="283" w:lineRule="exact"/>
      <w:textAlignment w:val="auto"/>
    </w:pPr>
    <w:rPr>
      <w:rFonts w:eastAsiaTheme="minorEastAsia"/>
      <w:sz w:val="24"/>
      <w:szCs w:val="24"/>
    </w:rPr>
  </w:style>
  <w:style w:type="paragraph" w:customStyle="1" w:styleId="Style9">
    <w:name w:val="Style9"/>
    <w:basedOn w:val="Normalny"/>
    <w:uiPriority w:val="99"/>
    <w:rsid w:val="002412CC"/>
    <w:pPr>
      <w:widowControl w:val="0"/>
      <w:overflowPunct/>
      <w:spacing w:line="283" w:lineRule="exact"/>
      <w:ind w:firstLine="341"/>
      <w:textAlignment w:val="auto"/>
    </w:pPr>
    <w:rPr>
      <w:rFonts w:eastAsiaTheme="minorEastAsia"/>
      <w:sz w:val="24"/>
      <w:szCs w:val="24"/>
    </w:rPr>
  </w:style>
  <w:style w:type="paragraph" w:customStyle="1" w:styleId="Style10">
    <w:name w:val="Style10"/>
    <w:basedOn w:val="Normalny"/>
    <w:uiPriority w:val="99"/>
    <w:rsid w:val="002412CC"/>
    <w:pPr>
      <w:widowControl w:val="0"/>
      <w:overflowPunct/>
      <w:spacing w:line="278" w:lineRule="exact"/>
      <w:ind w:hanging="432"/>
      <w:jc w:val="left"/>
      <w:textAlignment w:val="auto"/>
    </w:pPr>
    <w:rPr>
      <w:rFonts w:eastAsiaTheme="minorEastAsia"/>
      <w:sz w:val="24"/>
      <w:szCs w:val="24"/>
    </w:rPr>
  </w:style>
  <w:style w:type="paragraph" w:customStyle="1" w:styleId="Style11">
    <w:name w:val="Style11"/>
    <w:basedOn w:val="Normalny"/>
    <w:uiPriority w:val="99"/>
    <w:rsid w:val="002412CC"/>
    <w:pPr>
      <w:widowControl w:val="0"/>
      <w:overflowPunct/>
      <w:jc w:val="left"/>
      <w:textAlignment w:val="auto"/>
    </w:pPr>
    <w:rPr>
      <w:rFonts w:eastAsiaTheme="minorEastAsia"/>
      <w:sz w:val="24"/>
      <w:szCs w:val="24"/>
    </w:rPr>
  </w:style>
  <w:style w:type="paragraph" w:customStyle="1" w:styleId="Style17">
    <w:name w:val="Style17"/>
    <w:basedOn w:val="Normalny"/>
    <w:uiPriority w:val="99"/>
    <w:rsid w:val="002412CC"/>
    <w:pPr>
      <w:widowControl w:val="0"/>
      <w:overflowPunct/>
      <w:textAlignment w:val="auto"/>
    </w:pPr>
    <w:rPr>
      <w:rFonts w:eastAsiaTheme="minorEastAsia"/>
      <w:sz w:val="24"/>
      <w:szCs w:val="24"/>
    </w:rPr>
  </w:style>
  <w:style w:type="paragraph" w:customStyle="1" w:styleId="Style19">
    <w:name w:val="Style19"/>
    <w:basedOn w:val="Normalny"/>
    <w:uiPriority w:val="99"/>
    <w:rsid w:val="002412CC"/>
    <w:pPr>
      <w:widowControl w:val="0"/>
      <w:overflowPunct/>
      <w:spacing w:line="235" w:lineRule="exact"/>
      <w:ind w:firstLine="110"/>
      <w:jc w:val="left"/>
      <w:textAlignment w:val="auto"/>
    </w:pPr>
    <w:rPr>
      <w:rFonts w:eastAsiaTheme="minorEastAsia"/>
      <w:sz w:val="24"/>
      <w:szCs w:val="24"/>
    </w:rPr>
  </w:style>
  <w:style w:type="paragraph" w:customStyle="1" w:styleId="Style20">
    <w:name w:val="Style20"/>
    <w:basedOn w:val="Normalny"/>
    <w:uiPriority w:val="99"/>
    <w:rsid w:val="002412CC"/>
    <w:pPr>
      <w:widowControl w:val="0"/>
      <w:overflowPunct/>
      <w:jc w:val="left"/>
      <w:textAlignment w:val="auto"/>
    </w:pPr>
    <w:rPr>
      <w:rFonts w:eastAsiaTheme="minorEastAsia"/>
      <w:sz w:val="24"/>
      <w:szCs w:val="24"/>
    </w:rPr>
  </w:style>
  <w:style w:type="paragraph" w:customStyle="1" w:styleId="Style21">
    <w:name w:val="Style21"/>
    <w:basedOn w:val="Normalny"/>
    <w:uiPriority w:val="99"/>
    <w:rsid w:val="002412CC"/>
    <w:pPr>
      <w:widowControl w:val="0"/>
      <w:overflowPunct/>
      <w:jc w:val="left"/>
      <w:textAlignment w:val="auto"/>
    </w:pPr>
    <w:rPr>
      <w:rFonts w:eastAsiaTheme="minorEastAsia"/>
      <w:sz w:val="24"/>
      <w:szCs w:val="24"/>
    </w:rPr>
  </w:style>
  <w:style w:type="paragraph" w:customStyle="1" w:styleId="Style23">
    <w:name w:val="Style23"/>
    <w:basedOn w:val="Normalny"/>
    <w:uiPriority w:val="99"/>
    <w:rsid w:val="002412CC"/>
    <w:pPr>
      <w:widowControl w:val="0"/>
      <w:overflowPunct/>
      <w:spacing w:line="235" w:lineRule="exact"/>
      <w:jc w:val="center"/>
      <w:textAlignment w:val="auto"/>
    </w:pPr>
    <w:rPr>
      <w:rFonts w:eastAsiaTheme="minorEastAsia"/>
      <w:sz w:val="24"/>
      <w:szCs w:val="24"/>
    </w:rPr>
  </w:style>
  <w:style w:type="paragraph" w:customStyle="1" w:styleId="Style24">
    <w:name w:val="Style24"/>
    <w:basedOn w:val="Normalny"/>
    <w:uiPriority w:val="99"/>
    <w:rsid w:val="002412CC"/>
    <w:pPr>
      <w:widowControl w:val="0"/>
      <w:overflowPunct/>
      <w:jc w:val="left"/>
      <w:textAlignment w:val="auto"/>
    </w:pPr>
    <w:rPr>
      <w:rFonts w:eastAsiaTheme="minorEastAsia"/>
      <w:sz w:val="24"/>
      <w:szCs w:val="24"/>
    </w:rPr>
  </w:style>
  <w:style w:type="paragraph" w:customStyle="1" w:styleId="Style26">
    <w:name w:val="Style26"/>
    <w:basedOn w:val="Normalny"/>
    <w:uiPriority w:val="99"/>
    <w:rsid w:val="002412CC"/>
    <w:pPr>
      <w:widowControl w:val="0"/>
      <w:overflowPunct/>
      <w:jc w:val="left"/>
      <w:textAlignment w:val="auto"/>
    </w:pPr>
    <w:rPr>
      <w:rFonts w:eastAsiaTheme="minorEastAsia"/>
      <w:sz w:val="24"/>
      <w:szCs w:val="24"/>
    </w:rPr>
  </w:style>
  <w:style w:type="paragraph" w:customStyle="1" w:styleId="Style15">
    <w:name w:val="Style15"/>
    <w:basedOn w:val="Normalny"/>
    <w:uiPriority w:val="99"/>
    <w:rsid w:val="002412CC"/>
    <w:pPr>
      <w:widowControl w:val="0"/>
      <w:overflowPunct/>
      <w:spacing w:line="408" w:lineRule="exact"/>
      <w:ind w:firstLine="422"/>
      <w:jc w:val="left"/>
      <w:textAlignment w:val="auto"/>
    </w:pPr>
    <w:rPr>
      <w:rFonts w:eastAsiaTheme="minorEastAsia"/>
      <w:sz w:val="24"/>
      <w:szCs w:val="24"/>
    </w:rPr>
  </w:style>
  <w:style w:type="paragraph" w:customStyle="1" w:styleId="Style25">
    <w:name w:val="Style25"/>
    <w:basedOn w:val="Normalny"/>
    <w:uiPriority w:val="99"/>
    <w:rsid w:val="002412CC"/>
    <w:pPr>
      <w:widowControl w:val="0"/>
      <w:overflowPunct/>
      <w:textAlignment w:val="auto"/>
    </w:pPr>
    <w:rPr>
      <w:rFonts w:eastAsiaTheme="minorEastAsia"/>
      <w:sz w:val="24"/>
      <w:szCs w:val="24"/>
    </w:rPr>
  </w:style>
  <w:style w:type="paragraph" w:customStyle="1" w:styleId="Style13">
    <w:name w:val="Style13"/>
    <w:basedOn w:val="Normalny"/>
    <w:uiPriority w:val="99"/>
    <w:rsid w:val="002412CC"/>
    <w:pPr>
      <w:widowControl w:val="0"/>
      <w:overflowPunct/>
      <w:spacing w:line="230" w:lineRule="exact"/>
      <w:jc w:val="left"/>
      <w:textAlignment w:val="auto"/>
    </w:pPr>
    <w:rPr>
      <w:rFonts w:eastAsiaTheme="minorEastAsia"/>
      <w:sz w:val="24"/>
      <w:szCs w:val="24"/>
    </w:rPr>
  </w:style>
  <w:style w:type="paragraph" w:customStyle="1" w:styleId="Style22">
    <w:name w:val="Style22"/>
    <w:basedOn w:val="Normalny"/>
    <w:uiPriority w:val="99"/>
    <w:rsid w:val="002412CC"/>
    <w:pPr>
      <w:widowControl w:val="0"/>
      <w:overflowPunct/>
      <w:spacing w:line="230" w:lineRule="exact"/>
      <w:ind w:hanging="178"/>
      <w:jc w:val="left"/>
      <w:textAlignment w:val="auto"/>
    </w:pPr>
    <w:rPr>
      <w:rFonts w:eastAsiaTheme="minorEastAsia"/>
      <w:sz w:val="24"/>
      <w:szCs w:val="24"/>
    </w:rPr>
  </w:style>
  <w:style w:type="paragraph" w:customStyle="1" w:styleId="Style28">
    <w:name w:val="Style28"/>
    <w:basedOn w:val="Normalny"/>
    <w:uiPriority w:val="99"/>
    <w:rsid w:val="002412CC"/>
    <w:pPr>
      <w:widowControl w:val="0"/>
      <w:overflowPunct/>
      <w:spacing w:line="230" w:lineRule="exact"/>
      <w:textAlignment w:val="auto"/>
    </w:pPr>
    <w:rPr>
      <w:rFonts w:eastAsiaTheme="minorEastAsia"/>
      <w:sz w:val="24"/>
      <w:szCs w:val="24"/>
    </w:rPr>
  </w:style>
  <w:style w:type="paragraph" w:customStyle="1" w:styleId="Style30">
    <w:name w:val="Style30"/>
    <w:basedOn w:val="Normalny"/>
    <w:uiPriority w:val="99"/>
    <w:rsid w:val="002412CC"/>
    <w:pPr>
      <w:widowControl w:val="0"/>
      <w:overflowPunct/>
      <w:spacing w:line="240" w:lineRule="exact"/>
      <w:jc w:val="center"/>
      <w:textAlignment w:val="auto"/>
    </w:pPr>
    <w:rPr>
      <w:rFonts w:eastAsiaTheme="minorEastAsia"/>
      <w:sz w:val="24"/>
      <w:szCs w:val="24"/>
    </w:rPr>
  </w:style>
  <w:style w:type="paragraph" w:customStyle="1" w:styleId="Style36">
    <w:name w:val="Style36"/>
    <w:basedOn w:val="Normalny"/>
    <w:uiPriority w:val="99"/>
    <w:rsid w:val="002412CC"/>
    <w:pPr>
      <w:widowControl w:val="0"/>
      <w:overflowPunct/>
      <w:jc w:val="left"/>
      <w:textAlignment w:val="auto"/>
    </w:pPr>
    <w:rPr>
      <w:rFonts w:eastAsiaTheme="minorEastAsia"/>
      <w:sz w:val="24"/>
      <w:szCs w:val="24"/>
    </w:rPr>
  </w:style>
  <w:style w:type="paragraph" w:customStyle="1" w:styleId="Style39">
    <w:name w:val="Style39"/>
    <w:basedOn w:val="Normalny"/>
    <w:uiPriority w:val="99"/>
    <w:rsid w:val="002412CC"/>
    <w:pPr>
      <w:widowControl w:val="0"/>
      <w:overflowPunct/>
      <w:jc w:val="left"/>
      <w:textAlignment w:val="auto"/>
    </w:pPr>
    <w:rPr>
      <w:rFonts w:eastAsiaTheme="minorEastAsia"/>
      <w:sz w:val="24"/>
      <w:szCs w:val="24"/>
    </w:rPr>
  </w:style>
  <w:style w:type="paragraph" w:customStyle="1" w:styleId="Style32">
    <w:name w:val="Style32"/>
    <w:basedOn w:val="Normalny"/>
    <w:uiPriority w:val="99"/>
    <w:rsid w:val="002412CC"/>
    <w:pPr>
      <w:widowControl w:val="0"/>
      <w:overflowPunct/>
      <w:jc w:val="left"/>
      <w:textAlignment w:val="auto"/>
    </w:pPr>
    <w:rPr>
      <w:rFonts w:eastAsiaTheme="minorEastAsia"/>
      <w:sz w:val="24"/>
      <w:szCs w:val="24"/>
    </w:rPr>
  </w:style>
  <w:style w:type="paragraph" w:customStyle="1" w:styleId="Style33">
    <w:name w:val="Style33"/>
    <w:basedOn w:val="Normalny"/>
    <w:uiPriority w:val="99"/>
    <w:rsid w:val="002412CC"/>
    <w:pPr>
      <w:widowControl w:val="0"/>
      <w:overflowPunct/>
      <w:spacing w:line="211" w:lineRule="exact"/>
      <w:jc w:val="left"/>
      <w:textAlignment w:val="auto"/>
    </w:pPr>
    <w:rPr>
      <w:rFonts w:eastAsiaTheme="minorEastAsia"/>
      <w:sz w:val="24"/>
      <w:szCs w:val="24"/>
    </w:rPr>
  </w:style>
  <w:style w:type="paragraph" w:customStyle="1" w:styleId="Style35">
    <w:name w:val="Style35"/>
    <w:basedOn w:val="Normalny"/>
    <w:uiPriority w:val="99"/>
    <w:rsid w:val="002412CC"/>
    <w:pPr>
      <w:widowControl w:val="0"/>
      <w:overflowPunct/>
      <w:jc w:val="left"/>
      <w:textAlignment w:val="auto"/>
    </w:pPr>
    <w:rPr>
      <w:rFonts w:eastAsiaTheme="minorEastAsia"/>
      <w:sz w:val="24"/>
      <w:szCs w:val="24"/>
    </w:rPr>
  </w:style>
  <w:style w:type="paragraph" w:customStyle="1" w:styleId="Style38">
    <w:name w:val="Style38"/>
    <w:basedOn w:val="Normalny"/>
    <w:uiPriority w:val="99"/>
    <w:rsid w:val="002412CC"/>
    <w:pPr>
      <w:widowControl w:val="0"/>
      <w:overflowPunct/>
      <w:jc w:val="left"/>
      <w:textAlignment w:val="auto"/>
    </w:pPr>
    <w:rPr>
      <w:rFonts w:eastAsiaTheme="minorEastAsia"/>
      <w:sz w:val="24"/>
      <w:szCs w:val="24"/>
    </w:rPr>
  </w:style>
  <w:style w:type="paragraph" w:customStyle="1" w:styleId="Style42">
    <w:name w:val="Style42"/>
    <w:basedOn w:val="Normalny"/>
    <w:uiPriority w:val="99"/>
    <w:rsid w:val="002412CC"/>
    <w:pPr>
      <w:widowControl w:val="0"/>
      <w:overflowPunct/>
      <w:jc w:val="center"/>
      <w:textAlignment w:val="auto"/>
    </w:pPr>
    <w:rPr>
      <w:rFonts w:eastAsiaTheme="minorEastAsia"/>
      <w:sz w:val="24"/>
      <w:szCs w:val="24"/>
    </w:rPr>
  </w:style>
  <w:style w:type="paragraph" w:customStyle="1" w:styleId="Style49">
    <w:name w:val="Style49"/>
    <w:basedOn w:val="Normalny"/>
    <w:uiPriority w:val="99"/>
    <w:rsid w:val="002412CC"/>
    <w:pPr>
      <w:widowControl w:val="0"/>
      <w:overflowPunct/>
      <w:spacing w:line="235" w:lineRule="exact"/>
      <w:ind w:hanging="1070"/>
      <w:jc w:val="left"/>
      <w:textAlignment w:val="auto"/>
    </w:pPr>
    <w:rPr>
      <w:rFonts w:eastAsiaTheme="minorEastAsia"/>
      <w:sz w:val="24"/>
      <w:szCs w:val="24"/>
    </w:rPr>
  </w:style>
  <w:style w:type="paragraph" w:customStyle="1" w:styleId="Style47">
    <w:name w:val="Style47"/>
    <w:basedOn w:val="Normalny"/>
    <w:uiPriority w:val="99"/>
    <w:rsid w:val="002412CC"/>
    <w:pPr>
      <w:widowControl w:val="0"/>
      <w:overflowPunct/>
      <w:jc w:val="left"/>
      <w:textAlignment w:val="auto"/>
    </w:pPr>
    <w:rPr>
      <w:rFonts w:eastAsiaTheme="minorEastAsia"/>
      <w:sz w:val="24"/>
      <w:szCs w:val="24"/>
    </w:rPr>
  </w:style>
  <w:style w:type="paragraph" w:customStyle="1" w:styleId="Style51">
    <w:name w:val="Style51"/>
    <w:basedOn w:val="Normalny"/>
    <w:uiPriority w:val="99"/>
    <w:rsid w:val="002412CC"/>
    <w:pPr>
      <w:widowControl w:val="0"/>
      <w:overflowPunct/>
      <w:spacing w:line="283" w:lineRule="exact"/>
      <w:textAlignment w:val="auto"/>
    </w:pPr>
    <w:rPr>
      <w:rFonts w:eastAsiaTheme="minorEastAsia"/>
      <w:sz w:val="24"/>
      <w:szCs w:val="24"/>
    </w:rPr>
  </w:style>
  <w:style w:type="paragraph" w:customStyle="1" w:styleId="Style53">
    <w:name w:val="Style53"/>
    <w:basedOn w:val="Normalny"/>
    <w:uiPriority w:val="99"/>
    <w:rsid w:val="002412CC"/>
    <w:pPr>
      <w:widowControl w:val="0"/>
      <w:overflowPunct/>
      <w:spacing w:line="278" w:lineRule="exact"/>
      <w:ind w:hanging="427"/>
      <w:jc w:val="left"/>
      <w:textAlignment w:val="auto"/>
    </w:pPr>
    <w:rPr>
      <w:rFonts w:eastAsiaTheme="minorEastAsia"/>
      <w:sz w:val="24"/>
      <w:szCs w:val="24"/>
    </w:rPr>
  </w:style>
  <w:style w:type="paragraph" w:customStyle="1" w:styleId="Style52">
    <w:name w:val="Style52"/>
    <w:basedOn w:val="Normalny"/>
    <w:uiPriority w:val="99"/>
    <w:rsid w:val="002412CC"/>
    <w:pPr>
      <w:widowControl w:val="0"/>
      <w:overflowPunct/>
      <w:spacing w:line="403" w:lineRule="exact"/>
      <w:ind w:hanging="418"/>
      <w:jc w:val="left"/>
      <w:textAlignment w:val="auto"/>
    </w:pPr>
    <w:rPr>
      <w:rFonts w:eastAsiaTheme="minorEastAsia"/>
      <w:sz w:val="24"/>
      <w:szCs w:val="24"/>
    </w:rPr>
  </w:style>
  <w:style w:type="paragraph" w:customStyle="1" w:styleId="Style56">
    <w:name w:val="Style56"/>
    <w:basedOn w:val="Normalny"/>
    <w:uiPriority w:val="99"/>
    <w:rsid w:val="002412CC"/>
    <w:pPr>
      <w:widowControl w:val="0"/>
      <w:overflowPunct/>
      <w:spacing w:line="398" w:lineRule="exact"/>
      <w:ind w:firstLine="504"/>
      <w:jc w:val="left"/>
      <w:textAlignment w:val="auto"/>
    </w:pPr>
    <w:rPr>
      <w:rFonts w:eastAsiaTheme="minorEastAsia"/>
      <w:sz w:val="24"/>
      <w:szCs w:val="24"/>
    </w:rPr>
  </w:style>
  <w:style w:type="paragraph" w:customStyle="1" w:styleId="Style29">
    <w:name w:val="Style29"/>
    <w:basedOn w:val="Normalny"/>
    <w:uiPriority w:val="99"/>
    <w:rsid w:val="002412CC"/>
    <w:pPr>
      <w:widowControl w:val="0"/>
      <w:overflowPunct/>
      <w:spacing w:line="235" w:lineRule="exact"/>
      <w:ind w:hanging="854"/>
      <w:jc w:val="left"/>
      <w:textAlignment w:val="auto"/>
    </w:pPr>
    <w:rPr>
      <w:rFonts w:eastAsiaTheme="minorEastAsia"/>
      <w:sz w:val="24"/>
      <w:szCs w:val="24"/>
    </w:rPr>
  </w:style>
  <w:style w:type="paragraph" w:customStyle="1" w:styleId="Style16">
    <w:name w:val="Style16"/>
    <w:basedOn w:val="Normalny"/>
    <w:uiPriority w:val="99"/>
    <w:rsid w:val="002412CC"/>
    <w:pPr>
      <w:widowControl w:val="0"/>
      <w:overflowPunct/>
      <w:jc w:val="left"/>
      <w:textAlignment w:val="auto"/>
    </w:pPr>
    <w:rPr>
      <w:rFonts w:eastAsiaTheme="minorEastAsia"/>
      <w:sz w:val="24"/>
      <w:szCs w:val="24"/>
    </w:rPr>
  </w:style>
  <w:style w:type="paragraph" w:customStyle="1" w:styleId="Style45">
    <w:name w:val="Style45"/>
    <w:basedOn w:val="Normalny"/>
    <w:uiPriority w:val="99"/>
    <w:rsid w:val="002412CC"/>
    <w:pPr>
      <w:widowControl w:val="0"/>
      <w:overflowPunct/>
      <w:jc w:val="left"/>
      <w:textAlignment w:val="auto"/>
    </w:pPr>
    <w:rPr>
      <w:rFonts w:eastAsiaTheme="minorEastAsia"/>
      <w:sz w:val="24"/>
      <w:szCs w:val="24"/>
    </w:rPr>
  </w:style>
  <w:style w:type="paragraph" w:customStyle="1" w:styleId="Style48">
    <w:name w:val="Style48"/>
    <w:basedOn w:val="Normalny"/>
    <w:uiPriority w:val="99"/>
    <w:rsid w:val="002412CC"/>
    <w:pPr>
      <w:widowControl w:val="0"/>
      <w:overflowPunct/>
      <w:jc w:val="left"/>
      <w:textAlignment w:val="auto"/>
    </w:pPr>
    <w:rPr>
      <w:rFonts w:eastAsiaTheme="minorEastAsia"/>
      <w:sz w:val="24"/>
      <w:szCs w:val="24"/>
    </w:rPr>
  </w:style>
  <w:style w:type="paragraph" w:customStyle="1" w:styleId="Style54">
    <w:name w:val="Style54"/>
    <w:basedOn w:val="Normalny"/>
    <w:uiPriority w:val="99"/>
    <w:rsid w:val="002412CC"/>
    <w:pPr>
      <w:widowControl w:val="0"/>
      <w:overflowPunct/>
      <w:spacing w:line="235" w:lineRule="exact"/>
      <w:ind w:hanging="572"/>
      <w:jc w:val="left"/>
      <w:textAlignment w:val="auto"/>
    </w:pPr>
    <w:rPr>
      <w:rFonts w:eastAsiaTheme="minorEastAsia"/>
      <w:sz w:val="24"/>
      <w:szCs w:val="24"/>
    </w:rPr>
  </w:style>
  <w:style w:type="paragraph" w:customStyle="1" w:styleId="Style12">
    <w:name w:val="Style12"/>
    <w:basedOn w:val="Normalny"/>
    <w:uiPriority w:val="99"/>
    <w:rsid w:val="002412CC"/>
    <w:pPr>
      <w:widowControl w:val="0"/>
      <w:overflowPunct/>
      <w:jc w:val="left"/>
      <w:textAlignment w:val="auto"/>
    </w:pPr>
    <w:rPr>
      <w:rFonts w:eastAsiaTheme="minorEastAsia"/>
      <w:sz w:val="24"/>
      <w:szCs w:val="24"/>
    </w:rPr>
  </w:style>
  <w:style w:type="paragraph" w:customStyle="1" w:styleId="Style31">
    <w:name w:val="Style31"/>
    <w:basedOn w:val="Normalny"/>
    <w:uiPriority w:val="99"/>
    <w:rsid w:val="002412CC"/>
    <w:pPr>
      <w:widowControl w:val="0"/>
      <w:overflowPunct/>
      <w:spacing w:line="283" w:lineRule="exact"/>
      <w:ind w:firstLine="845"/>
      <w:jc w:val="left"/>
      <w:textAlignment w:val="auto"/>
    </w:pPr>
    <w:rPr>
      <w:rFonts w:eastAsiaTheme="minorEastAsia"/>
      <w:sz w:val="24"/>
      <w:szCs w:val="24"/>
    </w:rPr>
  </w:style>
  <w:style w:type="paragraph" w:customStyle="1" w:styleId="Style14">
    <w:name w:val="Style14"/>
    <w:basedOn w:val="Normalny"/>
    <w:uiPriority w:val="99"/>
    <w:rsid w:val="002412CC"/>
    <w:pPr>
      <w:widowControl w:val="0"/>
      <w:overflowPunct/>
      <w:spacing w:line="235" w:lineRule="exact"/>
      <w:ind w:hanging="979"/>
      <w:jc w:val="left"/>
      <w:textAlignment w:val="auto"/>
    </w:pPr>
    <w:rPr>
      <w:rFonts w:eastAsiaTheme="minorEastAsia"/>
      <w:sz w:val="24"/>
      <w:szCs w:val="24"/>
    </w:rPr>
  </w:style>
  <w:style w:type="paragraph" w:customStyle="1" w:styleId="Style43">
    <w:name w:val="Style43"/>
    <w:basedOn w:val="Normalny"/>
    <w:uiPriority w:val="99"/>
    <w:rsid w:val="002412CC"/>
    <w:pPr>
      <w:widowControl w:val="0"/>
      <w:overflowPunct/>
      <w:spacing w:line="461" w:lineRule="exact"/>
      <w:ind w:hanging="509"/>
      <w:jc w:val="left"/>
      <w:textAlignment w:val="auto"/>
    </w:pPr>
    <w:rPr>
      <w:rFonts w:eastAsiaTheme="minorEastAsia"/>
      <w:sz w:val="24"/>
      <w:szCs w:val="24"/>
    </w:rPr>
  </w:style>
  <w:style w:type="paragraph" w:customStyle="1" w:styleId="Style44">
    <w:name w:val="Style44"/>
    <w:basedOn w:val="Normalny"/>
    <w:uiPriority w:val="99"/>
    <w:rsid w:val="002412CC"/>
    <w:pPr>
      <w:widowControl w:val="0"/>
      <w:overflowPunct/>
      <w:spacing w:line="288" w:lineRule="exact"/>
      <w:ind w:hanging="418"/>
      <w:jc w:val="left"/>
      <w:textAlignment w:val="auto"/>
    </w:pPr>
    <w:rPr>
      <w:rFonts w:eastAsiaTheme="minorEastAsia"/>
      <w:sz w:val="24"/>
      <w:szCs w:val="24"/>
    </w:rPr>
  </w:style>
  <w:style w:type="paragraph" w:customStyle="1" w:styleId="Style37">
    <w:name w:val="Style37"/>
    <w:basedOn w:val="Normalny"/>
    <w:uiPriority w:val="99"/>
    <w:rsid w:val="002412CC"/>
    <w:pPr>
      <w:widowControl w:val="0"/>
      <w:overflowPunct/>
      <w:spacing w:line="283" w:lineRule="exact"/>
      <w:ind w:firstLine="701"/>
      <w:textAlignment w:val="auto"/>
    </w:pPr>
    <w:rPr>
      <w:rFonts w:eastAsiaTheme="minorEastAsia"/>
      <w:sz w:val="24"/>
      <w:szCs w:val="24"/>
    </w:rPr>
  </w:style>
  <w:style w:type="paragraph" w:customStyle="1" w:styleId="Style50">
    <w:name w:val="Style50"/>
    <w:basedOn w:val="Normalny"/>
    <w:uiPriority w:val="99"/>
    <w:rsid w:val="002412CC"/>
    <w:pPr>
      <w:widowControl w:val="0"/>
      <w:overflowPunct/>
      <w:jc w:val="left"/>
      <w:textAlignment w:val="auto"/>
    </w:pPr>
    <w:rPr>
      <w:rFonts w:eastAsiaTheme="minorEastAsia"/>
      <w:sz w:val="24"/>
      <w:szCs w:val="24"/>
    </w:rPr>
  </w:style>
  <w:style w:type="paragraph" w:customStyle="1" w:styleId="Style40">
    <w:name w:val="Style40"/>
    <w:basedOn w:val="Normalny"/>
    <w:uiPriority w:val="99"/>
    <w:rsid w:val="002412CC"/>
    <w:pPr>
      <w:widowControl w:val="0"/>
      <w:overflowPunct/>
      <w:jc w:val="left"/>
      <w:textAlignment w:val="auto"/>
    </w:pPr>
    <w:rPr>
      <w:rFonts w:eastAsiaTheme="minorEastAsia"/>
      <w:sz w:val="24"/>
      <w:szCs w:val="24"/>
    </w:rPr>
  </w:style>
  <w:style w:type="paragraph" w:customStyle="1" w:styleId="Style46">
    <w:name w:val="Style46"/>
    <w:basedOn w:val="Normalny"/>
    <w:uiPriority w:val="99"/>
    <w:rsid w:val="002412CC"/>
    <w:pPr>
      <w:widowControl w:val="0"/>
      <w:overflowPunct/>
      <w:jc w:val="left"/>
      <w:textAlignment w:val="auto"/>
    </w:pPr>
    <w:rPr>
      <w:rFonts w:eastAsiaTheme="minorEastAsia"/>
      <w:sz w:val="24"/>
      <w:szCs w:val="24"/>
    </w:rPr>
  </w:style>
  <w:style w:type="paragraph" w:customStyle="1" w:styleId="Style55">
    <w:name w:val="Style55"/>
    <w:basedOn w:val="Normalny"/>
    <w:uiPriority w:val="99"/>
    <w:rsid w:val="002412CC"/>
    <w:pPr>
      <w:widowControl w:val="0"/>
      <w:overflowPunct/>
      <w:spacing w:line="283" w:lineRule="exact"/>
      <w:ind w:hanging="312"/>
      <w:jc w:val="left"/>
      <w:textAlignment w:val="auto"/>
    </w:pPr>
    <w:rPr>
      <w:rFonts w:eastAsiaTheme="minorEastAsia"/>
      <w:sz w:val="24"/>
      <w:szCs w:val="24"/>
    </w:rPr>
  </w:style>
  <w:style w:type="paragraph" w:customStyle="1" w:styleId="a2">
    <w:name w:val="a2"/>
    <w:basedOn w:val="Normalny"/>
    <w:rsid w:val="002412CC"/>
    <w:pPr>
      <w:numPr>
        <w:numId w:val="72"/>
      </w:numPr>
      <w:suppressAutoHyphens/>
      <w:overflowPunct/>
      <w:autoSpaceDE/>
      <w:autoSpaceDN/>
      <w:adjustRightInd/>
      <w:spacing w:after="120" w:line="300" w:lineRule="atLeast"/>
      <w:textAlignment w:val="auto"/>
    </w:pPr>
    <w:rPr>
      <w:rFonts w:ascii="Arial" w:hAnsi="Arial"/>
      <w:bCs/>
      <w:sz w:val="24"/>
      <w:lang w:eastAsia="ar-SA"/>
    </w:rPr>
  </w:style>
  <w:style w:type="paragraph" w:customStyle="1" w:styleId="Tekstpodstawowywcity21">
    <w:name w:val="Tekst podstawowy wcięty 21"/>
    <w:basedOn w:val="Normalny"/>
    <w:rsid w:val="002412CC"/>
    <w:pPr>
      <w:overflowPunct/>
      <w:autoSpaceDE/>
      <w:autoSpaceDN/>
      <w:adjustRightInd/>
      <w:spacing w:line="360" w:lineRule="auto"/>
      <w:ind w:left="709"/>
      <w:textAlignment w:val="auto"/>
    </w:pPr>
    <w:rPr>
      <w:rFonts w:ascii="Arial" w:hAnsi="Arial"/>
      <w:sz w:val="24"/>
    </w:rPr>
  </w:style>
  <w:style w:type="paragraph" w:customStyle="1" w:styleId="BodyTextIndent21">
    <w:name w:val="Body Text Indent 21"/>
    <w:basedOn w:val="Normalny"/>
    <w:rsid w:val="002412CC"/>
    <w:pPr>
      <w:overflowPunct/>
      <w:autoSpaceDE/>
      <w:autoSpaceDN/>
      <w:adjustRightInd/>
      <w:spacing w:line="360" w:lineRule="auto"/>
      <w:ind w:left="709"/>
      <w:textAlignment w:val="auto"/>
    </w:pPr>
    <w:rPr>
      <w:rFonts w:ascii="Arial" w:hAnsi="Arial"/>
      <w:sz w:val="24"/>
    </w:rPr>
  </w:style>
  <w:style w:type="paragraph" w:customStyle="1" w:styleId="Standard">
    <w:name w:val="Standard"/>
    <w:rsid w:val="002412CC"/>
    <w:pPr>
      <w:widowControl w:val="0"/>
      <w:suppressAutoHyphens/>
      <w:autoSpaceDE w:val="0"/>
    </w:pPr>
    <w:rPr>
      <w:rFonts w:ascii="Times New Roman" w:eastAsia="Times New Roman" w:hAnsi="Times New Roman"/>
      <w:sz w:val="24"/>
      <w:szCs w:val="24"/>
      <w:lang w:eastAsia="ar-SA"/>
    </w:rPr>
  </w:style>
  <w:style w:type="paragraph" w:customStyle="1" w:styleId="z1">
    <w:name w:val="z1"/>
    <w:rsid w:val="002412CC"/>
    <w:pPr>
      <w:widowControl w:val="0"/>
      <w:tabs>
        <w:tab w:val="left" w:pos="397"/>
      </w:tabs>
      <w:autoSpaceDE w:val="0"/>
      <w:autoSpaceDN w:val="0"/>
      <w:adjustRightInd w:val="0"/>
      <w:spacing w:before="170" w:line="360" w:lineRule="auto"/>
      <w:jc w:val="both"/>
    </w:pPr>
    <w:rPr>
      <w:rFonts w:ascii="Times New Roman" w:eastAsia="Times New Roman" w:hAnsi="Times New Roman"/>
      <w:b/>
      <w:bCs/>
      <w:color w:val="000000"/>
      <w:sz w:val="28"/>
      <w:szCs w:val="23"/>
    </w:rPr>
  </w:style>
  <w:style w:type="paragraph" w:customStyle="1" w:styleId="znormal">
    <w:name w:val="z_normal"/>
    <w:rsid w:val="002412CC"/>
    <w:pPr>
      <w:widowControl w:val="0"/>
      <w:autoSpaceDE w:val="0"/>
      <w:autoSpaceDN w:val="0"/>
      <w:adjustRightInd w:val="0"/>
      <w:spacing w:line="360" w:lineRule="auto"/>
      <w:ind w:left="397"/>
      <w:jc w:val="both"/>
    </w:pPr>
    <w:rPr>
      <w:rFonts w:ascii="Times New Roman" w:eastAsia="Times New Roman" w:hAnsi="Times New Roman"/>
      <w:color w:val="000000"/>
      <w:szCs w:val="23"/>
    </w:rPr>
  </w:style>
  <w:style w:type="paragraph" w:customStyle="1" w:styleId="z11">
    <w:name w:val="z11"/>
    <w:rsid w:val="002412CC"/>
    <w:pPr>
      <w:widowControl w:val="0"/>
      <w:autoSpaceDE w:val="0"/>
      <w:autoSpaceDN w:val="0"/>
      <w:adjustRightInd w:val="0"/>
      <w:spacing w:before="57" w:line="224" w:lineRule="exact"/>
      <w:jc w:val="both"/>
    </w:pPr>
    <w:rPr>
      <w:rFonts w:ascii="Times New Roman" w:eastAsia="Times New Roman" w:hAnsi="Times New Roman"/>
      <w:color w:val="000000"/>
      <w:sz w:val="19"/>
      <w:szCs w:val="19"/>
      <w:u w:val="single"/>
    </w:rPr>
  </w:style>
  <w:style w:type="paragraph" w:customStyle="1" w:styleId="KRESKA">
    <w:name w:val="KRESKA"/>
    <w:basedOn w:val="znormal"/>
    <w:rsid w:val="002412CC"/>
    <w:pPr>
      <w:numPr>
        <w:numId w:val="73"/>
      </w:numPr>
      <w:tabs>
        <w:tab w:val="num" w:pos="851"/>
      </w:tabs>
      <w:ind w:left="851" w:hanging="425"/>
    </w:pPr>
  </w:style>
  <w:style w:type="paragraph" w:customStyle="1" w:styleId="Podpis1">
    <w:name w:val="Podpis1"/>
    <w:basedOn w:val="Normalny"/>
    <w:rsid w:val="002412CC"/>
    <w:pPr>
      <w:suppressLineNumbers/>
      <w:suppressAutoHyphens/>
      <w:autoSpaceDN/>
      <w:adjustRightInd/>
      <w:spacing w:before="120" w:after="120"/>
      <w:jc w:val="left"/>
      <w:textAlignment w:val="auto"/>
    </w:pPr>
    <w:rPr>
      <w:rFonts w:cs="Tahoma"/>
      <w:i/>
      <w:iCs/>
      <w:sz w:val="24"/>
      <w:szCs w:val="24"/>
      <w:lang w:eastAsia="ar-SA"/>
    </w:rPr>
  </w:style>
  <w:style w:type="paragraph" w:customStyle="1" w:styleId="Indeks">
    <w:name w:val="Indeks"/>
    <w:basedOn w:val="Normalny"/>
    <w:rsid w:val="002412CC"/>
    <w:pPr>
      <w:suppressLineNumbers/>
      <w:suppressAutoHyphens/>
      <w:autoSpaceDN/>
      <w:adjustRightInd/>
      <w:jc w:val="left"/>
      <w:textAlignment w:val="auto"/>
    </w:pPr>
    <w:rPr>
      <w:rFonts w:cs="Tahoma"/>
      <w:lang w:eastAsia="ar-SA"/>
    </w:rPr>
  </w:style>
  <w:style w:type="paragraph" w:customStyle="1" w:styleId="xl24">
    <w:name w:val="xl24"/>
    <w:basedOn w:val="Normalny"/>
    <w:rsid w:val="002412CC"/>
    <w:pPr>
      <w:pBdr>
        <w:top w:val="single" w:sz="4" w:space="0" w:color="000000"/>
        <w:left w:val="single" w:sz="4" w:space="0" w:color="000000"/>
        <w:bottom w:val="single" w:sz="4" w:space="0" w:color="000000"/>
        <w:right w:val="single" w:sz="4" w:space="0" w:color="000000"/>
      </w:pBdr>
      <w:suppressAutoHyphens/>
      <w:overflowPunct/>
      <w:autoSpaceDE/>
      <w:autoSpaceDN/>
      <w:adjustRightInd/>
      <w:spacing w:before="100" w:after="100"/>
      <w:jc w:val="center"/>
      <w:textAlignment w:val="auto"/>
    </w:pPr>
    <w:rPr>
      <w:rFonts w:ascii="Arial Unicode MS" w:eastAsia="Arial Unicode MS" w:hAnsi="Arial Unicode MS" w:cs="Arial Unicode MS"/>
      <w:sz w:val="24"/>
      <w:szCs w:val="24"/>
      <w:lang w:eastAsia="ar-SA"/>
    </w:rPr>
  </w:style>
  <w:style w:type="paragraph" w:customStyle="1" w:styleId="xl25">
    <w:name w:val="xl25"/>
    <w:basedOn w:val="Normalny"/>
    <w:rsid w:val="002412CC"/>
    <w:pPr>
      <w:pBdr>
        <w:top w:val="single" w:sz="4" w:space="0" w:color="000000"/>
        <w:left w:val="single" w:sz="4" w:space="0" w:color="000000"/>
        <w:bottom w:val="single" w:sz="4" w:space="0" w:color="000000"/>
        <w:right w:val="single" w:sz="4" w:space="0" w:color="000000"/>
      </w:pBdr>
      <w:suppressAutoHyphens/>
      <w:overflowPunct/>
      <w:autoSpaceDE/>
      <w:autoSpaceDN/>
      <w:adjustRightInd/>
      <w:spacing w:before="100" w:after="100"/>
      <w:jc w:val="right"/>
      <w:textAlignment w:val="auto"/>
    </w:pPr>
    <w:rPr>
      <w:rFonts w:ascii="Arial Unicode MS" w:eastAsia="Arial Unicode MS" w:hAnsi="Arial Unicode MS" w:cs="Arial Unicode MS"/>
      <w:sz w:val="24"/>
      <w:szCs w:val="24"/>
      <w:lang w:eastAsia="ar-SA"/>
    </w:rPr>
  </w:style>
  <w:style w:type="paragraph" w:customStyle="1" w:styleId="xl26">
    <w:name w:val="xl26"/>
    <w:basedOn w:val="Normalny"/>
    <w:rsid w:val="002412CC"/>
    <w:pPr>
      <w:pBdr>
        <w:top w:val="single" w:sz="4" w:space="0" w:color="000000"/>
        <w:left w:val="single" w:sz="4" w:space="0" w:color="000000"/>
        <w:bottom w:val="single" w:sz="4" w:space="0" w:color="000000"/>
        <w:right w:val="single" w:sz="4" w:space="0" w:color="000000"/>
      </w:pBdr>
      <w:suppressAutoHyphens/>
      <w:overflowPunct/>
      <w:autoSpaceDE/>
      <w:autoSpaceDN/>
      <w:adjustRightInd/>
      <w:spacing w:before="100" w:after="100"/>
      <w:jc w:val="right"/>
      <w:textAlignment w:val="auto"/>
    </w:pPr>
    <w:rPr>
      <w:rFonts w:ascii="Arial Unicode MS" w:eastAsia="Arial Unicode MS" w:hAnsi="Arial Unicode MS" w:cs="Arial Unicode MS"/>
      <w:sz w:val="24"/>
      <w:szCs w:val="24"/>
      <w:lang w:eastAsia="ar-SA"/>
    </w:rPr>
  </w:style>
  <w:style w:type="paragraph" w:customStyle="1" w:styleId="xl27">
    <w:name w:val="xl27"/>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left"/>
      <w:textAlignment w:val="auto"/>
    </w:pPr>
    <w:rPr>
      <w:rFonts w:ascii="Arial Unicode MS" w:eastAsia="Arial Unicode MS" w:hAnsi="Arial Unicode MS" w:cs="Arial Unicode MS"/>
      <w:sz w:val="24"/>
      <w:szCs w:val="24"/>
      <w:lang w:eastAsia="ar-SA"/>
    </w:rPr>
  </w:style>
  <w:style w:type="paragraph" w:customStyle="1" w:styleId="xl28">
    <w:name w:val="xl28"/>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left"/>
      <w:textAlignment w:val="auto"/>
    </w:pPr>
    <w:rPr>
      <w:rFonts w:ascii="Arial" w:eastAsia="Arial Unicode MS" w:hAnsi="Arial" w:cs="Arial Unicode MS"/>
      <w:b/>
      <w:bCs/>
      <w:sz w:val="24"/>
      <w:szCs w:val="24"/>
      <w:lang w:eastAsia="ar-SA"/>
    </w:rPr>
  </w:style>
  <w:style w:type="paragraph" w:customStyle="1" w:styleId="xl29">
    <w:name w:val="xl29"/>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left"/>
      <w:textAlignment w:val="auto"/>
    </w:pPr>
    <w:rPr>
      <w:rFonts w:ascii="Arial" w:eastAsia="Arial Unicode MS" w:hAnsi="Arial" w:cs="Arial Unicode MS"/>
      <w:sz w:val="24"/>
      <w:szCs w:val="24"/>
      <w:lang w:eastAsia="ar-SA"/>
    </w:rPr>
  </w:style>
  <w:style w:type="paragraph" w:customStyle="1" w:styleId="xl30">
    <w:name w:val="xl30"/>
    <w:basedOn w:val="Normalny"/>
    <w:rsid w:val="002412CC"/>
    <w:pPr>
      <w:pBdr>
        <w:top w:val="single" w:sz="4" w:space="0" w:color="000000"/>
        <w:left w:val="single" w:sz="4" w:space="0" w:color="000000"/>
        <w:bottom w:val="single" w:sz="4" w:space="0" w:color="000000"/>
        <w:right w:val="single" w:sz="4" w:space="0" w:color="000000"/>
      </w:pBdr>
      <w:shd w:val="clear" w:color="auto" w:fill="CCFFFF"/>
      <w:suppressAutoHyphens/>
      <w:overflowPunct/>
      <w:autoSpaceDE/>
      <w:autoSpaceDN/>
      <w:adjustRightInd/>
      <w:spacing w:before="100" w:after="100"/>
      <w:jc w:val="left"/>
      <w:textAlignment w:val="auto"/>
    </w:pPr>
    <w:rPr>
      <w:rFonts w:ascii="Arial" w:eastAsia="Arial Unicode MS" w:hAnsi="Arial" w:cs="Arial Unicode MS"/>
      <w:b/>
      <w:bCs/>
      <w:sz w:val="24"/>
      <w:szCs w:val="24"/>
      <w:lang w:eastAsia="ar-SA"/>
    </w:rPr>
  </w:style>
  <w:style w:type="paragraph" w:customStyle="1" w:styleId="xl31">
    <w:name w:val="xl31"/>
    <w:basedOn w:val="Normalny"/>
    <w:rsid w:val="002412CC"/>
    <w:pPr>
      <w:pBdr>
        <w:top w:val="single" w:sz="4" w:space="0" w:color="000000"/>
        <w:left w:val="single" w:sz="4" w:space="0" w:color="000000"/>
        <w:bottom w:val="single" w:sz="4" w:space="0" w:color="000000"/>
        <w:right w:val="single" w:sz="4" w:space="0" w:color="000000"/>
      </w:pBdr>
      <w:shd w:val="clear" w:color="auto" w:fill="CCFFFF"/>
      <w:suppressAutoHyphens/>
      <w:overflowPunct/>
      <w:autoSpaceDE/>
      <w:autoSpaceDN/>
      <w:adjustRightInd/>
      <w:spacing w:before="100" w:after="100"/>
      <w:jc w:val="left"/>
      <w:textAlignment w:val="auto"/>
    </w:pPr>
    <w:rPr>
      <w:rFonts w:ascii="Arial" w:eastAsia="Arial Unicode MS" w:hAnsi="Arial" w:cs="Arial Unicode MS"/>
      <w:b/>
      <w:bCs/>
      <w:sz w:val="24"/>
      <w:szCs w:val="24"/>
      <w:lang w:eastAsia="ar-SA"/>
    </w:rPr>
  </w:style>
  <w:style w:type="paragraph" w:customStyle="1" w:styleId="xl32">
    <w:name w:val="xl32"/>
    <w:basedOn w:val="Normalny"/>
    <w:rsid w:val="002412CC"/>
    <w:pPr>
      <w:pBdr>
        <w:top w:val="single" w:sz="4" w:space="0" w:color="000000"/>
        <w:left w:val="single" w:sz="4" w:space="0" w:color="000000"/>
        <w:bottom w:val="single" w:sz="4" w:space="0" w:color="000000"/>
        <w:right w:val="single" w:sz="4" w:space="0" w:color="000000"/>
      </w:pBdr>
      <w:shd w:val="clear" w:color="auto" w:fill="99CC00"/>
      <w:suppressAutoHyphens/>
      <w:overflowPunct/>
      <w:autoSpaceDE/>
      <w:autoSpaceDN/>
      <w:adjustRightInd/>
      <w:spacing w:before="100" w:after="100"/>
      <w:jc w:val="right"/>
      <w:textAlignment w:val="auto"/>
    </w:pPr>
    <w:rPr>
      <w:rFonts w:ascii="Arial Unicode MS" w:eastAsia="Arial Unicode MS" w:hAnsi="Arial Unicode MS" w:cs="Arial Unicode MS"/>
      <w:sz w:val="24"/>
      <w:szCs w:val="24"/>
      <w:lang w:eastAsia="ar-SA"/>
    </w:rPr>
  </w:style>
  <w:style w:type="paragraph" w:customStyle="1" w:styleId="xl33">
    <w:name w:val="xl33"/>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center"/>
      <w:textAlignment w:val="auto"/>
    </w:pPr>
    <w:rPr>
      <w:rFonts w:ascii="Arial Unicode MS" w:eastAsia="Arial Unicode MS" w:hAnsi="Arial Unicode MS" w:cs="Arial Unicode MS"/>
      <w:sz w:val="24"/>
      <w:szCs w:val="24"/>
      <w:lang w:eastAsia="ar-SA"/>
    </w:rPr>
  </w:style>
  <w:style w:type="paragraph" w:customStyle="1" w:styleId="xl34">
    <w:name w:val="xl34"/>
    <w:basedOn w:val="Normalny"/>
    <w:rsid w:val="002412CC"/>
    <w:pPr>
      <w:pBdr>
        <w:bottom w:val="single" w:sz="4" w:space="0" w:color="000000"/>
      </w:pBdr>
      <w:suppressAutoHyphens/>
      <w:overflowPunct/>
      <w:autoSpaceDE/>
      <w:autoSpaceDN/>
      <w:adjustRightInd/>
      <w:spacing w:before="100" w:after="100"/>
      <w:jc w:val="center"/>
      <w:textAlignment w:val="auto"/>
    </w:pPr>
    <w:rPr>
      <w:rFonts w:ascii="Arial" w:eastAsia="Arial Unicode MS" w:hAnsi="Arial" w:cs="Arial Unicode MS"/>
      <w:b/>
      <w:bCs/>
      <w:i/>
      <w:iCs/>
      <w:sz w:val="24"/>
      <w:szCs w:val="24"/>
      <w:lang w:eastAsia="ar-SA"/>
    </w:rPr>
  </w:style>
  <w:style w:type="paragraph" w:customStyle="1" w:styleId="xl35">
    <w:name w:val="xl35"/>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center"/>
      <w:textAlignment w:val="auto"/>
    </w:pPr>
    <w:rPr>
      <w:rFonts w:ascii="Arial" w:eastAsia="Arial Unicode MS" w:hAnsi="Arial" w:cs="Arial Unicode MS"/>
      <w:b/>
      <w:bCs/>
      <w:sz w:val="24"/>
      <w:szCs w:val="24"/>
      <w:lang w:eastAsia="ar-SA"/>
    </w:rPr>
  </w:style>
  <w:style w:type="paragraph" w:customStyle="1" w:styleId="xl36">
    <w:name w:val="xl36"/>
    <w:basedOn w:val="Normalny"/>
    <w:rsid w:val="002412CC"/>
    <w:pPr>
      <w:pBdr>
        <w:top w:val="single" w:sz="4" w:space="0" w:color="000000"/>
        <w:left w:val="single" w:sz="4" w:space="0" w:color="000000"/>
        <w:bottom w:val="single" w:sz="4" w:space="0" w:color="000000"/>
        <w:right w:val="single" w:sz="4" w:space="0" w:color="000000"/>
      </w:pBdr>
      <w:shd w:val="clear" w:color="auto" w:fill="FFFF99"/>
      <w:suppressAutoHyphens/>
      <w:overflowPunct/>
      <w:autoSpaceDE/>
      <w:autoSpaceDN/>
      <w:adjustRightInd/>
      <w:spacing w:before="100" w:after="100"/>
      <w:jc w:val="center"/>
      <w:textAlignment w:val="auto"/>
    </w:pPr>
    <w:rPr>
      <w:rFonts w:ascii="Arial" w:eastAsia="Arial Unicode MS" w:hAnsi="Arial" w:cs="Arial Unicode MS"/>
      <w:sz w:val="24"/>
      <w:szCs w:val="24"/>
      <w:lang w:eastAsia="ar-SA"/>
    </w:rPr>
  </w:style>
  <w:style w:type="paragraph" w:customStyle="1" w:styleId="Tekstpodstawowy31">
    <w:name w:val="Tekst podstawowy 31"/>
    <w:basedOn w:val="Normalny"/>
    <w:rsid w:val="002412CC"/>
    <w:pPr>
      <w:suppressAutoHyphens/>
      <w:autoSpaceDN/>
      <w:adjustRightInd/>
      <w:spacing w:line="240" w:lineRule="atLeast"/>
      <w:textAlignment w:val="auto"/>
    </w:pPr>
    <w:rPr>
      <w:color w:val="FF0000"/>
      <w:sz w:val="24"/>
      <w:lang w:eastAsia="ar-SA"/>
    </w:rPr>
  </w:style>
  <w:style w:type="paragraph" w:customStyle="1" w:styleId="opistechnicznyy">
    <w:name w:val="opis technicznyy"/>
    <w:basedOn w:val="Normalny"/>
    <w:rsid w:val="002412CC"/>
    <w:pPr>
      <w:tabs>
        <w:tab w:val="num" w:pos="454"/>
      </w:tabs>
      <w:suppressAutoHyphens/>
      <w:overflowPunct/>
      <w:autoSpaceDE/>
      <w:autoSpaceDN/>
      <w:adjustRightInd/>
      <w:jc w:val="left"/>
      <w:textAlignment w:val="auto"/>
    </w:pPr>
    <w:rPr>
      <w:lang w:eastAsia="ar-SA"/>
    </w:rPr>
  </w:style>
  <w:style w:type="paragraph" w:customStyle="1" w:styleId="Zawartotabeli">
    <w:name w:val="Zawartość tabeli"/>
    <w:basedOn w:val="Normalny"/>
    <w:rsid w:val="002412CC"/>
    <w:pPr>
      <w:suppressLineNumbers/>
      <w:suppressAutoHyphens/>
      <w:autoSpaceDN/>
      <w:adjustRightInd/>
      <w:jc w:val="left"/>
      <w:textAlignment w:val="auto"/>
    </w:pPr>
    <w:rPr>
      <w:lang w:eastAsia="ar-SA"/>
    </w:rPr>
  </w:style>
  <w:style w:type="paragraph" w:customStyle="1" w:styleId="Nagwektabeli">
    <w:name w:val="Nagłówek tabeli"/>
    <w:basedOn w:val="Zawartotabeli"/>
    <w:rsid w:val="002412CC"/>
    <w:pPr>
      <w:jc w:val="center"/>
    </w:pPr>
    <w:rPr>
      <w:b/>
      <w:bCs/>
    </w:rPr>
  </w:style>
  <w:style w:type="character" w:customStyle="1" w:styleId="NoSpacingChar">
    <w:name w:val="No Spacing Char"/>
    <w:basedOn w:val="Domylnaczcionkaakapitu"/>
    <w:link w:val="Bezodstpw1"/>
    <w:locked/>
    <w:rsid w:val="002412CC"/>
    <w:rPr>
      <w:rFonts w:eastAsia="Times New Roman"/>
      <w:lang w:eastAsia="en-US"/>
    </w:rPr>
  </w:style>
  <w:style w:type="paragraph" w:customStyle="1" w:styleId="Bezodstpw1">
    <w:name w:val="Bez odstępów1"/>
    <w:link w:val="NoSpacingChar"/>
    <w:rsid w:val="002412CC"/>
    <w:rPr>
      <w:rFonts w:eastAsia="Times New Roman"/>
      <w:lang w:eastAsia="en-US"/>
    </w:rPr>
  </w:style>
  <w:style w:type="paragraph" w:customStyle="1" w:styleId="Nagwekspisutreci1">
    <w:name w:val="Nagłówek spisu treści1"/>
    <w:basedOn w:val="Nagwek1"/>
    <w:next w:val="Normalny"/>
    <w:rsid w:val="002412CC"/>
    <w:pPr>
      <w:suppressAutoHyphens w:val="0"/>
      <w:overflowPunct/>
      <w:autoSpaceDE/>
      <w:autoSpaceDN/>
      <w:adjustRightInd/>
      <w:spacing w:before="480" w:after="0" w:line="276" w:lineRule="auto"/>
      <w:jc w:val="left"/>
      <w:textAlignment w:val="auto"/>
      <w:outlineLvl w:val="9"/>
    </w:pPr>
    <w:rPr>
      <w:rFonts w:ascii="Cambria" w:hAnsi="Cambria"/>
      <w:caps w:val="0"/>
      <w:color w:val="365F91"/>
      <w:kern w:val="0"/>
      <w:lang w:eastAsia="en-US"/>
    </w:rPr>
  </w:style>
  <w:style w:type="paragraph" w:customStyle="1" w:styleId="Tekstpodstawowywcity32">
    <w:name w:val="Tekst podstawowy wcięty 32"/>
    <w:basedOn w:val="Normalny"/>
    <w:rsid w:val="002412CC"/>
    <w:pPr>
      <w:tabs>
        <w:tab w:val="left" w:pos="964"/>
      </w:tabs>
      <w:spacing w:after="120"/>
      <w:ind w:left="964" w:hanging="964"/>
      <w:textAlignment w:val="auto"/>
    </w:pPr>
  </w:style>
  <w:style w:type="paragraph" w:customStyle="1" w:styleId="StylArial12ptWyjustowanyInterlinia15wiersza">
    <w:name w:val="Styl Arial 12 pt Wyjustowany Interlinia:  15 wiersza"/>
    <w:basedOn w:val="Normalny"/>
    <w:rsid w:val="002412CC"/>
    <w:pPr>
      <w:overflowPunct/>
      <w:autoSpaceDE/>
      <w:autoSpaceDN/>
      <w:adjustRightInd/>
      <w:spacing w:line="360" w:lineRule="auto"/>
      <w:ind w:left="425"/>
      <w:textAlignment w:val="auto"/>
    </w:pPr>
    <w:rPr>
      <w:rFonts w:ascii="Arial" w:hAnsi="Arial"/>
      <w:sz w:val="24"/>
    </w:rPr>
  </w:style>
  <w:style w:type="paragraph" w:customStyle="1" w:styleId="StylLegendaWyjustowany">
    <w:name w:val="Styl Legenda + Wyjustowany"/>
    <w:basedOn w:val="Legenda"/>
    <w:rsid w:val="002412CC"/>
    <w:pPr>
      <w:overflowPunct/>
      <w:autoSpaceDE/>
      <w:autoSpaceDN/>
      <w:adjustRightInd/>
      <w:ind w:left="425"/>
      <w:jc w:val="center"/>
      <w:textAlignment w:val="auto"/>
    </w:pPr>
  </w:style>
  <w:style w:type="paragraph" w:customStyle="1" w:styleId="Style5">
    <w:name w:val="Style5"/>
    <w:basedOn w:val="Normalny"/>
    <w:uiPriority w:val="99"/>
    <w:rsid w:val="002412CC"/>
    <w:pPr>
      <w:widowControl w:val="0"/>
      <w:overflowPunct/>
      <w:jc w:val="left"/>
      <w:textAlignment w:val="auto"/>
    </w:pPr>
    <w:rPr>
      <w:rFonts w:ascii="Verdana" w:eastAsiaTheme="minorEastAsia" w:hAnsi="Verdana" w:cstheme="minorBidi"/>
      <w:sz w:val="24"/>
      <w:szCs w:val="24"/>
    </w:rPr>
  </w:style>
  <w:style w:type="paragraph" w:customStyle="1" w:styleId="Style41">
    <w:name w:val="Style41"/>
    <w:basedOn w:val="Normalny"/>
    <w:uiPriority w:val="99"/>
    <w:rsid w:val="002412CC"/>
    <w:pPr>
      <w:widowControl w:val="0"/>
      <w:overflowPunct/>
      <w:spacing w:line="250" w:lineRule="exact"/>
      <w:jc w:val="center"/>
      <w:textAlignment w:val="auto"/>
    </w:pPr>
    <w:rPr>
      <w:rFonts w:ascii="Verdana" w:eastAsiaTheme="minorEastAsia" w:hAnsi="Verdana" w:cstheme="minorBidi"/>
      <w:sz w:val="24"/>
      <w:szCs w:val="24"/>
    </w:rPr>
  </w:style>
  <w:style w:type="paragraph" w:customStyle="1" w:styleId="Style67">
    <w:name w:val="Style67"/>
    <w:basedOn w:val="Normalny"/>
    <w:uiPriority w:val="99"/>
    <w:rsid w:val="002412CC"/>
    <w:pPr>
      <w:widowControl w:val="0"/>
      <w:overflowPunct/>
      <w:spacing w:line="187" w:lineRule="exact"/>
      <w:jc w:val="center"/>
      <w:textAlignment w:val="auto"/>
    </w:pPr>
    <w:rPr>
      <w:rFonts w:ascii="MS Reference Sans Serif" w:eastAsiaTheme="minorEastAsia" w:hAnsi="MS Reference Sans Serif" w:cstheme="minorBidi"/>
      <w:sz w:val="24"/>
      <w:szCs w:val="24"/>
    </w:rPr>
  </w:style>
  <w:style w:type="paragraph" w:customStyle="1" w:styleId="Style105">
    <w:name w:val="Style105"/>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06">
    <w:name w:val="Style106"/>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08">
    <w:name w:val="Style108"/>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10">
    <w:name w:val="Style110"/>
    <w:basedOn w:val="Normalny"/>
    <w:uiPriority w:val="99"/>
    <w:rsid w:val="002412CC"/>
    <w:pPr>
      <w:widowControl w:val="0"/>
      <w:overflowPunct/>
      <w:spacing w:line="194" w:lineRule="exact"/>
      <w:jc w:val="center"/>
      <w:textAlignment w:val="auto"/>
    </w:pPr>
    <w:rPr>
      <w:rFonts w:ascii="MS Reference Sans Serif" w:eastAsiaTheme="minorEastAsia" w:hAnsi="MS Reference Sans Serif" w:cstheme="minorBidi"/>
      <w:sz w:val="24"/>
      <w:szCs w:val="24"/>
    </w:rPr>
  </w:style>
  <w:style w:type="paragraph" w:customStyle="1" w:styleId="Style111">
    <w:name w:val="Style111"/>
    <w:basedOn w:val="Normalny"/>
    <w:uiPriority w:val="99"/>
    <w:rsid w:val="002412CC"/>
    <w:pPr>
      <w:widowControl w:val="0"/>
      <w:overflowPunct/>
      <w:spacing w:line="194" w:lineRule="exact"/>
      <w:jc w:val="center"/>
      <w:textAlignment w:val="auto"/>
    </w:pPr>
    <w:rPr>
      <w:rFonts w:ascii="MS Reference Sans Serif" w:eastAsiaTheme="minorEastAsia" w:hAnsi="MS Reference Sans Serif" w:cstheme="minorBidi"/>
      <w:sz w:val="24"/>
      <w:szCs w:val="24"/>
    </w:rPr>
  </w:style>
  <w:style w:type="paragraph" w:customStyle="1" w:styleId="Style59">
    <w:name w:val="Style59"/>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100">
    <w:name w:val="Style100"/>
    <w:basedOn w:val="Normalny"/>
    <w:uiPriority w:val="99"/>
    <w:rsid w:val="002412CC"/>
    <w:pPr>
      <w:widowControl w:val="0"/>
      <w:overflowPunct/>
      <w:spacing w:line="194" w:lineRule="exact"/>
      <w:ind w:hanging="137"/>
      <w:jc w:val="left"/>
      <w:textAlignment w:val="auto"/>
    </w:pPr>
    <w:rPr>
      <w:rFonts w:ascii="MS Reference Sans Serif" w:eastAsiaTheme="minorEastAsia" w:hAnsi="MS Reference Sans Serif" w:cstheme="minorBidi"/>
      <w:sz w:val="24"/>
      <w:szCs w:val="24"/>
    </w:rPr>
  </w:style>
  <w:style w:type="paragraph" w:customStyle="1" w:styleId="Style1">
    <w:name w:val="Style1"/>
    <w:basedOn w:val="Normalny"/>
    <w:uiPriority w:val="99"/>
    <w:rsid w:val="002412CC"/>
    <w:pPr>
      <w:widowControl w:val="0"/>
      <w:overflowPunct/>
      <w:spacing w:line="360" w:lineRule="exact"/>
      <w:jc w:val="right"/>
      <w:textAlignment w:val="auto"/>
    </w:pPr>
    <w:rPr>
      <w:rFonts w:ascii="Verdana" w:eastAsiaTheme="minorEastAsia" w:hAnsi="Verdana" w:cstheme="minorBidi"/>
      <w:sz w:val="24"/>
      <w:szCs w:val="24"/>
    </w:rPr>
  </w:style>
  <w:style w:type="paragraph" w:customStyle="1" w:styleId="Style18">
    <w:name w:val="Style18"/>
    <w:basedOn w:val="Normalny"/>
    <w:uiPriority w:val="99"/>
    <w:rsid w:val="002412CC"/>
    <w:pPr>
      <w:widowControl w:val="0"/>
      <w:overflowPunct/>
      <w:spacing w:line="277" w:lineRule="exact"/>
      <w:textAlignment w:val="auto"/>
    </w:pPr>
    <w:rPr>
      <w:rFonts w:ascii="Verdana" w:eastAsiaTheme="minorEastAsia" w:hAnsi="Verdana" w:cstheme="minorBidi"/>
      <w:sz w:val="24"/>
      <w:szCs w:val="24"/>
    </w:rPr>
  </w:style>
  <w:style w:type="paragraph" w:customStyle="1" w:styleId="Style64">
    <w:name w:val="Style64"/>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96">
    <w:name w:val="Style96"/>
    <w:basedOn w:val="Normalny"/>
    <w:uiPriority w:val="99"/>
    <w:rsid w:val="002412CC"/>
    <w:pPr>
      <w:widowControl w:val="0"/>
      <w:overflowPunct/>
      <w:spacing w:line="202" w:lineRule="exact"/>
      <w:jc w:val="center"/>
      <w:textAlignment w:val="auto"/>
    </w:pPr>
    <w:rPr>
      <w:rFonts w:ascii="MS Reference Sans Serif" w:eastAsiaTheme="minorEastAsia" w:hAnsi="MS Reference Sans Serif" w:cstheme="minorBidi"/>
      <w:sz w:val="24"/>
      <w:szCs w:val="24"/>
    </w:rPr>
  </w:style>
  <w:style w:type="paragraph" w:customStyle="1" w:styleId="Style99">
    <w:name w:val="Style99"/>
    <w:basedOn w:val="Normalny"/>
    <w:uiPriority w:val="99"/>
    <w:rsid w:val="002412CC"/>
    <w:pPr>
      <w:widowControl w:val="0"/>
      <w:overflowPunct/>
      <w:spacing w:line="194" w:lineRule="exact"/>
      <w:jc w:val="center"/>
      <w:textAlignment w:val="auto"/>
    </w:pPr>
    <w:rPr>
      <w:rFonts w:ascii="MS Reference Sans Serif" w:eastAsiaTheme="minorEastAsia" w:hAnsi="MS Reference Sans Serif" w:cstheme="minorBidi"/>
      <w:sz w:val="24"/>
      <w:szCs w:val="24"/>
    </w:rPr>
  </w:style>
  <w:style w:type="paragraph" w:customStyle="1" w:styleId="Style58">
    <w:name w:val="Style58"/>
    <w:basedOn w:val="Normalny"/>
    <w:uiPriority w:val="99"/>
    <w:rsid w:val="002412CC"/>
    <w:pPr>
      <w:widowControl w:val="0"/>
      <w:overflowPunct/>
      <w:spacing w:line="194" w:lineRule="exact"/>
      <w:textAlignment w:val="auto"/>
    </w:pPr>
    <w:rPr>
      <w:rFonts w:ascii="MS Reference Sans Serif" w:eastAsiaTheme="minorEastAsia" w:hAnsi="MS Reference Sans Serif" w:cstheme="minorBidi"/>
      <w:sz w:val="24"/>
      <w:szCs w:val="24"/>
    </w:rPr>
  </w:style>
  <w:style w:type="paragraph" w:customStyle="1" w:styleId="Style73">
    <w:name w:val="Style73"/>
    <w:basedOn w:val="Normalny"/>
    <w:uiPriority w:val="99"/>
    <w:rsid w:val="002412CC"/>
    <w:pPr>
      <w:widowControl w:val="0"/>
      <w:overflowPunct/>
      <w:jc w:val="left"/>
      <w:textAlignment w:val="auto"/>
    </w:pPr>
    <w:rPr>
      <w:rFonts w:ascii="MS Reference Sans Serif" w:eastAsiaTheme="minorEastAsia" w:hAnsi="MS Reference Sans Serif" w:cstheme="minorBidi"/>
      <w:sz w:val="24"/>
      <w:szCs w:val="24"/>
    </w:rPr>
  </w:style>
  <w:style w:type="paragraph" w:customStyle="1" w:styleId="Style90">
    <w:name w:val="Style90"/>
    <w:basedOn w:val="Normalny"/>
    <w:uiPriority w:val="99"/>
    <w:rsid w:val="002412CC"/>
    <w:pPr>
      <w:widowControl w:val="0"/>
      <w:overflowPunct/>
      <w:spacing w:line="187" w:lineRule="exact"/>
      <w:jc w:val="center"/>
      <w:textAlignment w:val="auto"/>
    </w:pPr>
    <w:rPr>
      <w:rFonts w:ascii="MS Reference Sans Serif" w:eastAsiaTheme="minorEastAsia" w:hAnsi="MS Reference Sans Serif" w:cstheme="minorBidi"/>
      <w:sz w:val="24"/>
      <w:szCs w:val="24"/>
    </w:rPr>
  </w:style>
  <w:style w:type="paragraph" w:customStyle="1" w:styleId="Style109">
    <w:name w:val="Style109"/>
    <w:basedOn w:val="Normalny"/>
    <w:uiPriority w:val="99"/>
    <w:rsid w:val="002412CC"/>
    <w:pPr>
      <w:widowControl w:val="0"/>
      <w:overflowPunct/>
      <w:spacing w:line="194" w:lineRule="exact"/>
      <w:ind w:firstLine="497"/>
      <w:jc w:val="left"/>
      <w:textAlignment w:val="auto"/>
    </w:pPr>
    <w:rPr>
      <w:rFonts w:ascii="MS Reference Sans Serif" w:eastAsiaTheme="minorEastAsia" w:hAnsi="MS Reference Sans Serif" w:cstheme="minorBidi"/>
      <w:sz w:val="24"/>
      <w:szCs w:val="24"/>
    </w:rPr>
  </w:style>
  <w:style w:type="paragraph" w:customStyle="1" w:styleId="Style101">
    <w:name w:val="Style101"/>
    <w:basedOn w:val="Normalny"/>
    <w:uiPriority w:val="99"/>
    <w:rsid w:val="002412CC"/>
    <w:pPr>
      <w:widowControl w:val="0"/>
      <w:overflowPunct/>
      <w:spacing w:line="194" w:lineRule="exact"/>
      <w:ind w:firstLine="360"/>
      <w:jc w:val="left"/>
      <w:textAlignment w:val="auto"/>
    </w:pPr>
    <w:rPr>
      <w:rFonts w:ascii="MS Reference Sans Serif" w:eastAsiaTheme="minorEastAsia" w:hAnsi="MS Reference Sans Serif" w:cstheme="minorBidi"/>
      <w:sz w:val="24"/>
      <w:szCs w:val="24"/>
    </w:rPr>
  </w:style>
  <w:style w:type="paragraph" w:customStyle="1" w:styleId="Tekstpodstawowy26">
    <w:name w:val="Tekst podstawowy 26"/>
    <w:basedOn w:val="Normalny"/>
    <w:rsid w:val="002412CC"/>
    <w:pPr>
      <w:widowControl w:val="0"/>
      <w:overflowPunct/>
      <w:autoSpaceDE/>
      <w:autoSpaceDN/>
      <w:adjustRightInd/>
      <w:ind w:left="708"/>
      <w:jc w:val="left"/>
      <w:textAlignment w:val="auto"/>
    </w:pPr>
    <w:rPr>
      <w:rFonts w:ascii="Arial" w:hAnsi="Arial"/>
      <w:sz w:val="24"/>
    </w:rPr>
  </w:style>
  <w:style w:type="character" w:styleId="Odwoanieprzypisukocowego">
    <w:name w:val="endnote reference"/>
    <w:basedOn w:val="Domylnaczcionkaakapitu"/>
    <w:semiHidden/>
    <w:unhideWhenUsed/>
    <w:locked/>
    <w:rsid w:val="002412CC"/>
    <w:rPr>
      <w:rFonts w:ascii="Times New Roman" w:hAnsi="Times New Roman" w:cs="Times New Roman" w:hint="default"/>
      <w:vertAlign w:val="superscript"/>
    </w:rPr>
  </w:style>
  <w:style w:type="character" w:customStyle="1" w:styleId="FontStyle72">
    <w:name w:val="Font Style72"/>
    <w:basedOn w:val="Domylnaczcionkaakapitu"/>
    <w:uiPriority w:val="99"/>
    <w:rsid w:val="002412CC"/>
    <w:rPr>
      <w:rFonts w:ascii="Times New Roman" w:hAnsi="Times New Roman" w:cs="Times New Roman" w:hint="default"/>
      <w:b/>
      <w:bCs/>
      <w:sz w:val="26"/>
      <w:szCs w:val="26"/>
    </w:rPr>
  </w:style>
  <w:style w:type="character" w:customStyle="1" w:styleId="FontStyle73">
    <w:name w:val="Font Style73"/>
    <w:basedOn w:val="Domylnaczcionkaakapitu"/>
    <w:uiPriority w:val="99"/>
    <w:rsid w:val="002412CC"/>
    <w:rPr>
      <w:rFonts w:ascii="Times New Roman" w:hAnsi="Times New Roman" w:cs="Times New Roman" w:hint="default"/>
      <w:b/>
      <w:bCs/>
      <w:sz w:val="22"/>
      <w:szCs w:val="22"/>
    </w:rPr>
  </w:style>
  <w:style w:type="character" w:customStyle="1" w:styleId="FontStyle75">
    <w:name w:val="Font Style75"/>
    <w:basedOn w:val="Domylnaczcionkaakapitu"/>
    <w:uiPriority w:val="99"/>
    <w:rsid w:val="002412CC"/>
    <w:rPr>
      <w:rFonts w:ascii="Times New Roman" w:hAnsi="Times New Roman" w:cs="Times New Roman" w:hint="default"/>
      <w:sz w:val="22"/>
      <w:szCs w:val="22"/>
    </w:rPr>
  </w:style>
  <w:style w:type="character" w:customStyle="1" w:styleId="FontStyle59">
    <w:name w:val="Font Style59"/>
    <w:basedOn w:val="Domylnaczcionkaakapitu"/>
    <w:uiPriority w:val="99"/>
    <w:rsid w:val="002412CC"/>
    <w:rPr>
      <w:rFonts w:ascii="Times New Roman" w:hAnsi="Times New Roman" w:cs="Times New Roman" w:hint="default"/>
      <w:b/>
      <w:bCs/>
      <w:sz w:val="18"/>
      <w:szCs w:val="18"/>
    </w:rPr>
  </w:style>
  <w:style w:type="character" w:customStyle="1" w:styleId="FontStyle60">
    <w:name w:val="Font Style60"/>
    <w:basedOn w:val="Domylnaczcionkaakapitu"/>
    <w:uiPriority w:val="99"/>
    <w:rsid w:val="002412CC"/>
    <w:rPr>
      <w:rFonts w:ascii="Times New Roman" w:hAnsi="Times New Roman" w:cs="Times New Roman" w:hint="default"/>
      <w:sz w:val="18"/>
      <w:szCs w:val="18"/>
    </w:rPr>
  </w:style>
  <w:style w:type="character" w:customStyle="1" w:styleId="FontStyle71">
    <w:name w:val="Font Style71"/>
    <w:basedOn w:val="Domylnaczcionkaakapitu"/>
    <w:uiPriority w:val="99"/>
    <w:rsid w:val="002412CC"/>
    <w:rPr>
      <w:rFonts w:ascii="Times New Roman" w:hAnsi="Times New Roman" w:cs="Times New Roman" w:hint="default"/>
      <w:sz w:val="18"/>
      <w:szCs w:val="18"/>
    </w:rPr>
  </w:style>
  <w:style w:type="character" w:customStyle="1" w:styleId="FontStyle61">
    <w:name w:val="Font Style61"/>
    <w:basedOn w:val="Domylnaczcionkaakapitu"/>
    <w:uiPriority w:val="99"/>
    <w:rsid w:val="002412CC"/>
    <w:rPr>
      <w:rFonts w:ascii="Times New Roman" w:hAnsi="Times New Roman" w:cs="Times New Roman" w:hint="default"/>
      <w:i/>
      <w:iCs/>
      <w:sz w:val="12"/>
      <w:szCs w:val="12"/>
    </w:rPr>
  </w:style>
  <w:style w:type="character" w:customStyle="1" w:styleId="FontStyle62">
    <w:name w:val="Font Style62"/>
    <w:basedOn w:val="Domylnaczcionkaakapitu"/>
    <w:uiPriority w:val="99"/>
    <w:rsid w:val="002412CC"/>
    <w:rPr>
      <w:rFonts w:ascii="Times New Roman" w:hAnsi="Times New Roman" w:cs="Times New Roman" w:hint="default"/>
      <w:sz w:val="12"/>
      <w:szCs w:val="12"/>
    </w:rPr>
  </w:style>
  <w:style w:type="character" w:customStyle="1" w:styleId="FontStyle64">
    <w:name w:val="Font Style64"/>
    <w:basedOn w:val="Domylnaczcionkaakapitu"/>
    <w:uiPriority w:val="99"/>
    <w:rsid w:val="002412CC"/>
    <w:rPr>
      <w:rFonts w:ascii="Times New Roman" w:hAnsi="Times New Roman" w:cs="Times New Roman" w:hint="default"/>
      <w:i/>
      <w:iCs/>
      <w:sz w:val="18"/>
      <w:szCs w:val="18"/>
    </w:rPr>
  </w:style>
  <w:style w:type="character" w:customStyle="1" w:styleId="FontStyle65">
    <w:name w:val="Font Style65"/>
    <w:basedOn w:val="Domylnaczcionkaakapitu"/>
    <w:uiPriority w:val="99"/>
    <w:rsid w:val="002412CC"/>
    <w:rPr>
      <w:rFonts w:ascii="Times New Roman" w:hAnsi="Times New Roman" w:cs="Times New Roman" w:hint="default"/>
      <w:smallCaps/>
      <w:sz w:val="18"/>
      <w:szCs w:val="18"/>
    </w:rPr>
  </w:style>
  <w:style w:type="character" w:customStyle="1" w:styleId="FontStyle66">
    <w:name w:val="Font Style66"/>
    <w:basedOn w:val="Domylnaczcionkaakapitu"/>
    <w:uiPriority w:val="99"/>
    <w:rsid w:val="002412CC"/>
    <w:rPr>
      <w:rFonts w:ascii="Times New Roman" w:hAnsi="Times New Roman" w:cs="Times New Roman" w:hint="default"/>
      <w:sz w:val="12"/>
      <w:szCs w:val="12"/>
    </w:rPr>
  </w:style>
  <w:style w:type="character" w:customStyle="1" w:styleId="FontStyle63">
    <w:name w:val="Font Style63"/>
    <w:basedOn w:val="Domylnaczcionkaakapitu"/>
    <w:uiPriority w:val="99"/>
    <w:rsid w:val="002412CC"/>
    <w:rPr>
      <w:rFonts w:ascii="Times New Roman" w:hAnsi="Times New Roman" w:cs="Times New Roman" w:hint="default"/>
      <w:i/>
      <w:iCs/>
      <w:sz w:val="12"/>
      <w:szCs w:val="12"/>
    </w:rPr>
  </w:style>
  <w:style w:type="character" w:customStyle="1" w:styleId="FontStyle67">
    <w:name w:val="Font Style67"/>
    <w:basedOn w:val="Domylnaczcionkaakapitu"/>
    <w:uiPriority w:val="99"/>
    <w:rsid w:val="002412CC"/>
    <w:rPr>
      <w:rFonts w:ascii="Times New Roman" w:hAnsi="Times New Roman" w:cs="Times New Roman" w:hint="default"/>
      <w:smallCaps/>
      <w:sz w:val="12"/>
      <w:szCs w:val="12"/>
    </w:rPr>
  </w:style>
  <w:style w:type="character" w:customStyle="1" w:styleId="FontStyle69">
    <w:name w:val="Font Style69"/>
    <w:basedOn w:val="Domylnaczcionkaakapitu"/>
    <w:uiPriority w:val="99"/>
    <w:rsid w:val="002412CC"/>
    <w:rPr>
      <w:rFonts w:ascii="Aharoni" w:hAnsi="Aharoni" w:cs="Aharoni" w:hint="default"/>
      <w:sz w:val="16"/>
      <w:szCs w:val="16"/>
    </w:rPr>
  </w:style>
  <w:style w:type="character" w:customStyle="1" w:styleId="FontStyle70">
    <w:name w:val="Font Style70"/>
    <w:basedOn w:val="Domylnaczcionkaakapitu"/>
    <w:uiPriority w:val="99"/>
    <w:rsid w:val="002412CC"/>
    <w:rPr>
      <w:rFonts w:ascii="Times New Roman" w:hAnsi="Times New Roman" w:cs="Times New Roman" w:hint="default"/>
      <w:spacing w:val="10"/>
      <w:sz w:val="14"/>
      <w:szCs w:val="14"/>
    </w:rPr>
  </w:style>
  <w:style w:type="character" w:customStyle="1" w:styleId="FontStyle74">
    <w:name w:val="Font Style74"/>
    <w:basedOn w:val="Domylnaczcionkaakapitu"/>
    <w:uiPriority w:val="99"/>
    <w:rsid w:val="002412CC"/>
    <w:rPr>
      <w:rFonts w:ascii="Times New Roman" w:hAnsi="Times New Roman" w:cs="Times New Roman" w:hint="default"/>
      <w:i/>
      <w:iCs/>
      <w:sz w:val="24"/>
      <w:szCs w:val="24"/>
    </w:rPr>
  </w:style>
  <w:style w:type="character" w:customStyle="1" w:styleId="WW8Num1z0">
    <w:name w:val="WW8Num1z0"/>
    <w:rsid w:val="002412CC"/>
    <w:rPr>
      <w:rFonts w:ascii="Symbol" w:hAnsi="Symbol" w:hint="default"/>
    </w:rPr>
  </w:style>
  <w:style w:type="character" w:customStyle="1" w:styleId="WW8Num1z2">
    <w:name w:val="WW8Num1z2"/>
    <w:rsid w:val="002412CC"/>
    <w:rPr>
      <w:rFonts w:ascii="Wingdings" w:hAnsi="Wingdings" w:hint="default"/>
    </w:rPr>
  </w:style>
  <w:style w:type="character" w:customStyle="1" w:styleId="WW8Num1z4">
    <w:name w:val="WW8Num1z4"/>
    <w:rsid w:val="002412CC"/>
    <w:rPr>
      <w:rFonts w:ascii="Courier New" w:hAnsi="Courier New" w:cs="Courier New" w:hint="default"/>
    </w:rPr>
  </w:style>
  <w:style w:type="character" w:customStyle="1" w:styleId="WW8Num2z0">
    <w:name w:val="WW8Num2z0"/>
    <w:rsid w:val="002412CC"/>
    <w:rPr>
      <w:rFonts w:ascii="Times New Roman" w:hAnsi="Times New Roman" w:cs="Times New Roman" w:hint="default"/>
    </w:rPr>
  </w:style>
  <w:style w:type="character" w:customStyle="1" w:styleId="WW8Num2z1">
    <w:name w:val="WW8Num2z1"/>
    <w:rsid w:val="002412CC"/>
    <w:rPr>
      <w:rFonts w:ascii="Courier New" w:hAnsi="Courier New" w:cs="Courier New" w:hint="default"/>
    </w:rPr>
  </w:style>
  <w:style w:type="character" w:customStyle="1" w:styleId="WW8Num2z2">
    <w:name w:val="WW8Num2z2"/>
    <w:rsid w:val="002412CC"/>
    <w:rPr>
      <w:rFonts w:ascii="Wingdings" w:hAnsi="Wingdings" w:hint="default"/>
    </w:rPr>
  </w:style>
  <w:style w:type="character" w:customStyle="1" w:styleId="WW8Num2z3">
    <w:name w:val="WW8Num2z3"/>
    <w:rsid w:val="002412CC"/>
    <w:rPr>
      <w:rFonts w:ascii="Symbol" w:hAnsi="Symbol" w:hint="default"/>
    </w:rPr>
  </w:style>
  <w:style w:type="character" w:customStyle="1" w:styleId="WW8Num3z0">
    <w:name w:val="WW8Num3z0"/>
    <w:rsid w:val="002412CC"/>
    <w:rPr>
      <w:rFonts w:ascii="Symbol" w:hAnsi="Symbol" w:hint="default"/>
    </w:rPr>
  </w:style>
  <w:style w:type="character" w:customStyle="1" w:styleId="WW8Num3z2">
    <w:name w:val="WW8Num3z2"/>
    <w:rsid w:val="002412CC"/>
    <w:rPr>
      <w:rFonts w:ascii="Wingdings" w:hAnsi="Wingdings" w:hint="default"/>
    </w:rPr>
  </w:style>
  <w:style w:type="character" w:customStyle="1" w:styleId="WW8Num3z4">
    <w:name w:val="WW8Num3z4"/>
    <w:rsid w:val="002412CC"/>
    <w:rPr>
      <w:rFonts w:ascii="Courier New" w:hAnsi="Courier New" w:cs="Courier New" w:hint="default"/>
    </w:rPr>
  </w:style>
  <w:style w:type="character" w:customStyle="1" w:styleId="WW8Num4z0">
    <w:name w:val="WW8Num4z0"/>
    <w:rsid w:val="002412CC"/>
    <w:rPr>
      <w:rFonts w:ascii="Wingdings" w:hAnsi="Wingdings" w:hint="default"/>
      <w:color w:val="auto"/>
    </w:rPr>
  </w:style>
  <w:style w:type="character" w:customStyle="1" w:styleId="WW8Num4z1">
    <w:name w:val="WW8Num4z1"/>
    <w:rsid w:val="002412CC"/>
    <w:rPr>
      <w:rFonts w:ascii="Times New Roman" w:hAnsi="Times New Roman" w:cs="Times New Roman" w:hint="default"/>
    </w:rPr>
  </w:style>
  <w:style w:type="character" w:customStyle="1" w:styleId="WW8Num4z2">
    <w:name w:val="WW8Num4z2"/>
    <w:rsid w:val="002412CC"/>
    <w:rPr>
      <w:rFonts w:ascii="Wingdings" w:hAnsi="Wingdings" w:hint="default"/>
    </w:rPr>
  </w:style>
  <w:style w:type="character" w:customStyle="1" w:styleId="WW8Num4z3">
    <w:name w:val="WW8Num4z3"/>
    <w:rsid w:val="002412CC"/>
    <w:rPr>
      <w:rFonts w:ascii="Symbol" w:hAnsi="Symbol" w:hint="default"/>
    </w:rPr>
  </w:style>
  <w:style w:type="character" w:customStyle="1" w:styleId="WW8Num4z4">
    <w:name w:val="WW8Num4z4"/>
    <w:rsid w:val="002412CC"/>
    <w:rPr>
      <w:rFonts w:ascii="Courier New" w:hAnsi="Courier New" w:cs="Courier New" w:hint="default"/>
    </w:rPr>
  </w:style>
  <w:style w:type="character" w:customStyle="1" w:styleId="WW8Num5z0">
    <w:name w:val="WW8Num5z0"/>
    <w:rsid w:val="002412CC"/>
    <w:rPr>
      <w:rFonts w:ascii="Times New Roman" w:hAnsi="Times New Roman" w:cs="Times New Roman" w:hint="default"/>
    </w:rPr>
  </w:style>
  <w:style w:type="character" w:customStyle="1" w:styleId="WW8Num5z1">
    <w:name w:val="WW8Num5z1"/>
    <w:rsid w:val="002412CC"/>
    <w:rPr>
      <w:rFonts w:ascii="Courier New" w:hAnsi="Courier New" w:cs="Courier New" w:hint="default"/>
    </w:rPr>
  </w:style>
  <w:style w:type="character" w:customStyle="1" w:styleId="WW8Num5z2">
    <w:name w:val="WW8Num5z2"/>
    <w:rsid w:val="002412CC"/>
    <w:rPr>
      <w:rFonts w:ascii="Wingdings" w:hAnsi="Wingdings" w:hint="default"/>
    </w:rPr>
  </w:style>
  <w:style w:type="character" w:customStyle="1" w:styleId="WW8Num5z3">
    <w:name w:val="WW8Num5z3"/>
    <w:rsid w:val="002412CC"/>
    <w:rPr>
      <w:rFonts w:ascii="Symbol" w:hAnsi="Symbol" w:hint="default"/>
    </w:rPr>
  </w:style>
  <w:style w:type="character" w:customStyle="1" w:styleId="WW8Num6z0">
    <w:name w:val="WW8Num6z0"/>
    <w:rsid w:val="002412CC"/>
    <w:rPr>
      <w:rFonts w:ascii="Times New Roman" w:hAnsi="Times New Roman" w:cs="Times New Roman" w:hint="default"/>
    </w:rPr>
  </w:style>
  <w:style w:type="character" w:customStyle="1" w:styleId="WW8Num6z1">
    <w:name w:val="WW8Num6z1"/>
    <w:rsid w:val="002412CC"/>
    <w:rPr>
      <w:rFonts w:ascii="Courier New" w:hAnsi="Courier New" w:cs="Courier New" w:hint="default"/>
    </w:rPr>
  </w:style>
  <w:style w:type="character" w:customStyle="1" w:styleId="WW8Num6z2">
    <w:name w:val="WW8Num6z2"/>
    <w:rsid w:val="002412CC"/>
    <w:rPr>
      <w:rFonts w:ascii="Wingdings" w:hAnsi="Wingdings" w:hint="default"/>
    </w:rPr>
  </w:style>
  <w:style w:type="character" w:customStyle="1" w:styleId="WW8Num6z3">
    <w:name w:val="WW8Num6z3"/>
    <w:rsid w:val="002412CC"/>
    <w:rPr>
      <w:rFonts w:ascii="Symbol" w:hAnsi="Symbol" w:hint="default"/>
    </w:rPr>
  </w:style>
  <w:style w:type="character" w:customStyle="1" w:styleId="WW8Num8z0">
    <w:name w:val="WW8Num8z0"/>
    <w:rsid w:val="002412CC"/>
    <w:rPr>
      <w:rFonts w:ascii="Times New Roman" w:hAnsi="Times New Roman" w:cs="Times New Roman" w:hint="default"/>
    </w:rPr>
  </w:style>
  <w:style w:type="character" w:customStyle="1" w:styleId="WW8Num8z1">
    <w:name w:val="WW8Num8z1"/>
    <w:rsid w:val="002412CC"/>
    <w:rPr>
      <w:rFonts w:ascii="Courier New" w:hAnsi="Courier New" w:cs="Courier New" w:hint="default"/>
    </w:rPr>
  </w:style>
  <w:style w:type="character" w:customStyle="1" w:styleId="WW8Num8z2">
    <w:name w:val="WW8Num8z2"/>
    <w:rsid w:val="002412CC"/>
    <w:rPr>
      <w:rFonts w:ascii="Wingdings" w:hAnsi="Wingdings" w:hint="default"/>
    </w:rPr>
  </w:style>
  <w:style w:type="character" w:customStyle="1" w:styleId="WW8Num8z3">
    <w:name w:val="WW8Num8z3"/>
    <w:rsid w:val="002412CC"/>
    <w:rPr>
      <w:rFonts w:ascii="Symbol" w:hAnsi="Symbol" w:hint="default"/>
    </w:rPr>
  </w:style>
  <w:style w:type="character" w:customStyle="1" w:styleId="WW8Num9z0">
    <w:name w:val="WW8Num9z0"/>
    <w:rsid w:val="002412CC"/>
    <w:rPr>
      <w:rFonts w:ascii="Times New Roman" w:hAnsi="Times New Roman" w:cs="Times New Roman" w:hint="default"/>
    </w:rPr>
  </w:style>
  <w:style w:type="character" w:customStyle="1" w:styleId="WW8Num9z1">
    <w:name w:val="WW8Num9z1"/>
    <w:rsid w:val="002412CC"/>
    <w:rPr>
      <w:rFonts w:ascii="Courier New" w:hAnsi="Courier New" w:cs="Courier New" w:hint="default"/>
    </w:rPr>
  </w:style>
  <w:style w:type="character" w:customStyle="1" w:styleId="WW8Num9z2">
    <w:name w:val="WW8Num9z2"/>
    <w:rsid w:val="002412CC"/>
    <w:rPr>
      <w:rFonts w:ascii="Wingdings" w:hAnsi="Wingdings" w:hint="default"/>
    </w:rPr>
  </w:style>
  <w:style w:type="character" w:customStyle="1" w:styleId="WW8Num9z3">
    <w:name w:val="WW8Num9z3"/>
    <w:rsid w:val="002412CC"/>
    <w:rPr>
      <w:rFonts w:ascii="Symbol" w:hAnsi="Symbol" w:hint="default"/>
    </w:rPr>
  </w:style>
  <w:style w:type="character" w:customStyle="1" w:styleId="WW8Num10z1">
    <w:name w:val="WW8Num10z1"/>
    <w:rsid w:val="002412CC"/>
    <w:rPr>
      <w:rFonts w:ascii="Times New Roman" w:hAnsi="Times New Roman" w:cs="Times New Roman" w:hint="default"/>
    </w:rPr>
  </w:style>
  <w:style w:type="character" w:customStyle="1" w:styleId="WW8Num12z0">
    <w:name w:val="WW8Num12z0"/>
    <w:rsid w:val="002412CC"/>
    <w:rPr>
      <w:rFonts w:ascii="Symbol" w:hAnsi="Symbol" w:hint="default"/>
    </w:rPr>
  </w:style>
  <w:style w:type="character" w:customStyle="1" w:styleId="WW8Num12z2">
    <w:name w:val="WW8Num12z2"/>
    <w:rsid w:val="002412CC"/>
    <w:rPr>
      <w:rFonts w:ascii="Wingdings" w:hAnsi="Wingdings" w:hint="default"/>
    </w:rPr>
  </w:style>
  <w:style w:type="character" w:customStyle="1" w:styleId="WW8Num12z4">
    <w:name w:val="WW8Num12z4"/>
    <w:rsid w:val="002412CC"/>
    <w:rPr>
      <w:rFonts w:ascii="Courier New" w:hAnsi="Courier New" w:cs="Courier New" w:hint="default"/>
    </w:rPr>
  </w:style>
  <w:style w:type="character" w:customStyle="1" w:styleId="WW8Num13z0">
    <w:name w:val="WW8Num13z0"/>
    <w:rsid w:val="002412CC"/>
    <w:rPr>
      <w:rFonts w:ascii="Wingdings" w:hAnsi="Wingdings" w:hint="default"/>
    </w:rPr>
  </w:style>
  <w:style w:type="character" w:customStyle="1" w:styleId="WW8Num13z1">
    <w:name w:val="WW8Num13z1"/>
    <w:rsid w:val="002412CC"/>
    <w:rPr>
      <w:rFonts w:ascii="Courier New" w:hAnsi="Courier New" w:cs="Courier New" w:hint="default"/>
    </w:rPr>
  </w:style>
  <w:style w:type="character" w:customStyle="1" w:styleId="WW8Num13z2">
    <w:name w:val="WW8Num13z2"/>
    <w:rsid w:val="002412CC"/>
    <w:rPr>
      <w:rFonts w:ascii="Times New Roman" w:hAnsi="Times New Roman" w:cs="Times New Roman" w:hint="default"/>
    </w:rPr>
  </w:style>
  <w:style w:type="character" w:customStyle="1" w:styleId="WW8Num13z3">
    <w:name w:val="WW8Num13z3"/>
    <w:rsid w:val="002412CC"/>
    <w:rPr>
      <w:rFonts w:ascii="Symbol" w:hAnsi="Symbol" w:hint="default"/>
    </w:rPr>
  </w:style>
  <w:style w:type="character" w:customStyle="1" w:styleId="WW8Num14z1">
    <w:name w:val="WW8Num14z1"/>
    <w:rsid w:val="002412CC"/>
    <w:rPr>
      <w:rFonts w:ascii="Times New Roman" w:hAnsi="Times New Roman" w:cs="Times New Roman" w:hint="default"/>
    </w:rPr>
  </w:style>
  <w:style w:type="character" w:customStyle="1" w:styleId="WW8Num15z0">
    <w:name w:val="WW8Num15z0"/>
    <w:rsid w:val="002412CC"/>
    <w:rPr>
      <w:rFonts w:ascii="Symbol" w:hAnsi="Symbol" w:hint="default"/>
    </w:rPr>
  </w:style>
  <w:style w:type="character" w:customStyle="1" w:styleId="WW8Num15z1">
    <w:name w:val="WW8Num15z1"/>
    <w:rsid w:val="002412CC"/>
    <w:rPr>
      <w:rFonts w:ascii="Courier New" w:hAnsi="Courier New" w:cs="Courier New" w:hint="default"/>
    </w:rPr>
  </w:style>
  <w:style w:type="character" w:customStyle="1" w:styleId="WW8Num15z2">
    <w:name w:val="WW8Num15z2"/>
    <w:rsid w:val="002412CC"/>
    <w:rPr>
      <w:rFonts w:ascii="Wingdings" w:hAnsi="Wingdings" w:hint="default"/>
    </w:rPr>
  </w:style>
  <w:style w:type="character" w:customStyle="1" w:styleId="WW8Num16z0">
    <w:name w:val="WW8Num16z0"/>
    <w:rsid w:val="002412CC"/>
    <w:rPr>
      <w:rFonts w:ascii="Times New Roman" w:hAnsi="Times New Roman" w:cs="Times New Roman" w:hint="default"/>
      <w:b/>
      <w:bCs w:val="0"/>
      <w:sz w:val="28"/>
      <w:u w:val="single"/>
    </w:rPr>
  </w:style>
  <w:style w:type="character" w:customStyle="1" w:styleId="WW8Num16z1">
    <w:name w:val="WW8Num16z1"/>
    <w:rsid w:val="002412CC"/>
    <w:rPr>
      <w:rFonts w:ascii="Times New Roman" w:hAnsi="Times New Roman" w:cs="Times New Roman" w:hint="default"/>
      <w:b/>
      <w:bCs w:val="0"/>
      <w:strike w:val="0"/>
      <w:dstrike w:val="0"/>
      <w:sz w:val="30"/>
      <w:u w:val="none"/>
      <w:effect w:val="none"/>
    </w:rPr>
  </w:style>
  <w:style w:type="character" w:customStyle="1" w:styleId="WW8Num16z2">
    <w:name w:val="WW8Num16z2"/>
    <w:rsid w:val="002412CC"/>
    <w:rPr>
      <w:rFonts w:ascii="Times New Roman" w:hAnsi="Times New Roman" w:cs="Times New Roman" w:hint="default"/>
      <w:b/>
      <w:bCs w:val="0"/>
      <w:sz w:val="26"/>
    </w:rPr>
  </w:style>
  <w:style w:type="character" w:customStyle="1" w:styleId="WW8Num16z3">
    <w:name w:val="WW8Num16z3"/>
    <w:rsid w:val="002412CC"/>
    <w:rPr>
      <w:rFonts w:ascii="Times New Roman" w:hAnsi="Times New Roman" w:cs="Times New Roman" w:hint="default"/>
      <w:b/>
      <w:bCs w:val="0"/>
      <w:i/>
      <w:iCs w:val="0"/>
      <w:sz w:val="26"/>
    </w:rPr>
  </w:style>
  <w:style w:type="character" w:customStyle="1" w:styleId="WW8Num17z0">
    <w:name w:val="WW8Num17z0"/>
    <w:rsid w:val="002412CC"/>
  </w:style>
  <w:style w:type="character" w:customStyle="1" w:styleId="WW8Num18z0">
    <w:name w:val="WW8Num18z0"/>
    <w:rsid w:val="002412CC"/>
    <w:rPr>
      <w:rFonts w:ascii="Symbol" w:hAnsi="Symbol" w:hint="default"/>
    </w:rPr>
  </w:style>
  <w:style w:type="character" w:customStyle="1" w:styleId="WW8Num18z2">
    <w:name w:val="WW8Num18z2"/>
    <w:rsid w:val="002412CC"/>
    <w:rPr>
      <w:rFonts w:ascii="Wingdings" w:hAnsi="Wingdings" w:hint="default"/>
    </w:rPr>
  </w:style>
  <w:style w:type="character" w:customStyle="1" w:styleId="WW8Num18z4">
    <w:name w:val="WW8Num18z4"/>
    <w:rsid w:val="002412CC"/>
    <w:rPr>
      <w:rFonts w:ascii="Courier New" w:hAnsi="Courier New" w:cs="Courier New" w:hint="default"/>
    </w:rPr>
  </w:style>
  <w:style w:type="character" w:customStyle="1" w:styleId="WW8Num19z1">
    <w:name w:val="WW8Num19z1"/>
    <w:rsid w:val="002412CC"/>
    <w:rPr>
      <w:rFonts w:ascii="Courier New" w:hAnsi="Courier New" w:cs="Courier New" w:hint="default"/>
    </w:rPr>
  </w:style>
  <w:style w:type="character" w:customStyle="1" w:styleId="WW8Num19z2">
    <w:name w:val="WW8Num19z2"/>
    <w:rsid w:val="002412CC"/>
    <w:rPr>
      <w:rFonts w:ascii="Wingdings" w:hAnsi="Wingdings" w:hint="default"/>
    </w:rPr>
  </w:style>
  <w:style w:type="character" w:customStyle="1" w:styleId="WW8Num19z3">
    <w:name w:val="WW8Num19z3"/>
    <w:rsid w:val="002412CC"/>
    <w:rPr>
      <w:rFonts w:ascii="Symbol" w:hAnsi="Symbol" w:hint="default"/>
    </w:rPr>
  </w:style>
  <w:style w:type="character" w:customStyle="1" w:styleId="Domylnaczcionkaakapitu1">
    <w:name w:val="Domyślna czcionka akapitu1"/>
    <w:rsid w:val="002412CC"/>
  </w:style>
  <w:style w:type="character" w:customStyle="1" w:styleId="Znakiprzypiswkocowych">
    <w:name w:val="Znaki przypisów końcowych"/>
    <w:basedOn w:val="Domylnaczcionkaakapitu1"/>
    <w:rsid w:val="002412CC"/>
    <w:rPr>
      <w:rFonts w:ascii="Times New Roman" w:hAnsi="Times New Roman" w:cs="Times New Roman" w:hint="default"/>
      <w:vertAlign w:val="superscript"/>
    </w:rPr>
  </w:style>
  <w:style w:type="character" w:customStyle="1" w:styleId="FontStyle22">
    <w:name w:val="Font Style22"/>
    <w:basedOn w:val="Domylnaczcionkaakapitu"/>
    <w:rsid w:val="002412CC"/>
    <w:rPr>
      <w:rFonts w:ascii="Times New Roman" w:hAnsi="Times New Roman" w:cs="Times New Roman" w:hint="default"/>
      <w:sz w:val="22"/>
      <w:szCs w:val="22"/>
    </w:rPr>
  </w:style>
  <w:style w:type="character" w:customStyle="1" w:styleId="Tekstzastpczy1">
    <w:name w:val="Tekst zastępczy1"/>
    <w:basedOn w:val="Domylnaczcionkaakapitu"/>
    <w:semiHidden/>
    <w:rsid w:val="002412CC"/>
    <w:rPr>
      <w:rFonts w:ascii="Times New Roman" w:hAnsi="Times New Roman" w:cs="Times New Roman" w:hint="default"/>
      <w:color w:val="808080"/>
    </w:rPr>
  </w:style>
  <w:style w:type="character" w:customStyle="1" w:styleId="FontStyle46">
    <w:name w:val="Font Style46"/>
    <w:basedOn w:val="Domylnaczcionkaakapitu"/>
    <w:uiPriority w:val="99"/>
    <w:rsid w:val="002412CC"/>
    <w:rPr>
      <w:rFonts w:ascii="Verdana" w:hAnsi="Verdana" w:cs="Verdana" w:hint="default"/>
      <w:smallCaps/>
      <w:sz w:val="16"/>
      <w:szCs w:val="16"/>
    </w:rPr>
  </w:style>
  <w:style w:type="character" w:customStyle="1" w:styleId="FontStyle50">
    <w:name w:val="Font Style50"/>
    <w:basedOn w:val="Domylnaczcionkaakapitu"/>
    <w:uiPriority w:val="99"/>
    <w:rsid w:val="002412CC"/>
    <w:rPr>
      <w:rFonts w:ascii="Verdana" w:hAnsi="Verdana" w:cs="Verdana" w:hint="default"/>
      <w:smallCaps/>
      <w:sz w:val="18"/>
      <w:szCs w:val="18"/>
    </w:rPr>
  </w:style>
  <w:style w:type="character" w:customStyle="1" w:styleId="FontStyle52">
    <w:name w:val="Font Style52"/>
    <w:basedOn w:val="Domylnaczcionkaakapitu"/>
    <w:uiPriority w:val="99"/>
    <w:rsid w:val="002412CC"/>
    <w:rPr>
      <w:rFonts w:ascii="Verdana" w:hAnsi="Verdana" w:cs="Verdana" w:hint="default"/>
      <w:i/>
      <w:iCs/>
      <w:sz w:val="12"/>
      <w:szCs w:val="12"/>
    </w:rPr>
  </w:style>
  <w:style w:type="character" w:customStyle="1" w:styleId="FontStyle56">
    <w:name w:val="Font Style56"/>
    <w:basedOn w:val="Domylnaczcionkaakapitu"/>
    <w:uiPriority w:val="99"/>
    <w:rsid w:val="002412CC"/>
    <w:rPr>
      <w:rFonts w:ascii="Verdana" w:hAnsi="Verdana" w:cs="Verdana" w:hint="default"/>
      <w:sz w:val="12"/>
      <w:szCs w:val="12"/>
    </w:rPr>
  </w:style>
  <w:style w:type="character" w:customStyle="1" w:styleId="FontStyle57">
    <w:name w:val="Font Style57"/>
    <w:basedOn w:val="Domylnaczcionkaakapitu"/>
    <w:uiPriority w:val="99"/>
    <w:rsid w:val="002412CC"/>
    <w:rPr>
      <w:rFonts w:ascii="Verdana" w:hAnsi="Verdana" w:cs="Verdana" w:hint="default"/>
      <w:spacing w:val="-10"/>
      <w:sz w:val="16"/>
      <w:szCs w:val="16"/>
    </w:rPr>
  </w:style>
  <w:style w:type="character" w:customStyle="1" w:styleId="FontStyle55">
    <w:name w:val="Font Style55"/>
    <w:basedOn w:val="Domylnaczcionkaakapitu"/>
    <w:uiPriority w:val="99"/>
    <w:rsid w:val="002412CC"/>
    <w:rPr>
      <w:rFonts w:ascii="Verdana" w:hAnsi="Verdana" w:cs="Verdana" w:hint="default"/>
      <w:i/>
      <w:iCs/>
      <w:spacing w:val="20"/>
      <w:sz w:val="16"/>
      <w:szCs w:val="16"/>
    </w:rPr>
  </w:style>
  <w:style w:type="character" w:customStyle="1" w:styleId="FontStyle58">
    <w:name w:val="Font Style58"/>
    <w:basedOn w:val="Domylnaczcionkaakapitu"/>
    <w:uiPriority w:val="99"/>
    <w:rsid w:val="002412CC"/>
    <w:rPr>
      <w:rFonts w:ascii="Verdana" w:hAnsi="Verdana" w:cs="Verdana" w:hint="default"/>
      <w:sz w:val="16"/>
      <w:szCs w:val="16"/>
    </w:rPr>
  </w:style>
  <w:style w:type="character" w:customStyle="1" w:styleId="FontStyle48">
    <w:name w:val="Font Style48"/>
    <w:basedOn w:val="Domylnaczcionkaakapitu"/>
    <w:uiPriority w:val="99"/>
    <w:rsid w:val="002412CC"/>
    <w:rPr>
      <w:rFonts w:ascii="Verdana" w:hAnsi="Verdana" w:cs="Verdana" w:hint="default"/>
      <w:i/>
      <w:iCs/>
      <w:smallCaps/>
      <w:sz w:val="16"/>
      <w:szCs w:val="16"/>
    </w:rPr>
  </w:style>
  <w:style w:type="character" w:customStyle="1" w:styleId="FontStyle119">
    <w:name w:val="Font Style119"/>
    <w:basedOn w:val="Domylnaczcionkaakapitu"/>
    <w:uiPriority w:val="99"/>
    <w:rsid w:val="002412CC"/>
    <w:rPr>
      <w:rFonts w:ascii="MS Reference Sans Serif" w:hAnsi="MS Reference Sans Serif" w:cs="MS Reference Sans Serif" w:hint="default"/>
      <w:b/>
      <w:bCs/>
      <w:sz w:val="14"/>
      <w:szCs w:val="14"/>
    </w:rPr>
  </w:style>
  <w:style w:type="character" w:customStyle="1" w:styleId="FontStyle123">
    <w:name w:val="Font Style123"/>
    <w:basedOn w:val="Domylnaczcionkaakapitu"/>
    <w:uiPriority w:val="99"/>
    <w:rsid w:val="002412CC"/>
    <w:rPr>
      <w:rFonts w:ascii="MS Reference Sans Serif" w:hAnsi="MS Reference Sans Serif" w:cs="MS Reference Sans Serif" w:hint="default"/>
      <w:b/>
      <w:bCs/>
      <w:sz w:val="16"/>
      <w:szCs w:val="16"/>
    </w:rPr>
  </w:style>
  <w:style w:type="character" w:customStyle="1" w:styleId="FontStyle124">
    <w:name w:val="Font Style124"/>
    <w:basedOn w:val="Domylnaczcionkaakapitu"/>
    <w:uiPriority w:val="99"/>
    <w:rsid w:val="002412CC"/>
    <w:rPr>
      <w:rFonts w:ascii="Franklin Gothic Demi" w:hAnsi="Franklin Gothic Demi" w:cs="Franklin Gothic Demi" w:hint="default"/>
      <w:sz w:val="20"/>
      <w:szCs w:val="20"/>
    </w:rPr>
  </w:style>
  <w:style w:type="character" w:customStyle="1" w:styleId="FontStyle125">
    <w:name w:val="Font Style125"/>
    <w:basedOn w:val="Domylnaczcionkaakapitu"/>
    <w:uiPriority w:val="99"/>
    <w:rsid w:val="002412CC"/>
    <w:rPr>
      <w:rFonts w:ascii="Verdana" w:hAnsi="Verdana" w:cs="Verdana" w:hint="default"/>
      <w:b/>
      <w:bCs/>
      <w:sz w:val="14"/>
      <w:szCs w:val="14"/>
    </w:rPr>
  </w:style>
  <w:style w:type="character" w:customStyle="1" w:styleId="FontStyle126">
    <w:name w:val="Font Style126"/>
    <w:basedOn w:val="Domylnaczcionkaakapitu"/>
    <w:uiPriority w:val="99"/>
    <w:rsid w:val="002412CC"/>
    <w:rPr>
      <w:rFonts w:ascii="MS Reference Sans Serif" w:hAnsi="MS Reference Sans Serif" w:cs="MS Reference Sans Serif" w:hint="default"/>
      <w:b/>
      <w:bCs/>
      <w:i/>
      <w:iCs/>
      <w:sz w:val="10"/>
      <w:szCs w:val="10"/>
    </w:rPr>
  </w:style>
  <w:style w:type="character" w:customStyle="1" w:styleId="FontStyle133">
    <w:name w:val="Font Style133"/>
    <w:basedOn w:val="Domylnaczcionkaakapitu"/>
    <w:uiPriority w:val="99"/>
    <w:rsid w:val="002412CC"/>
    <w:rPr>
      <w:rFonts w:ascii="MS Reference Sans Serif" w:hAnsi="MS Reference Sans Serif" w:cs="MS Reference Sans Serif" w:hint="default"/>
      <w:b/>
      <w:bCs/>
      <w:i/>
      <w:iCs/>
      <w:sz w:val="12"/>
      <w:szCs w:val="12"/>
    </w:rPr>
  </w:style>
  <w:style w:type="character" w:customStyle="1" w:styleId="FontStyle134">
    <w:name w:val="Font Style134"/>
    <w:basedOn w:val="Domylnaczcionkaakapitu"/>
    <w:uiPriority w:val="99"/>
    <w:rsid w:val="002412CC"/>
    <w:rPr>
      <w:rFonts w:ascii="MS Reference Sans Serif" w:hAnsi="MS Reference Sans Serif" w:cs="MS Reference Sans Serif" w:hint="default"/>
      <w:b/>
      <w:bCs/>
      <w:sz w:val="12"/>
      <w:szCs w:val="12"/>
    </w:rPr>
  </w:style>
  <w:style w:type="character" w:customStyle="1" w:styleId="FontStyle127">
    <w:name w:val="Font Style127"/>
    <w:basedOn w:val="Domylnaczcionkaakapitu"/>
    <w:uiPriority w:val="99"/>
    <w:rsid w:val="002412CC"/>
    <w:rPr>
      <w:rFonts w:ascii="MS Reference Sans Serif" w:hAnsi="MS Reference Sans Serif" w:cs="MS Reference Sans Serif" w:hint="default"/>
      <w:b/>
      <w:bCs/>
      <w:i/>
      <w:iCs/>
      <w:smallCaps/>
      <w:sz w:val="14"/>
      <w:szCs w:val="14"/>
    </w:rPr>
  </w:style>
  <w:style w:type="character" w:customStyle="1" w:styleId="FontStyle141">
    <w:name w:val="Font Style141"/>
    <w:basedOn w:val="Domylnaczcionkaakapitu"/>
    <w:uiPriority w:val="99"/>
    <w:rsid w:val="002412CC"/>
    <w:rPr>
      <w:rFonts w:ascii="Corbel" w:hAnsi="Corbel" w:cs="Corbel" w:hint="default"/>
      <w:b/>
      <w:bCs/>
      <w:sz w:val="12"/>
      <w:szCs w:val="12"/>
    </w:rPr>
  </w:style>
  <w:style w:type="character" w:customStyle="1" w:styleId="FontStyle148">
    <w:name w:val="Font Style148"/>
    <w:basedOn w:val="Domylnaczcionkaakapitu"/>
    <w:uiPriority w:val="99"/>
    <w:rsid w:val="002412CC"/>
    <w:rPr>
      <w:rFonts w:ascii="Verdana" w:hAnsi="Verdana" w:cs="Verdana" w:hint="default"/>
      <w:i/>
      <w:iCs/>
      <w:smallCaps/>
      <w:sz w:val="16"/>
      <w:szCs w:val="16"/>
    </w:rPr>
  </w:style>
  <w:style w:type="character" w:customStyle="1" w:styleId="FontStyle53">
    <w:name w:val="Font Style53"/>
    <w:basedOn w:val="Domylnaczcionkaakapitu"/>
    <w:uiPriority w:val="99"/>
    <w:rsid w:val="002412CC"/>
    <w:rPr>
      <w:rFonts w:ascii="Verdana" w:hAnsi="Verdana" w:cs="Verdana" w:hint="default"/>
      <w:i/>
      <w:iCs/>
      <w:sz w:val="10"/>
      <w:szCs w:val="10"/>
    </w:rPr>
  </w:style>
  <w:style w:type="character" w:customStyle="1" w:styleId="FontStyle114">
    <w:name w:val="Font Style114"/>
    <w:basedOn w:val="Domylnaczcionkaakapitu"/>
    <w:uiPriority w:val="99"/>
    <w:rsid w:val="002412CC"/>
    <w:rPr>
      <w:rFonts w:ascii="MS Reference Sans Serif" w:hAnsi="MS Reference Sans Serif" w:cs="MS Reference Sans Serif" w:hint="default"/>
      <w:b/>
      <w:bCs/>
      <w:sz w:val="18"/>
      <w:szCs w:val="18"/>
    </w:rPr>
  </w:style>
  <w:style w:type="character" w:customStyle="1" w:styleId="FontStyle128">
    <w:name w:val="Font Style128"/>
    <w:basedOn w:val="Domylnaczcionkaakapitu"/>
    <w:uiPriority w:val="99"/>
    <w:rsid w:val="002412CC"/>
    <w:rPr>
      <w:rFonts w:ascii="Corbel" w:hAnsi="Corbel" w:cs="Corbel" w:hint="default"/>
      <w:sz w:val="24"/>
      <w:szCs w:val="24"/>
    </w:rPr>
  </w:style>
  <w:style w:type="character" w:customStyle="1" w:styleId="FontStyle129">
    <w:name w:val="Font Style129"/>
    <w:basedOn w:val="Domylnaczcionkaakapitu"/>
    <w:uiPriority w:val="99"/>
    <w:rsid w:val="002412CC"/>
    <w:rPr>
      <w:rFonts w:ascii="MS Reference Sans Serif" w:hAnsi="MS Reference Sans Serif" w:cs="MS Reference Sans Serif" w:hint="default"/>
      <w:b/>
      <w:bCs/>
      <w:sz w:val="14"/>
      <w:szCs w:val="14"/>
    </w:rPr>
  </w:style>
  <w:style w:type="character" w:customStyle="1" w:styleId="FontStyle130">
    <w:name w:val="Font Style130"/>
    <w:basedOn w:val="Domylnaczcionkaakapitu"/>
    <w:uiPriority w:val="99"/>
    <w:rsid w:val="002412CC"/>
    <w:rPr>
      <w:rFonts w:ascii="Tahoma" w:hAnsi="Tahoma" w:cs="Tahoma" w:hint="default"/>
      <w:b/>
      <w:bCs/>
      <w:sz w:val="16"/>
      <w:szCs w:val="16"/>
    </w:rPr>
  </w:style>
  <w:style w:type="character" w:customStyle="1" w:styleId="FontStyle135">
    <w:name w:val="Font Style135"/>
    <w:basedOn w:val="Domylnaczcionkaakapitu"/>
    <w:uiPriority w:val="99"/>
    <w:rsid w:val="002412CC"/>
    <w:rPr>
      <w:rFonts w:ascii="MS Reference Sans Serif" w:hAnsi="MS Reference Sans Serif" w:cs="MS Reference Sans Serif" w:hint="default"/>
      <w:smallCaps/>
      <w:spacing w:val="-10"/>
      <w:sz w:val="10"/>
      <w:szCs w:val="10"/>
    </w:rPr>
  </w:style>
  <w:style w:type="character" w:customStyle="1" w:styleId="FontStyle131">
    <w:name w:val="Font Style131"/>
    <w:basedOn w:val="Domylnaczcionkaakapitu"/>
    <w:uiPriority w:val="99"/>
    <w:rsid w:val="002412CC"/>
    <w:rPr>
      <w:rFonts w:ascii="Consolas" w:hAnsi="Consolas" w:cs="Consolas" w:hint="default"/>
      <w:b/>
      <w:bCs/>
      <w:sz w:val="12"/>
      <w:szCs w:val="12"/>
    </w:rPr>
  </w:style>
  <w:style w:type="character" w:customStyle="1" w:styleId="FontStyle132">
    <w:name w:val="Font Style132"/>
    <w:basedOn w:val="Domylnaczcionkaakapitu"/>
    <w:uiPriority w:val="99"/>
    <w:rsid w:val="002412CC"/>
    <w:rPr>
      <w:rFonts w:ascii="Consolas" w:hAnsi="Consolas" w:cs="Consolas" w:hint="default"/>
      <w:b/>
      <w:bCs/>
      <w:i/>
      <w:iCs/>
      <w:sz w:val="10"/>
      <w:szCs w:val="10"/>
    </w:rPr>
  </w:style>
  <w:style w:type="character" w:customStyle="1" w:styleId="FontStyle143">
    <w:name w:val="Font Style143"/>
    <w:basedOn w:val="Domylnaczcionkaakapitu"/>
    <w:uiPriority w:val="99"/>
    <w:rsid w:val="002412CC"/>
    <w:rPr>
      <w:rFonts w:ascii="MS Reference Sans Serif" w:hAnsi="MS Reference Sans Serif" w:cs="MS Reference Sans Serif" w:hint="default"/>
      <w:b/>
      <w:bCs/>
      <w:smallCaps/>
      <w:sz w:val="14"/>
      <w:szCs w:val="14"/>
    </w:rPr>
  </w:style>
  <w:style w:type="character" w:customStyle="1" w:styleId="FontStyle149">
    <w:name w:val="Font Style149"/>
    <w:basedOn w:val="Domylnaczcionkaakapitu"/>
    <w:uiPriority w:val="99"/>
    <w:rsid w:val="002412CC"/>
    <w:rPr>
      <w:rFonts w:ascii="Franklin Gothic Demi" w:hAnsi="Franklin Gothic Demi" w:cs="Franklin Gothic Demi" w:hint="default"/>
      <w:sz w:val="20"/>
      <w:szCs w:val="20"/>
    </w:rPr>
  </w:style>
  <w:style w:type="character" w:customStyle="1" w:styleId="FontStyle150">
    <w:name w:val="Font Style150"/>
    <w:basedOn w:val="Domylnaczcionkaakapitu"/>
    <w:uiPriority w:val="99"/>
    <w:rsid w:val="002412CC"/>
    <w:rPr>
      <w:rFonts w:ascii="Arial Narrow" w:hAnsi="Arial Narrow" w:cs="Arial Narrow" w:hint="default"/>
      <w:sz w:val="22"/>
      <w:szCs w:val="22"/>
    </w:rPr>
  </w:style>
  <w:style w:type="character" w:customStyle="1" w:styleId="FontStyle151">
    <w:name w:val="Font Style151"/>
    <w:basedOn w:val="Domylnaczcionkaakapitu"/>
    <w:uiPriority w:val="99"/>
    <w:rsid w:val="002412CC"/>
    <w:rPr>
      <w:rFonts w:ascii="MS Reference Sans Serif" w:hAnsi="MS Reference Sans Serif" w:cs="MS Reference Sans Serif" w:hint="default"/>
      <w:sz w:val="16"/>
      <w:szCs w:val="16"/>
    </w:rPr>
  </w:style>
  <w:style w:type="character" w:customStyle="1" w:styleId="FontStyle154">
    <w:name w:val="Font Style154"/>
    <w:basedOn w:val="Domylnaczcionkaakapitu"/>
    <w:uiPriority w:val="99"/>
    <w:rsid w:val="002412CC"/>
    <w:rPr>
      <w:rFonts w:ascii="MS Reference Sans Serif" w:hAnsi="MS Reference Sans Serif" w:cs="MS Reference Sans Serif" w:hint="default"/>
      <w:sz w:val="16"/>
      <w:szCs w:val="16"/>
    </w:rPr>
  </w:style>
  <w:style w:type="character" w:customStyle="1" w:styleId="FontStyle155">
    <w:name w:val="Font Style155"/>
    <w:basedOn w:val="Domylnaczcionkaakapitu"/>
    <w:uiPriority w:val="99"/>
    <w:rsid w:val="002412CC"/>
    <w:rPr>
      <w:rFonts w:ascii="Corbel" w:hAnsi="Corbel" w:cs="Corbel" w:hint="default"/>
      <w:b/>
      <w:bCs/>
      <w:i/>
      <w:iCs/>
      <w:sz w:val="16"/>
      <w:szCs w:val="16"/>
    </w:rPr>
  </w:style>
  <w:style w:type="character" w:customStyle="1" w:styleId="FontStyle158">
    <w:name w:val="Font Style158"/>
    <w:basedOn w:val="Domylnaczcionkaakapitu"/>
    <w:uiPriority w:val="99"/>
    <w:rsid w:val="002412CC"/>
    <w:rPr>
      <w:rFonts w:ascii="MS Reference Sans Serif" w:hAnsi="MS Reference Sans Serif" w:cs="MS Reference Sans Serif" w:hint="default"/>
      <w:b/>
      <w:bCs/>
      <w:i/>
      <w:iCs/>
      <w:sz w:val="8"/>
      <w:szCs w:val="8"/>
    </w:rPr>
  </w:style>
  <w:style w:type="numbering" w:customStyle="1" w:styleId="Styl2">
    <w:name w:val="Styl2"/>
    <w:rsid w:val="002412CC"/>
    <w:pPr>
      <w:numPr>
        <w:numId w:val="76"/>
      </w:numPr>
    </w:pPr>
  </w:style>
  <w:style w:type="numbering" w:customStyle="1" w:styleId="Styl5">
    <w:name w:val="Styl5"/>
    <w:rsid w:val="002412CC"/>
    <w:pPr>
      <w:numPr>
        <w:numId w:val="77"/>
      </w:numPr>
    </w:pPr>
  </w:style>
  <w:style w:type="numbering" w:customStyle="1" w:styleId="Styl3">
    <w:name w:val="Styl3"/>
    <w:rsid w:val="002412CC"/>
    <w:pPr>
      <w:numPr>
        <w:numId w:val="78"/>
      </w:numPr>
    </w:pPr>
  </w:style>
  <w:style w:type="numbering" w:customStyle="1" w:styleId="StylStylStylKonspektynumerowaneKonspektynumerowane12pt">
    <w:name w:val="Styl Styl Styl Konspekty numerowane + Konspekty numerowane 12 pt +..."/>
    <w:rsid w:val="002412CC"/>
    <w:pPr>
      <w:numPr>
        <w:numId w:val="79"/>
      </w:numPr>
    </w:pPr>
  </w:style>
  <w:style w:type="numbering" w:customStyle="1" w:styleId="Styl1">
    <w:name w:val="Styl1"/>
    <w:uiPriority w:val="99"/>
    <w:rsid w:val="002412CC"/>
    <w:pPr>
      <w:numPr>
        <w:numId w:val="80"/>
      </w:numPr>
    </w:pPr>
  </w:style>
  <w:style w:type="numbering" w:customStyle="1" w:styleId="Styl4">
    <w:name w:val="Styl4"/>
    <w:rsid w:val="002412CC"/>
    <w:pPr>
      <w:numPr>
        <w:numId w:val="81"/>
      </w:numPr>
    </w:pPr>
  </w:style>
  <w:style w:type="numbering" w:styleId="111111">
    <w:name w:val="Outline List 2"/>
    <w:basedOn w:val="Bezlisty"/>
    <w:semiHidden/>
    <w:unhideWhenUsed/>
    <w:locked/>
    <w:rsid w:val="002412CC"/>
    <w:pPr>
      <w:numPr>
        <w:numId w:val="82"/>
      </w:numPr>
    </w:pPr>
  </w:style>
</w:styles>
</file>

<file path=word/webSettings.xml><?xml version="1.0" encoding="utf-8"?>
<w:webSettings xmlns:r="http://schemas.openxmlformats.org/officeDocument/2006/relationships" xmlns:w="http://schemas.openxmlformats.org/wordprocessingml/2006/main">
  <w:divs>
    <w:div w:id="65223866">
      <w:bodyDiv w:val="1"/>
      <w:marLeft w:val="0"/>
      <w:marRight w:val="0"/>
      <w:marTop w:val="0"/>
      <w:marBottom w:val="0"/>
      <w:divBdr>
        <w:top w:val="none" w:sz="0" w:space="0" w:color="auto"/>
        <w:left w:val="none" w:sz="0" w:space="0" w:color="auto"/>
        <w:bottom w:val="none" w:sz="0" w:space="0" w:color="auto"/>
        <w:right w:val="none" w:sz="0" w:space="0" w:color="auto"/>
      </w:divBdr>
    </w:div>
    <w:div w:id="82651466">
      <w:bodyDiv w:val="1"/>
      <w:marLeft w:val="0"/>
      <w:marRight w:val="0"/>
      <w:marTop w:val="0"/>
      <w:marBottom w:val="0"/>
      <w:divBdr>
        <w:top w:val="none" w:sz="0" w:space="0" w:color="auto"/>
        <w:left w:val="none" w:sz="0" w:space="0" w:color="auto"/>
        <w:bottom w:val="none" w:sz="0" w:space="0" w:color="auto"/>
        <w:right w:val="none" w:sz="0" w:space="0" w:color="auto"/>
      </w:divBdr>
    </w:div>
    <w:div w:id="392849974">
      <w:bodyDiv w:val="1"/>
      <w:marLeft w:val="0"/>
      <w:marRight w:val="0"/>
      <w:marTop w:val="0"/>
      <w:marBottom w:val="0"/>
      <w:divBdr>
        <w:top w:val="none" w:sz="0" w:space="0" w:color="auto"/>
        <w:left w:val="none" w:sz="0" w:space="0" w:color="auto"/>
        <w:bottom w:val="none" w:sz="0" w:space="0" w:color="auto"/>
        <w:right w:val="none" w:sz="0" w:space="0" w:color="auto"/>
      </w:divBdr>
    </w:div>
    <w:div w:id="453332375">
      <w:bodyDiv w:val="1"/>
      <w:marLeft w:val="0"/>
      <w:marRight w:val="0"/>
      <w:marTop w:val="0"/>
      <w:marBottom w:val="0"/>
      <w:divBdr>
        <w:top w:val="none" w:sz="0" w:space="0" w:color="auto"/>
        <w:left w:val="none" w:sz="0" w:space="0" w:color="auto"/>
        <w:bottom w:val="none" w:sz="0" w:space="0" w:color="auto"/>
        <w:right w:val="none" w:sz="0" w:space="0" w:color="auto"/>
      </w:divBdr>
    </w:div>
    <w:div w:id="555625721">
      <w:bodyDiv w:val="1"/>
      <w:marLeft w:val="0"/>
      <w:marRight w:val="0"/>
      <w:marTop w:val="0"/>
      <w:marBottom w:val="0"/>
      <w:divBdr>
        <w:top w:val="none" w:sz="0" w:space="0" w:color="auto"/>
        <w:left w:val="none" w:sz="0" w:space="0" w:color="auto"/>
        <w:bottom w:val="none" w:sz="0" w:space="0" w:color="auto"/>
        <w:right w:val="none" w:sz="0" w:space="0" w:color="auto"/>
      </w:divBdr>
    </w:div>
    <w:div w:id="565645494">
      <w:bodyDiv w:val="1"/>
      <w:marLeft w:val="0"/>
      <w:marRight w:val="0"/>
      <w:marTop w:val="0"/>
      <w:marBottom w:val="0"/>
      <w:divBdr>
        <w:top w:val="none" w:sz="0" w:space="0" w:color="auto"/>
        <w:left w:val="none" w:sz="0" w:space="0" w:color="auto"/>
        <w:bottom w:val="none" w:sz="0" w:space="0" w:color="auto"/>
        <w:right w:val="none" w:sz="0" w:space="0" w:color="auto"/>
      </w:divBdr>
    </w:div>
    <w:div w:id="607737029">
      <w:bodyDiv w:val="1"/>
      <w:marLeft w:val="0"/>
      <w:marRight w:val="0"/>
      <w:marTop w:val="0"/>
      <w:marBottom w:val="0"/>
      <w:divBdr>
        <w:top w:val="none" w:sz="0" w:space="0" w:color="auto"/>
        <w:left w:val="none" w:sz="0" w:space="0" w:color="auto"/>
        <w:bottom w:val="none" w:sz="0" w:space="0" w:color="auto"/>
        <w:right w:val="none" w:sz="0" w:space="0" w:color="auto"/>
      </w:divBdr>
    </w:div>
    <w:div w:id="718868837">
      <w:bodyDiv w:val="1"/>
      <w:marLeft w:val="0"/>
      <w:marRight w:val="0"/>
      <w:marTop w:val="0"/>
      <w:marBottom w:val="0"/>
      <w:divBdr>
        <w:top w:val="none" w:sz="0" w:space="0" w:color="auto"/>
        <w:left w:val="none" w:sz="0" w:space="0" w:color="auto"/>
        <w:bottom w:val="none" w:sz="0" w:space="0" w:color="auto"/>
        <w:right w:val="none" w:sz="0" w:space="0" w:color="auto"/>
      </w:divBdr>
    </w:div>
    <w:div w:id="801191825">
      <w:bodyDiv w:val="1"/>
      <w:marLeft w:val="0"/>
      <w:marRight w:val="0"/>
      <w:marTop w:val="0"/>
      <w:marBottom w:val="0"/>
      <w:divBdr>
        <w:top w:val="none" w:sz="0" w:space="0" w:color="auto"/>
        <w:left w:val="none" w:sz="0" w:space="0" w:color="auto"/>
        <w:bottom w:val="none" w:sz="0" w:space="0" w:color="auto"/>
        <w:right w:val="none" w:sz="0" w:space="0" w:color="auto"/>
      </w:divBdr>
    </w:div>
    <w:div w:id="841163726">
      <w:bodyDiv w:val="1"/>
      <w:marLeft w:val="0"/>
      <w:marRight w:val="0"/>
      <w:marTop w:val="0"/>
      <w:marBottom w:val="0"/>
      <w:divBdr>
        <w:top w:val="none" w:sz="0" w:space="0" w:color="auto"/>
        <w:left w:val="none" w:sz="0" w:space="0" w:color="auto"/>
        <w:bottom w:val="none" w:sz="0" w:space="0" w:color="auto"/>
        <w:right w:val="none" w:sz="0" w:space="0" w:color="auto"/>
      </w:divBdr>
    </w:div>
    <w:div w:id="852836547">
      <w:bodyDiv w:val="1"/>
      <w:marLeft w:val="0"/>
      <w:marRight w:val="0"/>
      <w:marTop w:val="0"/>
      <w:marBottom w:val="0"/>
      <w:divBdr>
        <w:top w:val="none" w:sz="0" w:space="0" w:color="auto"/>
        <w:left w:val="none" w:sz="0" w:space="0" w:color="auto"/>
        <w:bottom w:val="none" w:sz="0" w:space="0" w:color="auto"/>
        <w:right w:val="none" w:sz="0" w:space="0" w:color="auto"/>
      </w:divBdr>
    </w:div>
    <w:div w:id="1366102876">
      <w:bodyDiv w:val="1"/>
      <w:marLeft w:val="0"/>
      <w:marRight w:val="0"/>
      <w:marTop w:val="0"/>
      <w:marBottom w:val="0"/>
      <w:divBdr>
        <w:top w:val="none" w:sz="0" w:space="0" w:color="auto"/>
        <w:left w:val="none" w:sz="0" w:space="0" w:color="auto"/>
        <w:bottom w:val="none" w:sz="0" w:space="0" w:color="auto"/>
        <w:right w:val="none" w:sz="0" w:space="0" w:color="auto"/>
      </w:divBdr>
    </w:div>
    <w:div w:id="1460687687">
      <w:marLeft w:val="0"/>
      <w:marRight w:val="0"/>
      <w:marTop w:val="0"/>
      <w:marBottom w:val="0"/>
      <w:divBdr>
        <w:top w:val="none" w:sz="0" w:space="0" w:color="auto"/>
        <w:left w:val="none" w:sz="0" w:space="0" w:color="auto"/>
        <w:bottom w:val="none" w:sz="0" w:space="0" w:color="auto"/>
        <w:right w:val="none" w:sz="0" w:space="0" w:color="auto"/>
      </w:divBdr>
      <w:divsChild>
        <w:div w:id="1460687688">
          <w:marLeft w:val="0"/>
          <w:marRight w:val="0"/>
          <w:marTop w:val="0"/>
          <w:marBottom w:val="0"/>
          <w:divBdr>
            <w:top w:val="none" w:sz="0" w:space="0" w:color="auto"/>
            <w:left w:val="none" w:sz="0" w:space="0" w:color="auto"/>
            <w:bottom w:val="none" w:sz="0" w:space="0" w:color="auto"/>
            <w:right w:val="none" w:sz="0" w:space="0" w:color="auto"/>
          </w:divBdr>
          <w:divsChild>
            <w:div w:id="1460687691">
              <w:marLeft w:val="0"/>
              <w:marRight w:val="0"/>
              <w:marTop w:val="0"/>
              <w:marBottom w:val="0"/>
              <w:divBdr>
                <w:top w:val="none" w:sz="0" w:space="0" w:color="auto"/>
                <w:left w:val="none" w:sz="0" w:space="0" w:color="auto"/>
                <w:bottom w:val="none" w:sz="0" w:space="0" w:color="auto"/>
                <w:right w:val="none" w:sz="0" w:space="0" w:color="auto"/>
              </w:divBdr>
              <w:divsChild>
                <w:div w:id="1460687690">
                  <w:marLeft w:val="-15"/>
                  <w:marRight w:val="0"/>
                  <w:marTop w:val="0"/>
                  <w:marBottom w:val="0"/>
                  <w:divBdr>
                    <w:top w:val="none" w:sz="0" w:space="0" w:color="auto"/>
                    <w:left w:val="none" w:sz="0" w:space="0" w:color="auto"/>
                    <w:bottom w:val="none" w:sz="0" w:space="0" w:color="auto"/>
                    <w:right w:val="none" w:sz="0" w:space="0" w:color="auto"/>
                  </w:divBdr>
                  <w:divsChild>
                    <w:div w:id="1460687686">
                      <w:marLeft w:val="0"/>
                      <w:marRight w:val="0"/>
                      <w:marTop w:val="0"/>
                      <w:marBottom w:val="0"/>
                      <w:divBdr>
                        <w:top w:val="none" w:sz="0" w:space="0" w:color="auto"/>
                        <w:left w:val="none" w:sz="0" w:space="0" w:color="auto"/>
                        <w:bottom w:val="none" w:sz="0" w:space="0" w:color="auto"/>
                        <w:right w:val="none" w:sz="0" w:space="0" w:color="auto"/>
                      </w:divBdr>
                      <w:divsChild>
                        <w:div w:id="1460687694">
                          <w:marLeft w:val="0"/>
                          <w:marRight w:val="-15"/>
                          <w:marTop w:val="0"/>
                          <w:marBottom w:val="0"/>
                          <w:divBdr>
                            <w:top w:val="none" w:sz="0" w:space="0" w:color="auto"/>
                            <w:left w:val="none" w:sz="0" w:space="0" w:color="auto"/>
                            <w:bottom w:val="none" w:sz="0" w:space="0" w:color="auto"/>
                            <w:right w:val="none" w:sz="0" w:space="0" w:color="auto"/>
                          </w:divBdr>
                          <w:divsChild>
                            <w:div w:id="1460687689">
                              <w:marLeft w:val="0"/>
                              <w:marRight w:val="0"/>
                              <w:marTop w:val="0"/>
                              <w:marBottom w:val="0"/>
                              <w:divBdr>
                                <w:top w:val="none" w:sz="0" w:space="0" w:color="auto"/>
                                <w:left w:val="none" w:sz="0" w:space="0" w:color="auto"/>
                                <w:bottom w:val="none" w:sz="0" w:space="0" w:color="auto"/>
                                <w:right w:val="none" w:sz="0" w:space="0" w:color="auto"/>
                              </w:divBdr>
                              <w:divsChild>
                                <w:div w:id="1460687685">
                                  <w:marLeft w:val="0"/>
                                  <w:marRight w:val="0"/>
                                  <w:marTop w:val="0"/>
                                  <w:marBottom w:val="30"/>
                                  <w:divBdr>
                                    <w:top w:val="none" w:sz="0" w:space="0" w:color="auto"/>
                                    <w:left w:val="none" w:sz="0" w:space="0" w:color="auto"/>
                                    <w:bottom w:val="none" w:sz="0" w:space="0" w:color="auto"/>
                                    <w:right w:val="none" w:sz="0" w:space="0" w:color="auto"/>
                                  </w:divBdr>
                                  <w:divsChild>
                                    <w:div w:id="1460687684">
                                      <w:marLeft w:val="0"/>
                                      <w:marRight w:val="0"/>
                                      <w:marTop w:val="0"/>
                                      <w:marBottom w:val="0"/>
                                      <w:divBdr>
                                        <w:top w:val="none" w:sz="0" w:space="0" w:color="auto"/>
                                        <w:left w:val="none" w:sz="0" w:space="0" w:color="auto"/>
                                        <w:bottom w:val="none" w:sz="0" w:space="0" w:color="auto"/>
                                        <w:right w:val="none" w:sz="0" w:space="0" w:color="auto"/>
                                      </w:divBdr>
                                      <w:divsChild>
                                        <w:div w:id="1460687693">
                                          <w:marLeft w:val="0"/>
                                          <w:marRight w:val="0"/>
                                          <w:marTop w:val="0"/>
                                          <w:marBottom w:val="0"/>
                                          <w:divBdr>
                                            <w:top w:val="none" w:sz="0" w:space="0" w:color="auto"/>
                                            <w:left w:val="none" w:sz="0" w:space="0" w:color="auto"/>
                                            <w:bottom w:val="none" w:sz="0" w:space="0" w:color="auto"/>
                                            <w:right w:val="none" w:sz="0" w:space="0" w:color="auto"/>
                                          </w:divBdr>
                                          <w:divsChild>
                                            <w:div w:id="146068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83756113">
      <w:bodyDiv w:val="1"/>
      <w:marLeft w:val="0"/>
      <w:marRight w:val="0"/>
      <w:marTop w:val="0"/>
      <w:marBottom w:val="0"/>
      <w:divBdr>
        <w:top w:val="none" w:sz="0" w:space="0" w:color="auto"/>
        <w:left w:val="none" w:sz="0" w:space="0" w:color="auto"/>
        <w:bottom w:val="none" w:sz="0" w:space="0" w:color="auto"/>
        <w:right w:val="none" w:sz="0" w:space="0" w:color="auto"/>
      </w:divBdr>
    </w:div>
    <w:div w:id="1624075279">
      <w:bodyDiv w:val="1"/>
      <w:marLeft w:val="0"/>
      <w:marRight w:val="0"/>
      <w:marTop w:val="0"/>
      <w:marBottom w:val="0"/>
      <w:divBdr>
        <w:top w:val="none" w:sz="0" w:space="0" w:color="auto"/>
        <w:left w:val="none" w:sz="0" w:space="0" w:color="auto"/>
        <w:bottom w:val="none" w:sz="0" w:space="0" w:color="auto"/>
        <w:right w:val="none" w:sz="0" w:space="0" w:color="auto"/>
      </w:divBdr>
    </w:div>
    <w:div w:id="20292106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oleObject" Target="embeddings/oleObject4.bin"/><Relationship Id="rId26" Type="http://schemas.openxmlformats.org/officeDocument/2006/relationships/oleObject" Target="embeddings/oleObject8.bin"/><Relationship Id="rId3" Type="http://schemas.openxmlformats.org/officeDocument/2006/relationships/styles" Target="styles.xml"/><Relationship Id="rId21" Type="http://schemas.openxmlformats.org/officeDocument/2006/relationships/image" Target="media/image6.w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3.bin"/><Relationship Id="rId25" Type="http://schemas.openxmlformats.org/officeDocument/2006/relationships/image" Target="media/image9.wmf"/><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oleObject" Target="embeddings/oleObject6.bin"/><Relationship Id="rId29" Type="http://schemas.openxmlformats.org/officeDocument/2006/relationships/image" Target="media/image1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8.emf"/><Relationship Id="rId32"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7.emf"/><Relationship Id="rId28" Type="http://schemas.openxmlformats.org/officeDocument/2006/relationships/image" Target="media/image11.emf"/><Relationship Id="rId10" Type="http://schemas.openxmlformats.org/officeDocument/2006/relationships/header" Target="header1.xml"/><Relationship Id="rId19" Type="http://schemas.openxmlformats.org/officeDocument/2006/relationships/oleObject" Target="embeddings/oleObject5.bin"/><Relationship Id="rId31"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wmf"/><Relationship Id="rId22" Type="http://schemas.openxmlformats.org/officeDocument/2006/relationships/oleObject" Target="embeddings/oleObject7.bin"/><Relationship Id="rId27" Type="http://schemas.openxmlformats.org/officeDocument/2006/relationships/image" Target="media/image10.emf"/><Relationship Id="rId30" Type="http://schemas.openxmlformats.org/officeDocument/2006/relationships/image" Target="media/image13.emf"/><Relationship Id="rId35" Type="http://schemas.microsoft.com/office/2007/relationships/stylesWithEffects" Target="stylesWithEffects.xm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Arkusz_programu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Arkusz_programu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lang val="pl-PL"/>
  <c:chart>
    <c:plotArea>
      <c:layout>
        <c:manualLayout>
          <c:layoutTarget val="inner"/>
          <c:xMode val="edge"/>
          <c:yMode val="edge"/>
          <c:x val="0.12794612794612908"/>
          <c:y val="0.24110671936758887"/>
          <c:w val="0.61784511784512575"/>
          <c:h val="0.48221343873517775"/>
        </c:manualLayout>
      </c:layout>
      <c:lineChart>
        <c:grouping val="standard"/>
        <c:ser>
          <c:idx val="1"/>
          <c:order val="0"/>
          <c:tx>
            <c:v>Minimum</c:v>
          </c:tx>
          <c:spPr>
            <a:ln w="7515">
              <a:solidFill>
                <a:srgbClr val="000000"/>
              </a:solidFill>
              <a:prstDash val="solid"/>
            </a:ln>
          </c:spPr>
          <c:marker>
            <c:symbol val="square"/>
            <c:size val="2"/>
            <c:spPr>
              <a:solidFill>
                <a:srgbClr val="FF00FF"/>
              </a:solidFill>
              <a:ln>
                <a:solidFill>
                  <a:srgbClr val="FF00FF"/>
                </a:solidFill>
                <a:prstDash val="solid"/>
              </a:ln>
            </c:spPr>
          </c:marker>
          <c:dLbls>
            <c:spPr>
              <a:noFill/>
              <a:ln w="15030">
                <a:noFill/>
              </a:ln>
            </c:spPr>
            <c:txPr>
              <a:bodyPr/>
              <a:lstStyle/>
              <a:p>
                <a:pPr>
                  <a:defRPr sz="710" b="0" i="0" u="none" strike="noStrike" baseline="0">
                    <a:solidFill>
                      <a:srgbClr val="000000"/>
                    </a:solidFill>
                    <a:latin typeface="Arial"/>
                    <a:ea typeface="Arial"/>
                    <a:cs typeface="Arial"/>
                  </a:defRPr>
                </a:pPr>
                <a:endParaRPr lang="pl-PL"/>
              </a:p>
            </c:txPr>
            <c:showVal val="1"/>
          </c:dLbls>
          <c:cat>
            <c:numRef>
              <c:f>Dane_tabele!$E$5:$E$13</c:f>
              <c:numCache>
                <c:formatCode>General</c:formatCode>
                <c:ptCount val="9"/>
                <c:pt idx="0">
                  <c:v>0</c:v>
                </c:pt>
                <c:pt idx="1">
                  <c:v>0.25</c:v>
                </c:pt>
                <c:pt idx="2">
                  <c:v>0.5</c:v>
                </c:pt>
                <c:pt idx="3">
                  <c:v>1</c:v>
                </c:pt>
                <c:pt idx="4">
                  <c:v>2</c:v>
                </c:pt>
                <c:pt idx="5">
                  <c:v>4</c:v>
                </c:pt>
                <c:pt idx="6">
                  <c:v>8</c:v>
                </c:pt>
                <c:pt idx="7">
                  <c:v>16</c:v>
                </c:pt>
              </c:numCache>
            </c:numRef>
          </c:cat>
          <c:val>
            <c:numRef>
              <c:f>Dane_tabele!$F$5:$F$13</c:f>
              <c:numCache>
                <c:formatCode>General</c:formatCode>
                <c:ptCount val="9"/>
                <c:pt idx="0">
                  <c:v>0</c:v>
                </c:pt>
                <c:pt idx="1">
                  <c:v>3</c:v>
                </c:pt>
                <c:pt idx="2">
                  <c:v>7</c:v>
                </c:pt>
                <c:pt idx="3">
                  <c:v>12</c:v>
                </c:pt>
                <c:pt idx="4">
                  <c:v>21</c:v>
                </c:pt>
                <c:pt idx="5">
                  <c:v>36</c:v>
                </c:pt>
                <c:pt idx="6">
                  <c:v>60</c:v>
                </c:pt>
                <c:pt idx="7">
                  <c:v>100</c:v>
                </c:pt>
              </c:numCache>
            </c:numRef>
          </c:val>
        </c:ser>
        <c:marker val="1"/>
        <c:axId val="138556160"/>
        <c:axId val="138558080"/>
      </c:lineChart>
      <c:lineChart>
        <c:grouping val="standard"/>
        <c:ser>
          <c:idx val="0"/>
          <c:order val="1"/>
          <c:tx>
            <c:v>Maksimum</c:v>
          </c:tx>
          <c:spPr>
            <a:ln w="7515">
              <a:solidFill>
                <a:srgbClr val="000000"/>
              </a:solidFill>
              <a:prstDash val="solid"/>
            </a:ln>
          </c:spPr>
          <c:marker>
            <c:symbol val="diamond"/>
            <c:size val="2"/>
            <c:spPr>
              <a:solidFill>
                <a:srgbClr val="000080"/>
              </a:solidFill>
              <a:ln>
                <a:solidFill>
                  <a:srgbClr val="000080"/>
                </a:solidFill>
                <a:prstDash val="solid"/>
              </a:ln>
            </c:spPr>
          </c:marker>
          <c:dLbls>
            <c:spPr>
              <a:noFill/>
              <a:ln w="15030">
                <a:noFill/>
              </a:ln>
            </c:spPr>
            <c:txPr>
              <a:bodyPr/>
              <a:lstStyle/>
              <a:p>
                <a:pPr>
                  <a:defRPr sz="710" b="0" i="0" u="none" strike="noStrike" baseline="0">
                    <a:solidFill>
                      <a:srgbClr val="000000"/>
                    </a:solidFill>
                    <a:latin typeface="Arial"/>
                    <a:ea typeface="Arial"/>
                    <a:cs typeface="Arial"/>
                  </a:defRPr>
                </a:pPr>
                <a:endParaRPr lang="pl-PL"/>
              </a:p>
            </c:txPr>
            <c:showVal val="1"/>
          </c:dLbls>
          <c:cat>
            <c:numRef>
              <c:f>Dane_tabele!$E$5:$E$13</c:f>
              <c:numCache>
                <c:formatCode>General</c:formatCode>
                <c:ptCount val="9"/>
                <c:pt idx="0">
                  <c:v>0</c:v>
                </c:pt>
                <c:pt idx="1">
                  <c:v>0.25</c:v>
                </c:pt>
                <c:pt idx="2">
                  <c:v>0.5</c:v>
                </c:pt>
                <c:pt idx="3">
                  <c:v>1</c:v>
                </c:pt>
                <c:pt idx="4">
                  <c:v>2</c:v>
                </c:pt>
                <c:pt idx="5">
                  <c:v>4</c:v>
                </c:pt>
                <c:pt idx="6">
                  <c:v>8</c:v>
                </c:pt>
                <c:pt idx="7">
                  <c:v>16</c:v>
                </c:pt>
              </c:numCache>
            </c:numRef>
          </c:cat>
          <c:val>
            <c:numRef>
              <c:f>Dane_tabele!$G$5:$G$13</c:f>
              <c:numCache>
                <c:formatCode>General</c:formatCode>
                <c:ptCount val="9"/>
                <c:pt idx="0">
                  <c:v>0</c:v>
                </c:pt>
                <c:pt idx="1">
                  <c:v>8</c:v>
                </c:pt>
                <c:pt idx="2">
                  <c:v>20</c:v>
                </c:pt>
                <c:pt idx="3">
                  <c:v>32</c:v>
                </c:pt>
                <c:pt idx="4">
                  <c:v>42</c:v>
                </c:pt>
                <c:pt idx="5">
                  <c:v>56</c:v>
                </c:pt>
                <c:pt idx="6">
                  <c:v>76</c:v>
                </c:pt>
                <c:pt idx="7">
                  <c:v>100</c:v>
                </c:pt>
              </c:numCache>
            </c:numRef>
          </c:val>
        </c:ser>
        <c:marker val="1"/>
        <c:axId val="138568448"/>
        <c:axId val="138569984"/>
      </c:lineChart>
      <c:catAx>
        <c:axId val="138556160"/>
        <c:scaling>
          <c:orientation val="minMax"/>
        </c:scaling>
        <c:axPos val="b"/>
        <c:majorGridlines>
          <c:spPr>
            <a:ln w="1879">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Przechodzi [%]</a:t>
                </a:r>
              </a:p>
            </c:rich>
          </c:tx>
          <c:layout>
            <c:manualLayout>
              <c:xMode val="edge"/>
              <c:yMode val="edge"/>
              <c:x val="0.35521885521885904"/>
              <c:y val="0.86561264822134387"/>
            </c:manualLayout>
          </c:layout>
          <c:spPr>
            <a:noFill/>
            <a:ln w="15030">
              <a:noFill/>
            </a:ln>
          </c:spPr>
        </c:title>
        <c:numFmt formatCode="General" sourceLinked="1"/>
        <c:majorTickMark val="cross"/>
        <c:tickLblPos val="nextTo"/>
        <c:spPr>
          <a:ln w="1879">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8558080"/>
        <c:crosses val="autoZero"/>
        <c:lblAlgn val="ctr"/>
        <c:lblOffset val="100"/>
        <c:tickLblSkip val="1"/>
        <c:tickMarkSkip val="1"/>
      </c:catAx>
      <c:valAx>
        <c:axId val="138558080"/>
        <c:scaling>
          <c:orientation val="minMax"/>
          <c:max val="100"/>
        </c:scaling>
        <c:axPos val="l"/>
        <c:majorGridlines>
          <c:spPr>
            <a:ln w="1879">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Bok oczka sita [mm]</a:t>
                </a:r>
              </a:p>
            </c:rich>
          </c:tx>
          <c:layout>
            <c:manualLayout>
              <c:xMode val="edge"/>
              <c:yMode val="edge"/>
              <c:x val="1.6835016835016845E-2"/>
              <c:y val="0.22529644268774918"/>
            </c:manualLayout>
          </c:layout>
          <c:spPr>
            <a:noFill/>
            <a:ln w="15030">
              <a:noFill/>
            </a:ln>
          </c:spPr>
        </c:title>
        <c:numFmt formatCode="General" sourceLinked="1"/>
        <c:majorTickMark val="cross"/>
        <c:tickLblPos val="nextTo"/>
        <c:spPr>
          <a:ln w="1879">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8556160"/>
        <c:crosses val="autoZero"/>
        <c:crossBetween val="midCat"/>
      </c:valAx>
      <c:catAx>
        <c:axId val="138568448"/>
        <c:scaling>
          <c:orientation val="minMax"/>
        </c:scaling>
        <c:delete val="1"/>
        <c:axPos val="b"/>
        <c:numFmt formatCode="General" sourceLinked="1"/>
        <c:tickLblPos val="none"/>
        <c:crossAx val="138569984"/>
        <c:crosses val="autoZero"/>
        <c:lblAlgn val="ctr"/>
        <c:lblOffset val="100"/>
      </c:catAx>
      <c:valAx>
        <c:axId val="138569984"/>
        <c:scaling>
          <c:orientation val="minMax"/>
          <c:max val="100"/>
        </c:scaling>
        <c:axPos val="r"/>
        <c:numFmt formatCode="General" sourceLinked="1"/>
        <c:majorTickMark val="none"/>
        <c:tickLblPos val="none"/>
        <c:spPr>
          <a:ln w="1879">
            <a:solidFill>
              <a:srgbClr val="000000"/>
            </a:solidFill>
            <a:prstDash val="solid"/>
          </a:ln>
        </c:spPr>
        <c:crossAx val="138568448"/>
        <c:crosses val="max"/>
        <c:crossBetween val="midCat"/>
        <c:minorUnit val="4"/>
      </c:valAx>
      <c:spPr>
        <a:solidFill>
          <a:srgbClr val="FFFFFF"/>
        </a:solidFill>
        <a:ln w="1879">
          <a:solidFill>
            <a:srgbClr val="000000"/>
          </a:solidFill>
          <a:prstDash val="solid"/>
        </a:ln>
      </c:spPr>
    </c:plotArea>
    <c:legend>
      <c:legendPos val="r"/>
      <c:layout>
        <c:manualLayout>
          <c:xMode val="edge"/>
          <c:yMode val="edge"/>
          <c:x val="0.79292929292929848"/>
          <c:y val="0.55335968379446643"/>
          <c:w val="0.17676767676767691"/>
          <c:h val="0.17786561264822134"/>
        </c:manualLayout>
      </c:layout>
      <c:spPr>
        <a:solidFill>
          <a:srgbClr val="FFFFFF"/>
        </a:solidFill>
        <a:ln w="1879">
          <a:solidFill>
            <a:srgbClr val="000000"/>
          </a:solidFill>
          <a:prstDash val="solid"/>
        </a:ln>
      </c:spPr>
      <c:txPr>
        <a:bodyPr/>
        <a:lstStyle/>
        <a:p>
          <a:pPr>
            <a:defRPr sz="544" b="0" i="0" u="none" strike="noStrike" baseline="0">
              <a:solidFill>
                <a:srgbClr val="000000"/>
              </a:solidFill>
              <a:latin typeface="Arial"/>
              <a:ea typeface="Arial"/>
              <a:cs typeface="Arial"/>
            </a:defRPr>
          </a:pPr>
          <a:endParaRPr lang="pl-PL"/>
        </a:p>
      </c:txPr>
    </c:legend>
    <c:plotVisOnly val="1"/>
    <c:dispBlanksAs val="gap"/>
  </c:chart>
  <c:spPr>
    <a:noFill/>
    <a:ln>
      <a:noFill/>
    </a:ln>
  </c:spPr>
  <c:txPr>
    <a:bodyPr/>
    <a:lstStyle/>
    <a:p>
      <a:pPr>
        <a:defRPr sz="592" b="0" i="0" u="none" strike="noStrike" baseline="0">
          <a:solidFill>
            <a:srgbClr val="000000"/>
          </a:solidFill>
          <a:latin typeface="Arial"/>
          <a:ea typeface="Arial"/>
          <a:cs typeface="Arial"/>
        </a:defRPr>
      </a:pPr>
      <a:endParaRPr lang="pl-PL"/>
    </a:p>
  </c:txPr>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pl-PL"/>
  <c:chart>
    <c:plotArea>
      <c:layout>
        <c:manualLayout>
          <c:layoutTarget val="inner"/>
          <c:xMode val="edge"/>
          <c:yMode val="edge"/>
          <c:x val="0.13103448275862198"/>
          <c:y val="0.1867704280155642"/>
          <c:w val="0.72241379310344822"/>
          <c:h val="0.54474708171205766"/>
        </c:manualLayout>
      </c:layout>
      <c:lineChart>
        <c:grouping val="standard"/>
        <c:ser>
          <c:idx val="1"/>
          <c:order val="0"/>
          <c:tx>
            <c:v>Minimum</c:v>
          </c:tx>
          <c:spPr>
            <a:ln w="7516">
              <a:solidFill>
                <a:srgbClr val="FF00FF"/>
              </a:solidFill>
              <a:prstDash val="solid"/>
            </a:ln>
          </c:spPr>
          <c:marker>
            <c:symbol val="square"/>
            <c:size val="2"/>
            <c:spPr>
              <a:solidFill>
                <a:srgbClr val="FF00FF"/>
              </a:solidFill>
              <a:ln>
                <a:solidFill>
                  <a:srgbClr val="FF00FF"/>
                </a:solidFill>
                <a:prstDash val="solid"/>
              </a:ln>
            </c:spPr>
          </c:marker>
          <c:dLbls>
            <c:spPr>
              <a:noFill/>
              <a:ln w="15033">
                <a:noFill/>
              </a:ln>
            </c:spPr>
            <c:txPr>
              <a:bodyPr/>
              <a:lstStyle/>
              <a:p>
                <a:pPr>
                  <a:defRPr sz="710" b="0" i="0" u="none" strike="noStrike" baseline="0">
                    <a:solidFill>
                      <a:srgbClr val="000000"/>
                    </a:solidFill>
                    <a:latin typeface="Arial"/>
                    <a:ea typeface="Arial"/>
                    <a:cs typeface="Arial"/>
                  </a:defRPr>
                </a:pPr>
                <a:endParaRPr lang="pl-PL"/>
              </a:p>
            </c:txPr>
            <c:showVal val="1"/>
          </c:dLbls>
          <c:cat>
            <c:numRef>
              <c:f>Dane_tabele!$I$5:$I$14</c:f>
              <c:numCache>
                <c:formatCode>General</c:formatCode>
                <c:ptCount val="10"/>
                <c:pt idx="0">
                  <c:v>0</c:v>
                </c:pt>
                <c:pt idx="1">
                  <c:v>0.25</c:v>
                </c:pt>
                <c:pt idx="2">
                  <c:v>0.5</c:v>
                </c:pt>
                <c:pt idx="3">
                  <c:v>1</c:v>
                </c:pt>
                <c:pt idx="4">
                  <c:v>2</c:v>
                </c:pt>
                <c:pt idx="5">
                  <c:v>4</c:v>
                </c:pt>
                <c:pt idx="6">
                  <c:v>8</c:v>
                </c:pt>
                <c:pt idx="7">
                  <c:v>16</c:v>
                </c:pt>
                <c:pt idx="8">
                  <c:v>31.5</c:v>
                </c:pt>
              </c:numCache>
            </c:numRef>
          </c:cat>
          <c:val>
            <c:numRef>
              <c:f>Dane_tabele!$J$5:$J$14</c:f>
              <c:numCache>
                <c:formatCode>General</c:formatCode>
                <c:ptCount val="10"/>
                <c:pt idx="0">
                  <c:v>0</c:v>
                </c:pt>
                <c:pt idx="1">
                  <c:v>2</c:v>
                </c:pt>
                <c:pt idx="2">
                  <c:v>5</c:v>
                </c:pt>
                <c:pt idx="3">
                  <c:v>8</c:v>
                </c:pt>
                <c:pt idx="4">
                  <c:v>14</c:v>
                </c:pt>
                <c:pt idx="5">
                  <c:v>23</c:v>
                </c:pt>
                <c:pt idx="6">
                  <c:v>38</c:v>
                </c:pt>
                <c:pt idx="7">
                  <c:v>62</c:v>
                </c:pt>
                <c:pt idx="8">
                  <c:v>100</c:v>
                </c:pt>
              </c:numCache>
            </c:numRef>
          </c:val>
        </c:ser>
        <c:marker val="1"/>
        <c:axId val="133702016"/>
        <c:axId val="133703936"/>
      </c:lineChart>
      <c:lineChart>
        <c:grouping val="standard"/>
        <c:ser>
          <c:idx val="0"/>
          <c:order val="1"/>
          <c:tx>
            <c:v>Maksimum</c:v>
          </c:tx>
          <c:spPr>
            <a:ln w="7516">
              <a:solidFill>
                <a:srgbClr val="000000"/>
              </a:solidFill>
              <a:prstDash val="solid"/>
            </a:ln>
          </c:spPr>
          <c:marker>
            <c:symbol val="diamond"/>
            <c:size val="2"/>
            <c:spPr>
              <a:solidFill>
                <a:srgbClr val="000080"/>
              </a:solidFill>
              <a:ln>
                <a:solidFill>
                  <a:srgbClr val="000080"/>
                </a:solidFill>
                <a:prstDash val="solid"/>
              </a:ln>
            </c:spPr>
          </c:marker>
          <c:dLbls>
            <c:spPr>
              <a:noFill/>
              <a:ln w="15033">
                <a:noFill/>
              </a:ln>
            </c:spPr>
            <c:txPr>
              <a:bodyPr/>
              <a:lstStyle/>
              <a:p>
                <a:pPr>
                  <a:defRPr sz="710" b="0" i="0" u="none" strike="noStrike" baseline="0">
                    <a:solidFill>
                      <a:srgbClr val="000000"/>
                    </a:solidFill>
                    <a:latin typeface="Arial"/>
                    <a:ea typeface="Arial"/>
                    <a:cs typeface="Arial"/>
                  </a:defRPr>
                </a:pPr>
                <a:endParaRPr lang="pl-PL"/>
              </a:p>
            </c:txPr>
            <c:showVal val="1"/>
          </c:dLbls>
          <c:cat>
            <c:numRef>
              <c:f>Dane_tabele!$I$5:$I$14</c:f>
              <c:numCache>
                <c:formatCode>General</c:formatCode>
                <c:ptCount val="10"/>
                <c:pt idx="0">
                  <c:v>0</c:v>
                </c:pt>
                <c:pt idx="1">
                  <c:v>0.25</c:v>
                </c:pt>
                <c:pt idx="2">
                  <c:v>0.5</c:v>
                </c:pt>
                <c:pt idx="3">
                  <c:v>1</c:v>
                </c:pt>
                <c:pt idx="4">
                  <c:v>2</c:v>
                </c:pt>
                <c:pt idx="5">
                  <c:v>4</c:v>
                </c:pt>
                <c:pt idx="6">
                  <c:v>8</c:v>
                </c:pt>
                <c:pt idx="7">
                  <c:v>16</c:v>
                </c:pt>
                <c:pt idx="8">
                  <c:v>31.5</c:v>
                </c:pt>
              </c:numCache>
            </c:numRef>
          </c:cat>
          <c:val>
            <c:numRef>
              <c:f>Dane_tabele!$K$5:$K$14</c:f>
              <c:numCache>
                <c:formatCode>General</c:formatCode>
                <c:ptCount val="10"/>
                <c:pt idx="0">
                  <c:v>0</c:v>
                </c:pt>
                <c:pt idx="1">
                  <c:v>8</c:v>
                </c:pt>
                <c:pt idx="2">
                  <c:v>18</c:v>
                </c:pt>
                <c:pt idx="3">
                  <c:v>28</c:v>
                </c:pt>
                <c:pt idx="4">
                  <c:v>37</c:v>
                </c:pt>
                <c:pt idx="5">
                  <c:v>47</c:v>
                </c:pt>
                <c:pt idx="6">
                  <c:v>62</c:v>
                </c:pt>
                <c:pt idx="7">
                  <c:v>80</c:v>
                </c:pt>
                <c:pt idx="8">
                  <c:v>100</c:v>
                </c:pt>
              </c:numCache>
            </c:numRef>
          </c:val>
        </c:ser>
        <c:marker val="1"/>
        <c:axId val="168558976"/>
        <c:axId val="168560512"/>
      </c:lineChart>
      <c:catAx>
        <c:axId val="133702016"/>
        <c:scaling>
          <c:orientation val="minMax"/>
        </c:scaling>
        <c:axPos val="b"/>
        <c:majorGridlines>
          <c:spPr>
            <a:ln w="1879">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Bok oczka sita [mm]</a:t>
                </a:r>
              </a:p>
            </c:rich>
          </c:tx>
          <c:layout>
            <c:manualLayout>
              <c:xMode val="edge"/>
              <c:yMode val="edge"/>
              <c:x val="0.37931034482758896"/>
              <c:y val="0.87159533073929962"/>
            </c:manualLayout>
          </c:layout>
          <c:spPr>
            <a:noFill/>
            <a:ln w="15033">
              <a:noFill/>
            </a:ln>
          </c:spPr>
        </c:title>
        <c:numFmt formatCode="General" sourceLinked="1"/>
        <c:majorTickMark val="cross"/>
        <c:tickLblPos val="nextTo"/>
        <c:spPr>
          <a:ln w="1879">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3703936"/>
        <c:crosses val="autoZero"/>
        <c:auto val="1"/>
        <c:lblAlgn val="ctr"/>
        <c:lblOffset val="100"/>
        <c:tickLblSkip val="1"/>
        <c:tickMarkSkip val="1"/>
      </c:catAx>
      <c:valAx>
        <c:axId val="133703936"/>
        <c:scaling>
          <c:orientation val="minMax"/>
          <c:max val="100"/>
        </c:scaling>
        <c:axPos val="l"/>
        <c:majorGridlines>
          <c:spPr>
            <a:ln w="1879">
              <a:solidFill>
                <a:srgbClr val="000000"/>
              </a:solidFill>
              <a:prstDash val="solid"/>
            </a:ln>
          </c:spPr>
        </c:majorGridlines>
        <c:title>
          <c:tx>
            <c:rich>
              <a:bodyPr/>
              <a:lstStyle/>
              <a:p>
                <a:pPr>
                  <a:defRPr sz="592" b="1" i="0" u="none" strike="noStrike" baseline="0">
                    <a:solidFill>
                      <a:srgbClr val="000000"/>
                    </a:solidFill>
                    <a:latin typeface="Arial"/>
                    <a:ea typeface="Arial"/>
                    <a:cs typeface="Arial"/>
                  </a:defRPr>
                </a:pPr>
                <a:r>
                  <a:rPr lang="pl-PL"/>
                  <a:t>Przechodzi [%]</a:t>
                </a:r>
              </a:p>
            </c:rich>
          </c:tx>
          <c:layout>
            <c:manualLayout>
              <c:xMode val="edge"/>
              <c:yMode val="edge"/>
              <c:x val="1.7241379310344827E-2"/>
              <c:y val="0.2723735408560311"/>
            </c:manualLayout>
          </c:layout>
          <c:spPr>
            <a:noFill/>
            <a:ln w="15033">
              <a:noFill/>
            </a:ln>
          </c:spPr>
        </c:title>
        <c:numFmt formatCode="General" sourceLinked="1"/>
        <c:majorTickMark val="cross"/>
        <c:tickLblPos val="nextTo"/>
        <c:spPr>
          <a:ln w="1879">
            <a:solidFill>
              <a:srgbClr val="000000"/>
            </a:solidFill>
            <a:prstDash val="solid"/>
          </a:ln>
        </c:spPr>
        <c:txPr>
          <a:bodyPr rot="0" vert="horz"/>
          <a:lstStyle/>
          <a:p>
            <a:pPr>
              <a:defRPr sz="710" b="0" i="0" u="none" strike="noStrike" baseline="0">
                <a:solidFill>
                  <a:srgbClr val="000000"/>
                </a:solidFill>
                <a:latin typeface="Arial"/>
                <a:ea typeface="Arial"/>
                <a:cs typeface="Arial"/>
              </a:defRPr>
            </a:pPr>
            <a:endParaRPr lang="pl-PL"/>
          </a:p>
        </c:txPr>
        <c:crossAx val="133702016"/>
        <c:crosses val="autoZero"/>
        <c:crossBetween val="midCat"/>
      </c:valAx>
      <c:catAx>
        <c:axId val="168558976"/>
        <c:scaling>
          <c:orientation val="minMax"/>
        </c:scaling>
        <c:delete val="1"/>
        <c:axPos val="b"/>
        <c:numFmt formatCode="General" sourceLinked="1"/>
        <c:tickLblPos val="none"/>
        <c:crossAx val="168560512"/>
        <c:crosses val="autoZero"/>
        <c:lblAlgn val="ctr"/>
        <c:lblOffset val="100"/>
      </c:catAx>
      <c:valAx>
        <c:axId val="168560512"/>
        <c:scaling>
          <c:orientation val="minMax"/>
          <c:max val="100"/>
        </c:scaling>
        <c:axPos val="r"/>
        <c:numFmt formatCode="General" sourceLinked="1"/>
        <c:majorTickMark val="cross"/>
        <c:tickLblPos val="none"/>
        <c:spPr>
          <a:ln w="1879">
            <a:solidFill>
              <a:srgbClr val="000000"/>
            </a:solidFill>
            <a:prstDash val="solid"/>
          </a:ln>
        </c:spPr>
        <c:crossAx val="168558976"/>
        <c:crosses val="max"/>
        <c:crossBetween val="midCat"/>
      </c:valAx>
      <c:spPr>
        <a:noFill/>
        <a:ln w="7516">
          <a:solidFill>
            <a:srgbClr val="000000"/>
          </a:solidFill>
          <a:prstDash val="solid"/>
        </a:ln>
      </c:spPr>
    </c:plotArea>
    <c:legend>
      <c:legendPos val="r"/>
      <c:layout>
        <c:manualLayout>
          <c:xMode val="edge"/>
          <c:yMode val="edge"/>
          <c:x val="0.81896551724138422"/>
          <c:y val="0.44747081712062586"/>
          <c:w val="0.18103448275862263"/>
          <c:h val="0.17120622568093391"/>
        </c:manualLayout>
      </c:layout>
      <c:spPr>
        <a:solidFill>
          <a:srgbClr val="FFFFFF"/>
        </a:solidFill>
        <a:ln w="1879">
          <a:solidFill>
            <a:srgbClr val="000000"/>
          </a:solidFill>
          <a:prstDash val="solid"/>
        </a:ln>
      </c:spPr>
      <c:txPr>
        <a:bodyPr/>
        <a:lstStyle/>
        <a:p>
          <a:pPr>
            <a:defRPr sz="544" b="0" i="0" u="none" strike="noStrike" baseline="0">
              <a:solidFill>
                <a:srgbClr val="000000"/>
              </a:solidFill>
              <a:latin typeface="Arial"/>
              <a:ea typeface="Arial"/>
              <a:cs typeface="Arial"/>
            </a:defRPr>
          </a:pPr>
          <a:endParaRPr lang="pl-PL"/>
        </a:p>
      </c:txPr>
    </c:legend>
    <c:plotVisOnly val="1"/>
    <c:dispBlanksAs val="gap"/>
  </c:chart>
  <c:spPr>
    <a:noFill/>
    <a:ln>
      <a:noFill/>
    </a:ln>
  </c:spPr>
  <c:txPr>
    <a:bodyPr/>
    <a:lstStyle/>
    <a:p>
      <a:pPr>
        <a:defRPr sz="592" b="0" i="0" u="none" strike="noStrike" baseline="0">
          <a:solidFill>
            <a:srgbClr val="000000"/>
          </a:solidFill>
          <a:latin typeface="Arial"/>
          <a:ea typeface="Arial"/>
          <a:cs typeface="Arial"/>
        </a:defRPr>
      </a:pPr>
      <a:endParaRPr lang="pl-PL"/>
    </a:p>
  </c:txPr>
  <c:externalData r:id="rId1"/>
</c:chartSpace>
</file>

<file path=word/drawings/drawing1.xml><?xml version="1.0" encoding="utf-8"?>
<c:userShapes xmlns:c="http://schemas.openxmlformats.org/drawingml/2006/chart">
  <cdr:relSizeAnchor xmlns:cdr="http://schemas.openxmlformats.org/drawingml/2006/chartDrawing">
    <cdr:from>
      <cdr:x>0.15325</cdr:x>
      <cdr:y>0.08125</cdr:y>
    </cdr:from>
    <cdr:to>
      <cdr:x>0.16675</cdr:x>
      <cdr:y>0.12075</cdr:y>
    </cdr:to>
    <cdr:sp macro="" textlink="">
      <cdr:nvSpPr>
        <cdr:cNvPr id="11265" name="Text Box 1"/>
        <cdr:cNvSpPr txBox="1">
          <a:spLocks xmlns:a="http://schemas.openxmlformats.org/drawingml/2006/main" noChangeArrowheads="1"/>
        </cdr:cNvSpPr>
      </cdr:nvSpPr>
      <cdr:spPr bwMode="auto">
        <a:xfrm xmlns:a="http://schemas.openxmlformats.org/drawingml/2006/main">
          <a:off x="867066" y="195798"/>
          <a:ext cx="76380" cy="95188"/>
        </a:xfrm>
        <a:prstGeom xmlns:a="http://schemas.openxmlformats.org/drawingml/2006/main" prst="rect">
          <a:avLst/>
        </a:prstGeom>
        <a:noFill xmlns:a="http://schemas.openxmlformats.org/drawingml/2006/main"/>
        <a:ln xmlns:a="http://schemas.openxmlformats.org/drawingml/2006/main" w="1">
          <a:noFill/>
          <a:miter lim="800000"/>
          <a:headEnd/>
          <a:tailEnd/>
        </a:ln>
        <a:effectLst xmlns:a="http://schemas.openxmlformats.org/drawingml/2006/main"/>
      </cdr:spPr>
      <cdr:txBody>
        <a:bodyPr xmlns:a="http://schemas.openxmlformats.org/drawingml/2006/main" wrap="none" lIns="9144" tIns="18288" rIns="9144" bIns="18288" anchor="ctr" upright="1">
          <a:spAutoFit/>
        </a:bodyPr>
        <a:lstStyle xmlns:a="http://schemas.openxmlformats.org/drawingml/2006/main"/>
        <a:p xmlns:a="http://schemas.openxmlformats.org/drawingml/2006/main">
          <a:pPr algn="ctr" rtl="0">
            <a:defRPr sz="1000"/>
          </a:pPr>
          <a:r>
            <a:rPr lang="pl-PL" sz="275" b="0" i="0" strike="noStrike">
              <a:solidFill>
                <a:srgbClr val="000000"/>
              </a:solidFill>
              <a:latin typeface="Arial"/>
              <a:cs typeface="Arial"/>
            </a:rPr>
            <a:t>P</a:t>
          </a:r>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2EEB146-C997-49F1-9356-04946E58D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227</Pages>
  <Words>84618</Words>
  <Characters>507711</Characters>
  <Application>Microsoft Office Word</Application>
  <DocSecurity>0</DocSecurity>
  <Lines>4230</Lines>
  <Paragraphs>1182</Paragraphs>
  <ScaleCrop>false</ScaleCrop>
  <HeadingPairs>
    <vt:vector size="2" baseType="variant">
      <vt:variant>
        <vt:lpstr>Tytuł</vt:lpstr>
      </vt:variant>
      <vt:variant>
        <vt:i4>1</vt:i4>
      </vt:variant>
    </vt:vector>
  </HeadingPairs>
  <TitlesOfParts>
    <vt:vector size="1" baseType="lpstr">
      <vt:lpstr>TOM IV</vt:lpstr>
    </vt:vector>
  </TitlesOfParts>
  <Company>bitrakt</Company>
  <LinksUpToDate>false</LinksUpToDate>
  <CharactersWithSpaces>591147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TOM IV</dc:title>
  <dc:creator>jkaczorowska</dc:creator>
  <cp:lastModifiedBy>SAMSUNG</cp:lastModifiedBy>
  <cp:revision>2</cp:revision>
  <cp:lastPrinted>2014-01-21T08:49:00Z</cp:lastPrinted>
  <dcterms:created xsi:type="dcterms:W3CDTF">2016-08-29T05:34:00Z</dcterms:created>
  <dcterms:modified xsi:type="dcterms:W3CDTF">2016-08-29T05:34:00Z</dcterms:modified>
</cp:coreProperties>
</file>