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8" w:after="0"/>
        <w:ind w:left="2848" w:right="3578" w:hanging="0"/>
        <w:jc w:val="center"/>
        <w:rPr>
          <w:b/>
          <w:b/>
          <w:sz w:val="24"/>
        </w:rPr>
      </w:pPr>
      <w:r>
        <w:rPr>
          <w:b/>
          <w:sz w:val="24"/>
        </w:rPr>
        <w:t>D – 05.03.05a</w:t>
      </w:r>
    </w:p>
    <w:p>
      <w:pPr>
        <w:pStyle w:val="Tretekstu"/>
        <w:spacing w:before="6" w:after="0"/>
        <w:ind w:left="0" w:right="0" w:hanging="0"/>
        <w:rPr>
          <w:b/>
          <w:b/>
        </w:rPr>
      </w:pPr>
      <w:r>
        <w:rPr>
          <w:b/>
        </w:rPr>
      </w:r>
    </w:p>
    <w:p>
      <w:pPr>
        <w:pStyle w:val="Nagwek1"/>
        <w:spacing w:lineRule="auto" w:line="235"/>
        <w:ind w:left="2848" w:right="3580" w:hanging="0"/>
        <w:jc w:val="center"/>
        <w:rPr/>
      </w:pPr>
      <w:r>
        <w:rPr/>
        <w:t>NAWIERZCHNIA Z BETONU ASFALTOWEGO. WARSTWA ŚCIERALNA wg WT-1 i WT-2</w:t>
      </w:r>
    </w:p>
    <w:p>
      <w:pPr>
        <w:pStyle w:val="Tretekstu"/>
        <w:ind w:left="0" w:right="0" w:hanging="0"/>
        <w:rPr>
          <w:b/>
          <w:b/>
          <w:sz w:val="22"/>
        </w:rPr>
      </w:pPr>
      <w:r>
        <w:rPr>
          <w:b/>
          <w:sz w:val="22"/>
        </w:rPr>
      </w:r>
    </w:p>
    <w:p>
      <w:pPr>
        <w:pStyle w:val="Tretekstu"/>
        <w:spacing w:before="2" w:after="0"/>
        <w:ind w:left="0" w:right="0" w:hanging="0"/>
        <w:rPr>
          <w:b/>
          <w:b/>
          <w:sz w:val="18"/>
        </w:rPr>
      </w:pPr>
      <w:r>
        <w:rPr>
          <w:b/>
          <w:sz w:val="18"/>
        </w:rPr>
      </w:r>
    </w:p>
    <w:p>
      <w:pPr>
        <w:pStyle w:val="Normal"/>
        <w:spacing w:before="0" w:after="0"/>
        <w:ind w:left="395" w:right="0" w:hanging="0"/>
        <w:jc w:val="left"/>
        <w:rPr>
          <w:b/>
          <w:b/>
          <w:sz w:val="20"/>
        </w:rPr>
      </w:pPr>
      <w:r>
        <w:rPr>
          <w:b/>
          <w:sz w:val="20"/>
        </w:rPr>
        <w:t>Uwaga! W tabelach niniejszej specyfikacji obowiązują wymagania oznaczone czcionką wytłuszczoną.</w:t>
      </w:r>
    </w:p>
    <w:p>
      <w:pPr>
        <w:pStyle w:val="Tretekstu"/>
        <w:spacing w:before="11" w:after="0"/>
        <w:ind w:left="0" w:right="0" w:hanging="0"/>
        <w:rPr>
          <w:b/>
          <w:b/>
        </w:rPr>
      </w:pPr>
      <w:r>
        <w:rPr>
          <w:b/>
        </w:rPr>
      </w:r>
    </w:p>
    <w:p>
      <w:pPr>
        <w:pStyle w:val="ListParagraph"/>
        <w:numPr>
          <w:ilvl w:val="0"/>
          <w:numId w:val="17"/>
        </w:numPr>
        <w:tabs>
          <w:tab w:val="left" w:pos="598" w:leader="none"/>
        </w:tabs>
        <w:spacing w:lineRule="auto" w:line="240" w:before="0" w:after="0"/>
        <w:ind w:left="597" w:right="0" w:hanging="201"/>
        <w:jc w:val="left"/>
        <w:rPr>
          <w:b/>
          <w:b/>
          <w:sz w:val="20"/>
        </w:rPr>
      </w:pPr>
      <w:r>
        <w:rPr>
          <w:b/>
          <w:sz w:val="20"/>
        </w:rPr>
        <w:t>WSTĘP</w:t>
      </w:r>
    </w:p>
    <w:p>
      <w:pPr>
        <w:pStyle w:val="Tretekstu"/>
        <w:spacing w:before="10" w:after="0"/>
        <w:ind w:left="0" w:right="0" w:hanging="0"/>
        <w:rPr>
          <w:b/>
          <w:b/>
        </w:rPr>
      </w:pPr>
      <w:r>
        <w:rPr>
          <w:b/>
        </w:rPr>
      </w:r>
    </w:p>
    <w:p>
      <w:pPr>
        <w:pStyle w:val="ListParagraph"/>
        <w:numPr>
          <w:ilvl w:val="1"/>
          <w:numId w:val="17"/>
        </w:numPr>
        <w:tabs>
          <w:tab w:val="left" w:pos="751" w:leader="none"/>
        </w:tabs>
        <w:spacing w:lineRule="auto" w:line="240" w:before="0" w:after="0"/>
        <w:ind w:left="750" w:right="0" w:hanging="354"/>
        <w:jc w:val="left"/>
        <w:rPr>
          <w:b/>
          <w:b/>
          <w:sz w:val="20"/>
        </w:rPr>
      </w:pPr>
      <w:r>
        <w:rPr>
          <w:b/>
          <w:sz w:val="20"/>
        </w:rPr>
        <w:t xml:space="preserve">Przedmiot </w:t>
      </w:r>
      <w:r>
        <w:rPr>
          <w:b/>
          <w:spacing w:val="1"/>
          <w:sz w:val="20"/>
        </w:rPr>
        <w:t>ST</w:t>
      </w:r>
    </w:p>
    <w:p>
      <w:pPr>
        <w:pStyle w:val="Tretekstu"/>
        <w:spacing w:before="116" w:after="0"/>
        <w:ind w:left="0" w:right="1124" w:firstLine="710"/>
        <w:rPr/>
      </w:pPr>
      <w:r>
        <w:rPr/>
        <w:t>Przedmiotem niniejszej specyfikacji technicznej (ST) są wymagania dotyczące wykonania i odbioru robót związanych z wykonaniem warstwy ścieralnej z betonu asfaltowego.</w:t>
      </w:r>
    </w:p>
    <w:p>
      <w:pPr>
        <w:pStyle w:val="Nagwek1"/>
        <w:numPr>
          <w:ilvl w:val="1"/>
          <w:numId w:val="17"/>
        </w:numPr>
        <w:tabs>
          <w:tab w:val="left" w:pos="751" w:leader="none"/>
        </w:tabs>
        <w:spacing w:lineRule="auto" w:line="240" w:before="125" w:after="0"/>
        <w:ind w:left="750" w:right="0" w:hanging="354"/>
        <w:jc w:val="left"/>
        <w:rPr/>
      </w:pPr>
      <w:r>
        <w:rPr/>
        <w:t xml:space="preserve">Zakres stosowania </w:t>
      </w:r>
      <w:r>
        <w:rPr>
          <w:spacing w:val="-3"/>
        </w:rPr>
        <w:t>ST</w:t>
      </w:r>
    </w:p>
    <w:p>
      <w:pPr>
        <w:pStyle w:val="Normal"/>
        <w:numPr>
          <w:ilvl w:val="0"/>
          <w:numId w:val="0"/>
        </w:numPr>
        <w:tabs>
          <w:tab w:val="left" w:pos="751" w:leader="none"/>
        </w:tabs>
        <w:spacing w:lineRule="auto" w:line="240" w:before="0" w:after="0"/>
        <w:ind w:left="750" w:right="0" w:hanging="0"/>
        <w:jc w:val="both"/>
        <w:rPr/>
      </w:pPr>
      <w:r>
        <w:rPr>
          <w:spacing w:val="-3"/>
          <w:sz w:val="20"/>
        </w:rPr>
        <w:t xml:space="preserve">Niniejsza szczegółowa specyfikacja techniczna (SST) stanowi obowiązujące opracowanie stosowane jako dokument  </w:t>
      </w:r>
    </w:p>
    <w:p>
      <w:pPr>
        <w:pStyle w:val="Normal"/>
        <w:numPr>
          <w:ilvl w:val="0"/>
          <w:numId w:val="0"/>
        </w:numPr>
        <w:tabs>
          <w:tab w:val="left" w:pos="751" w:leader="none"/>
        </w:tabs>
        <w:spacing w:lineRule="auto" w:line="240" w:before="0" w:after="0"/>
        <w:ind w:left="750" w:right="0" w:hanging="0"/>
        <w:jc w:val="both"/>
        <w:rPr/>
      </w:pPr>
      <w:r>
        <w:rPr>
          <w:spacing w:val="-3"/>
          <w:sz w:val="20"/>
        </w:rPr>
        <w:t>przetargowy i kontraktowy przy zlecaniu i realizacji robót na zadaniu pn.:</w:t>
      </w:r>
      <w:r>
        <w:rPr>
          <w:b/>
          <w:spacing w:val="-3"/>
          <w:sz w:val="20"/>
        </w:rPr>
        <w:t>„Remont y dróg i infrastruktury komunalnej”</w:t>
      </w:r>
    </w:p>
    <w:p>
      <w:pPr>
        <w:pStyle w:val="Tretekstu"/>
        <w:spacing w:before="7" w:after="0"/>
        <w:ind w:left="0" w:right="0" w:hanging="0"/>
        <w:rPr/>
      </w:pPr>
      <w:r>
        <w:rPr/>
      </w:r>
    </w:p>
    <w:p>
      <w:pPr>
        <w:pStyle w:val="Tretekstu"/>
        <w:ind w:left="0" w:right="1124" w:firstLine="710"/>
        <w:jc w:val="both"/>
        <w:rPr/>
      </w:pPr>
      <w:r>
        <w:rPr/>
        <w:t>Ustalenia zawarte w niniejszej specyfikacji dotyczą zasad prowadzenia robót związanych z wykonaniem                             i odbiorem warstwy ścieralnej z betonu asfaltowego wg PN-EN 13108-1 [50] i WT-2 Mieszanki mineralno-asfaltowe 2014 [70] z mieszanki mineralno-asfaltowej dostarczonej od producenta. W przypadku produkcji mieszanki mineralno-asfaltowej przez Wykonawcę dla potrzeb budowy, Wykonawca zobowiązany jest prowadzić zakładową kontrolę produkcji (ZKP) zgodnie z PN-EN 13108-21 [53].</w:t>
      </w:r>
    </w:p>
    <w:p>
      <w:pPr>
        <w:pStyle w:val="Tretekstu"/>
        <w:spacing w:before="1" w:after="0"/>
        <w:ind w:left="0" w:right="1122" w:firstLine="710"/>
        <w:jc w:val="both"/>
        <w:rPr/>
      </w:pPr>
      <w:r>
        <w:rPr/>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pPr>
        <w:pStyle w:val="Tretekstu"/>
        <w:spacing w:before="2" w:after="0"/>
        <w:ind w:left="1106" w:right="0" w:hanging="0"/>
        <w:rPr/>
      </w:pPr>
      <w:r>
        <w:rPr/>
        <w:t>Stosowane mieszanki betonu asfaltowego o wymiarze D podano w tablicy 1.</w:t>
      </w:r>
    </w:p>
    <w:p>
      <w:pPr>
        <w:pStyle w:val="Tretekstu"/>
        <w:spacing w:before="53" w:after="0"/>
        <w:jc w:val="both"/>
        <w:rPr/>
      </w:pPr>
      <w:r>
        <w:rPr/>
        <w:t>Tablica 1. Stosowane mieszanki</w:t>
      </w:r>
    </w:p>
    <w:p>
      <w:pPr>
        <w:pStyle w:val="Tretekstu"/>
        <w:spacing w:before="3" w:after="0"/>
        <w:ind w:left="0" w:right="0" w:hanging="0"/>
        <w:rPr>
          <w:sz w:val="6"/>
        </w:rPr>
      </w:pPr>
      <w:r>
        <w:rPr>
          <w:sz w:val="6"/>
        </w:rPr>
      </w:r>
    </w:p>
    <w:tbl>
      <w:tblPr>
        <w:tblW w:w="7407" w:type="dxa"/>
        <w:jc w:val="left"/>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1276"/>
        <w:gridCol w:w="6130"/>
      </w:tblGrid>
      <w:tr>
        <w:trPr>
          <w:trHeight w:val="590" w:hRule="atLeast"/>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8" w:after="0"/>
              <w:ind w:left="379" w:right="214" w:hanging="135"/>
              <w:rPr>
                <w:sz w:val="20"/>
              </w:rPr>
            </w:pPr>
            <w:r>
              <w:rPr>
                <w:sz w:val="20"/>
              </w:rPr>
              <w:t>Kategoria Ruchu</w:t>
            </w:r>
          </w:p>
        </w:tc>
        <w:tc>
          <w:tcPr>
            <w:tcW w:w="61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73" w:after="0"/>
              <w:ind w:left="1782" w:right="1761" w:hanging="0"/>
              <w:jc w:val="center"/>
              <w:rPr>
                <w:sz w:val="20"/>
              </w:rPr>
            </w:pPr>
            <w:r>
              <w:rPr>
                <w:sz w:val="20"/>
              </w:rPr>
              <w:t>Mieszanki o wymiarze D</w:t>
            </w:r>
            <w:r>
              <w:rPr>
                <w:sz w:val="20"/>
                <w:vertAlign w:val="superscript"/>
              </w:rPr>
              <w:t>1)</w:t>
            </w:r>
            <w:r>
              <w:rPr>
                <w:position w:val="0"/>
                <w:sz w:val="20"/>
                <w:sz w:val="20"/>
                <w:vertAlign w:val="baseline"/>
              </w:rPr>
              <w:t>, mm</w:t>
            </w:r>
          </w:p>
        </w:tc>
      </w:tr>
      <w:tr>
        <w:trPr>
          <w:trHeight w:val="700" w:hRule="atLeast"/>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340" w:right="0" w:hanging="0"/>
              <w:rPr>
                <w:sz w:val="20"/>
              </w:rPr>
            </w:pPr>
            <w:r>
              <w:rPr>
                <w:sz w:val="20"/>
              </w:rPr>
              <w:t>KR 3-4</w:t>
            </w:r>
          </w:p>
        </w:tc>
        <w:tc>
          <w:tcPr>
            <w:tcW w:w="61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1781" w:right="1761" w:hanging="0"/>
              <w:jc w:val="center"/>
              <w:rPr>
                <w:sz w:val="20"/>
              </w:rPr>
            </w:pPr>
            <w:r>
              <w:rPr>
                <w:sz w:val="20"/>
              </w:rPr>
              <w:t>AC11S</w:t>
            </w:r>
          </w:p>
        </w:tc>
      </w:tr>
    </w:tbl>
    <w:p>
      <w:pPr>
        <w:pStyle w:val="Tretekstu"/>
        <w:spacing w:lineRule="exact" w:line="209"/>
        <w:jc w:val="both"/>
        <w:rPr/>
      </w:pPr>
      <w:r>
        <w:rPr>
          <w:position w:val="9"/>
          <w:sz w:val="13"/>
        </w:rPr>
        <w:t>1)</w:t>
      </w:r>
      <w:r>
        <w:rPr/>
        <w:t>Podział ze względu na wymiar największego kruszywa w mieszance – patrz punkt 1.4.4.</w:t>
      </w:r>
    </w:p>
    <w:p>
      <w:pPr>
        <w:pStyle w:val="Tretekstu"/>
        <w:spacing w:lineRule="exact" w:line="243"/>
        <w:jc w:val="both"/>
        <w:rPr/>
      </w:pPr>
      <w:r>
        <w:rPr>
          <w:position w:val="9"/>
          <w:sz w:val="13"/>
        </w:rPr>
        <w:t>2)</w:t>
      </w:r>
      <w:r>
        <w:rPr/>
        <w:t>Dopuszczony do stosowania w terenach górskich.</w:t>
      </w:r>
    </w:p>
    <w:p>
      <w:pPr>
        <w:pStyle w:val="Nagwek1"/>
        <w:numPr>
          <w:ilvl w:val="1"/>
          <w:numId w:val="16"/>
        </w:numPr>
        <w:tabs>
          <w:tab w:val="left" w:pos="747" w:leader="none"/>
        </w:tabs>
        <w:spacing w:lineRule="auto" w:line="240" w:before="125" w:after="0"/>
        <w:ind w:left="746" w:right="0" w:hanging="350"/>
        <w:jc w:val="both"/>
        <w:rPr/>
      </w:pPr>
      <w:r>
        <w:rPr/>
        <w:t xml:space="preserve">Określenia </w:t>
      </w:r>
      <w:r>
        <w:rPr>
          <w:spacing w:val="1"/>
        </w:rPr>
        <w:t>podstawowe</w:t>
      </w:r>
    </w:p>
    <w:p>
      <w:pPr>
        <w:pStyle w:val="ListParagraph"/>
        <w:numPr>
          <w:ilvl w:val="2"/>
          <w:numId w:val="16"/>
        </w:numPr>
        <w:tabs>
          <w:tab w:val="left" w:pos="900" w:leader="none"/>
        </w:tabs>
        <w:spacing w:lineRule="auto" w:line="240" w:before="116" w:after="0"/>
        <w:ind w:left="396" w:right="1126" w:hanging="0"/>
        <w:jc w:val="left"/>
        <w:rPr/>
      </w:pPr>
      <w:r>
        <w:rPr>
          <w:sz w:val="20"/>
        </w:rPr>
        <w:t xml:space="preserve">Nawierzchnia – konstrukcja składająca się z jednej lub kilku warstw służących do przejmowania i rozkładania obciążeń </w:t>
      </w:r>
      <w:r>
        <w:rPr>
          <w:spacing w:val="-3"/>
          <w:sz w:val="20"/>
        </w:rPr>
        <w:t xml:space="preserve">od </w:t>
      </w:r>
      <w:r>
        <w:rPr>
          <w:sz w:val="20"/>
        </w:rPr>
        <w:t xml:space="preserve">ruchu pojazdów na </w:t>
      </w:r>
      <w:r>
        <w:rPr>
          <w:spacing w:val="4"/>
          <w:sz w:val="20"/>
        </w:rPr>
        <w:t>podłoże.</w:t>
      </w:r>
    </w:p>
    <w:p>
      <w:pPr>
        <w:pStyle w:val="ListParagraph"/>
        <w:numPr>
          <w:ilvl w:val="2"/>
          <w:numId w:val="16"/>
        </w:numPr>
        <w:tabs>
          <w:tab w:val="left" w:pos="900" w:leader="none"/>
        </w:tabs>
        <w:spacing w:lineRule="auto" w:line="240" w:before="120" w:after="0"/>
        <w:ind w:left="396" w:right="0" w:hanging="0"/>
        <w:jc w:val="left"/>
        <w:rPr>
          <w:sz w:val="20"/>
        </w:rPr>
      </w:pPr>
      <w:r>
        <w:rPr>
          <w:sz w:val="20"/>
        </w:rPr>
        <w:t xml:space="preserve">Warstwa ścieralna – górna warstwa nawierzchni będąca w bezpośrednim kontakcie z kołami </w:t>
      </w:r>
      <w:r>
        <w:rPr>
          <w:spacing w:val="-3"/>
          <w:sz w:val="20"/>
        </w:rPr>
        <w:t>pojazdów.</w:t>
      </w:r>
    </w:p>
    <w:p>
      <w:pPr>
        <w:pStyle w:val="ListParagraph"/>
        <w:numPr>
          <w:ilvl w:val="2"/>
          <w:numId w:val="16"/>
        </w:numPr>
        <w:tabs>
          <w:tab w:val="left" w:pos="900" w:leader="none"/>
        </w:tabs>
        <w:spacing w:lineRule="auto" w:line="240" w:before="121" w:after="0"/>
        <w:ind w:left="396" w:right="0" w:hanging="0"/>
        <w:jc w:val="left"/>
        <w:rPr>
          <w:sz w:val="20"/>
        </w:rPr>
      </w:pPr>
      <w:r>
        <w:rPr>
          <w:sz w:val="20"/>
        </w:rPr>
        <w:t xml:space="preserve">Mieszanka mineralno-asfaltowa – mieszanka kruszyw i lepiszcza </w:t>
      </w:r>
      <w:r>
        <w:rPr>
          <w:spacing w:val="-4"/>
          <w:sz w:val="20"/>
        </w:rPr>
        <w:t>asfaltowego.</w:t>
      </w:r>
    </w:p>
    <w:p>
      <w:pPr>
        <w:pStyle w:val="ListParagraph"/>
        <w:numPr>
          <w:ilvl w:val="2"/>
          <w:numId w:val="16"/>
        </w:numPr>
        <w:tabs>
          <w:tab w:val="left" w:pos="972" w:leader="none"/>
        </w:tabs>
        <w:spacing w:lineRule="auto" w:line="240" w:before="120" w:after="0"/>
        <w:ind w:left="396" w:right="1124" w:hanging="0"/>
        <w:jc w:val="left"/>
        <w:rPr>
          <w:sz w:val="20"/>
        </w:rPr>
      </w:pPr>
      <w:r>
        <w:rPr>
          <w:sz w:val="20"/>
        </w:rPr>
        <w:t>Wymiar mieszanki mineralno-asfaltowej – określenie mieszanki mineralno-asfaltowej, ze względu na największy wymiar kruszywa D, np.</w:t>
      </w:r>
      <w:r>
        <w:rPr>
          <w:spacing w:val="-3"/>
          <w:sz w:val="20"/>
        </w:rPr>
        <w:t xml:space="preserve">wymiar </w:t>
      </w:r>
      <w:r>
        <w:rPr>
          <w:sz w:val="20"/>
        </w:rPr>
        <w:t>5, 8,</w:t>
      </w:r>
      <w:r>
        <w:rPr>
          <w:spacing w:val="4"/>
          <w:sz w:val="20"/>
        </w:rPr>
        <w:t>11.</w:t>
      </w:r>
    </w:p>
    <w:p>
      <w:pPr>
        <w:pStyle w:val="ListParagraph"/>
        <w:numPr>
          <w:ilvl w:val="2"/>
          <w:numId w:val="16"/>
        </w:numPr>
        <w:tabs>
          <w:tab w:val="left" w:pos="915" w:leader="none"/>
        </w:tabs>
        <w:spacing w:lineRule="auto" w:line="235" w:before="125" w:after="0"/>
        <w:ind w:left="396" w:right="1135" w:hanging="0"/>
        <w:jc w:val="left"/>
        <w:rPr>
          <w:sz w:val="20"/>
        </w:rPr>
      </w:pPr>
      <w:r>
        <w:rPr>
          <w:spacing w:val="-3"/>
          <w:sz w:val="20"/>
        </w:rPr>
        <w:t>Beton</w:t>
      </w:r>
      <w:r>
        <w:rPr>
          <w:sz w:val="20"/>
        </w:rPr>
        <w:t>asfaltowy – mieszanka mineralno-asfaltowa, w której kruszywo o uziarnieniu</w:t>
      </w:r>
      <w:r>
        <w:rPr>
          <w:spacing w:val="-3"/>
          <w:sz w:val="20"/>
        </w:rPr>
        <w:t xml:space="preserve">ciągłym </w:t>
      </w:r>
      <w:r>
        <w:rPr>
          <w:sz w:val="20"/>
        </w:rPr>
        <w:t>lub nieciągłym tworzy strukturę wzajemnie klinującą</w:t>
      </w:r>
      <w:r>
        <w:rPr>
          <w:spacing w:val="-3"/>
          <w:sz w:val="20"/>
        </w:rPr>
        <w:t>się.</w:t>
      </w:r>
    </w:p>
    <w:p>
      <w:pPr>
        <w:pStyle w:val="ListParagraph"/>
        <w:numPr>
          <w:ilvl w:val="2"/>
          <w:numId w:val="16"/>
        </w:numPr>
        <w:tabs>
          <w:tab w:val="left" w:pos="900" w:leader="none"/>
        </w:tabs>
        <w:spacing w:lineRule="auto" w:line="240" w:before="121" w:after="0"/>
        <w:ind w:left="396" w:right="1122" w:hanging="0"/>
        <w:jc w:val="left"/>
        <w:rPr>
          <w:sz w:val="20"/>
        </w:rPr>
      </w:pPr>
      <w:r>
        <w:rPr>
          <w:sz w:val="20"/>
        </w:rPr>
        <w:t xml:space="preserve">Uziarnienie – skład ziarnowy kruszywa, wyrażony w procentach masy ziaren przechodzących przez określony zestaw </w:t>
      </w:r>
      <w:r>
        <w:rPr>
          <w:spacing w:val="-4"/>
          <w:sz w:val="20"/>
        </w:rPr>
        <w:t>sit.</w:t>
      </w:r>
    </w:p>
    <w:p>
      <w:pPr>
        <w:pStyle w:val="ListParagraph"/>
        <w:numPr>
          <w:ilvl w:val="2"/>
          <w:numId w:val="16"/>
        </w:numPr>
        <w:tabs>
          <w:tab w:val="left" w:pos="900" w:leader="none"/>
        </w:tabs>
        <w:spacing w:lineRule="auto" w:line="240" w:before="121" w:after="0"/>
        <w:ind w:left="396" w:right="0" w:hanging="0"/>
        <w:jc w:val="both"/>
        <w:rPr>
          <w:sz w:val="20"/>
        </w:rPr>
      </w:pPr>
      <w:r>
        <w:rPr>
          <w:sz w:val="20"/>
        </w:rPr>
        <w:t xml:space="preserve">Kategoria ruchu – obciążenie drogi ruchem samochodowym, wyrażone w osiach obliczeniowych (100 kN) </w:t>
      </w:r>
      <w:r>
        <w:rPr>
          <w:spacing w:val="-4"/>
          <w:sz w:val="20"/>
        </w:rPr>
        <w:t>wg</w:t>
      </w:r>
    </w:p>
    <w:p>
      <w:pPr>
        <w:pStyle w:val="Tretekstu"/>
        <w:spacing w:before="1" w:after="0"/>
        <w:jc w:val="both"/>
        <w:rPr/>
      </w:pPr>
      <w:r>
        <w:rPr/>
        <w:t>„</w:t>
      </w:r>
      <w:r>
        <w:rPr/>
        <w:t>Katalogu typowych konstrukcji nawierzchni podatnych i półsztywnych” GDDKiA [72].</w:t>
      </w:r>
    </w:p>
    <w:p>
      <w:pPr>
        <w:pStyle w:val="ListParagraph"/>
        <w:numPr>
          <w:ilvl w:val="2"/>
          <w:numId w:val="16"/>
        </w:numPr>
        <w:tabs>
          <w:tab w:val="left" w:pos="900" w:leader="none"/>
        </w:tabs>
        <w:spacing w:lineRule="auto" w:line="240" w:before="120" w:after="0"/>
        <w:ind w:left="396" w:right="0" w:hanging="0"/>
        <w:jc w:val="both"/>
        <w:rPr>
          <w:sz w:val="20"/>
        </w:rPr>
      </w:pPr>
      <w:r>
        <w:rPr>
          <w:sz w:val="20"/>
        </w:rPr>
        <w:t xml:space="preserve">Wymiar </w:t>
      </w:r>
      <w:r>
        <w:rPr>
          <w:spacing w:val="-3"/>
          <w:sz w:val="20"/>
        </w:rPr>
        <w:t>kruszywa</w:t>
      </w:r>
      <w:r>
        <w:rPr>
          <w:sz w:val="20"/>
        </w:rPr>
        <w:t xml:space="preserve">– wielkość ziaren kruszywa, określona przez dolny (d) i górny (D) wymiar </w:t>
      </w:r>
      <w:r>
        <w:rPr>
          <w:spacing w:val="-1"/>
          <w:sz w:val="20"/>
        </w:rPr>
        <w:t>sita.</w:t>
      </w:r>
    </w:p>
    <w:p>
      <w:pPr>
        <w:sectPr>
          <w:type w:val="nextPage"/>
          <w:pgSz w:w="11906" w:h="16838"/>
          <w:pgMar w:left="1020" w:right="0" w:header="0" w:top="1488" w:footer="0" w:bottom="287" w:gutter="0"/>
          <w:pgNumType w:fmt="decimal"/>
          <w:formProt w:val="false"/>
          <w:textDirection w:val="lrTb"/>
          <w:docGrid w:type="default" w:linePitch="100" w:charSpace="0"/>
        </w:sectPr>
        <w:pStyle w:val="ListParagraph"/>
        <w:numPr>
          <w:ilvl w:val="2"/>
          <w:numId w:val="16"/>
        </w:numPr>
        <w:tabs>
          <w:tab w:val="left" w:pos="900" w:leader="none"/>
        </w:tabs>
        <w:spacing w:lineRule="auto" w:line="240" w:before="120" w:after="0"/>
        <w:ind w:left="396" w:right="0" w:hanging="0"/>
        <w:jc w:val="both"/>
        <w:rPr/>
      </w:pPr>
      <w:r>
        <w:rPr>
          <w:sz w:val="20"/>
        </w:rPr>
        <w:t>Kruszywo grube – kruszywo z ziaren o wymiarze: D ≤ 45 mm</w:t>
      </w:r>
      <w:r>
        <w:rPr>
          <w:spacing w:val="-3"/>
          <w:sz w:val="20"/>
        </w:rPr>
        <w:t>oraz</w:t>
      </w:r>
      <w:r>
        <w:rPr>
          <w:sz w:val="20"/>
        </w:rPr>
        <w:t>d &gt; 2</w:t>
      </w:r>
      <w:r>
        <w:rPr>
          <w:spacing w:val="-2"/>
          <w:sz w:val="20"/>
        </w:rPr>
        <w:t>mm.</w:t>
      </w:r>
    </w:p>
    <w:p>
      <w:pPr>
        <w:pStyle w:val="ListParagraph"/>
        <w:numPr>
          <w:ilvl w:val="2"/>
          <w:numId w:val="16"/>
        </w:numPr>
        <w:tabs>
          <w:tab w:val="left" w:pos="1025" w:leader="none"/>
        </w:tabs>
        <w:spacing w:lineRule="auto" w:line="240" w:before="82" w:after="0"/>
        <w:ind w:left="396" w:right="1123" w:hanging="0"/>
        <w:jc w:val="left"/>
        <w:rPr/>
      </w:pPr>
      <w:r>
        <w:rPr>
          <w:sz w:val="20"/>
        </w:rPr>
        <w:t>Kruszywo drobne – kruszywo z ziaren o wymiarze: D ≤ 2 mm, którego większa część pozostaje na sicie 0,063</w:t>
      </w:r>
      <w:r>
        <w:rPr>
          <w:spacing w:val="-3"/>
          <w:sz w:val="20"/>
        </w:rPr>
        <w:t>mm.</w:t>
      </w:r>
    </w:p>
    <w:p>
      <w:pPr>
        <w:pStyle w:val="ListParagraph"/>
        <w:numPr>
          <w:ilvl w:val="2"/>
          <w:numId w:val="16"/>
        </w:numPr>
        <w:tabs>
          <w:tab w:val="left" w:pos="1001" w:leader="none"/>
        </w:tabs>
        <w:spacing w:lineRule="auto" w:line="240" w:before="121" w:after="0"/>
        <w:ind w:left="1000" w:right="0" w:hanging="604"/>
        <w:jc w:val="left"/>
        <w:rPr>
          <w:sz w:val="20"/>
        </w:rPr>
      </w:pPr>
      <w:r>
        <w:rPr>
          <w:spacing w:val="-4"/>
          <w:sz w:val="20"/>
        </w:rPr>
        <w:t>Pył</w:t>
      </w:r>
      <w:r>
        <w:rPr>
          <w:sz w:val="20"/>
        </w:rPr>
        <w:t>– kruszywo z ziaren przechodzących przez sito 0,063</w:t>
      </w:r>
      <w:r>
        <w:rPr>
          <w:spacing w:val="16"/>
          <w:sz w:val="20"/>
        </w:rPr>
        <w:t>mm.</w:t>
      </w:r>
    </w:p>
    <w:p>
      <w:pPr>
        <w:pStyle w:val="ListParagraph"/>
        <w:numPr>
          <w:ilvl w:val="2"/>
          <w:numId w:val="16"/>
        </w:numPr>
        <w:tabs>
          <w:tab w:val="left" w:pos="1020" w:leader="none"/>
        </w:tabs>
        <w:spacing w:lineRule="auto" w:line="240" w:before="120" w:after="0"/>
        <w:ind w:left="396" w:right="1126" w:hanging="0"/>
        <w:jc w:val="both"/>
        <w:rPr>
          <w:sz w:val="20"/>
        </w:rPr>
      </w:pPr>
      <w:r>
        <w:rPr>
          <w:sz w:val="20"/>
        </w:rPr>
        <w:t xml:space="preserve">Wypełniacz – kruszywo, którego większa część przechodzi przez sito 0,063 mm. (Wypełniacz mieszany – kruszywo, które składa się z wypełniacza pochodzenia mineralnego i wodorotlenku wapnia. Wypełniacz dodany – wypełniacz pochodzenia mineralnego, wyprodukowany </w:t>
      </w:r>
      <w:r>
        <w:rPr>
          <w:spacing w:val="-10"/>
          <w:sz w:val="20"/>
        </w:rPr>
        <w:t>oddzielnie).</w:t>
      </w:r>
    </w:p>
    <w:p>
      <w:pPr>
        <w:pStyle w:val="ListParagraph"/>
        <w:numPr>
          <w:ilvl w:val="2"/>
          <w:numId w:val="16"/>
        </w:numPr>
        <w:tabs>
          <w:tab w:val="left" w:pos="1097" w:leader="none"/>
        </w:tabs>
        <w:spacing w:lineRule="auto" w:line="240" w:before="121" w:after="0"/>
        <w:ind w:left="396" w:right="1125" w:hanging="0"/>
        <w:jc w:val="left"/>
        <w:rPr>
          <w:sz w:val="20"/>
        </w:rPr>
      </w:pPr>
      <w:r>
        <w:rPr>
          <w:sz w:val="20"/>
        </w:rPr>
        <w:t xml:space="preserve">Kationowa emulsja asfaltowa – emulsja, w której emulgator nadaje dodatnie ładunki cząstkom zdyspergowanego </w:t>
      </w:r>
      <w:r>
        <w:rPr>
          <w:spacing w:val="-4"/>
          <w:sz w:val="20"/>
        </w:rPr>
        <w:t>asfaltu.</w:t>
      </w:r>
    </w:p>
    <w:p>
      <w:pPr>
        <w:pStyle w:val="ListParagraph"/>
        <w:numPr>
          <w:ilvl w:val="2"/>
          <w:numId w:val="16"/>
        </w:numPr>
        <w:tabs>
          <w:tab w:val="left" w:pos="1059" w:leader="none"/>
        </w:tabs>
        <w:spacing w:lineRule="auto" w:line="240" w:before="121" w:after="0"/>
        <w:ind w:left="396" w:right="1124" w:hanging="0"/>
        <w:jc w:val="left"/>
        <w:rPr>
          <w:sz w:val="20"/>
        </w:rPr>
      </w:pPr>
      <w:r>
        <w:rPr>
          <w:sz w:val="20"/>
        </w:rPr>
        <w:t>Pozostałe określenia podstawowe są zgodne z obowiązującymi, odpowiednimi polskimi normami i z definicjami podanymi w ST D-00.00.00 „Wymagania ogólne” pkt</w:t>
      </w:r>
      <w:r>
        <w:rPr>
          <w:spacing w:val="5"/>
          <w:sz w:val="20"/>
        </w:rPr>
        <w:t>1.4.</w:t>
      </w:r>
    </w:p>
    <w:p>
      <w:pPr>
        <w:pStyle w:val="ListParagraph"/>
        <w:numPr>
          <w:ilvl w:val="2"/>
          <w:numId w:val="16"/>
        </w:numPr>
        <w:tabs>
          <w:tab w:val="left" w:pos="1001" w:leader="none"/>
        </w:tabs>
        <w:spacing w:lineRule="auto" w:line="240" w:before="116" w:after="0"/>
        <w:ind w:left="1000" w:right="0" w:hanging="604"/>
        <w:jc w:val="left"/>
        <w:rPr>
          <w:sz w:val="20"/>
        </w:rPr>
      </w:pPr>
      <w:r>
        <w:rPr>
          <w:spacing w:val="-3"/>
          <w:sz w:val="20"/>
        </w:rPr>
        <w:t>Symbole</w:t>
      </w:r>
      <w:r>
        <w:rPr>
          <w:sz w:val="20"/>
        </w:rPr>
        <w:t xml:space="preserve">i skróty </w:t>
      </w:r>
      <w:r>
        <w:rPr>
          <w:spacing w:val="-1"/>
          <w:sz w:val="20"/>
        </w:rPr>
        <w:t>dodatkowe</w:t>
      </w:r>
    </w:p>
    <w:p>
      <w:pPr>
        <w:pStyle w:val="Tretekstu"/>
        <w:tabs>
          <w:tab w:val="left" w:pos="1235" w:leader="none"/>
        </w:tabs>
        <w:spacing w:before="121" w:after="0"/>
        <w:rPr/>
      </w:pPr>
      <w:r>
        <w:rPr/>
        <w:t>AC_S</w:t>
        <w:tab/>
      </w:r>
      <w:r>
        <w:rPr>
          <w:sz w:val="16"/>
        </w:rPr>
        <w:t>–</w:t>
      </w:r>
      <w:r>
        <w:rPr/>
        <w:t>beton asfaltowy do warstwy</w:t>
      </w:r>
      <w:r>
        <w:rPr>
          <w:spacing w:val="-35"/>
        </w:rPr>
        <w:t>ścieralnej</w:t>
      </w:r>
    </w:p>
    <w:p>
      <w:pPr>
        <w:pStyle w:val="Tretekstu"/>
        <w:widowControl/>
        <w:tabs>
          <w:tab w:val="left" w:pos="1235" w:leader="none"/>
        </w:tabs>
        <w:bidi w:val="0"/>
        <w:spacing w:lineRule="auto" w:line="240" w:before="0" w:after="0"/>
        <w:ind w:left="0" w:right="454" w:hanging="0"/>
        <w:jc w:val="left"/>
        <w:rPr/>
      </w:pPr>
      <w:r>
        <w:rPr/>
        <w:t xml:space="preserve">        </w:t>
      </w:r>
      <w:r>
        <w:rPr/>
        <w:t>PMB</w:t>
        <w:tab/>
      </w:r>
      <w:r>
        <w:rPr>
          <w:sz w:val="16"/>
        </w:rPr>
        <w:t>–</w:t>
      </w:r>
      <w:r>
        <w:rPr/>
        <w:t>polimeroasfalt (ang.</w:t>
      </w:r>
      <w:r>
        <w:rPr>
          <w:spacing w:val="-3"/>
        </w:rPr>
        <w:t>polymer</w:t>
      </w:r>
      <w:r>
        <w:rPr/>
        <w:t xml:space="preserve">modifiedbitumen), </w:t>
      </w:r>
    </w:p>
    <w:p>
      <w:pPr>
        <w:pStyle w:val="Tretekstu"/>
        <w:tabs>
          <w:tab w:val="left" w:pos="1235" w:leader="none"/>
        </w:tabs>
        <w:ind w:left="0" w:right="5502" w:hanging="0"/>
        <w:rPr/>
      </w:pPr>
      <w:r>
        <w:rPr/>
        <w:t xml:space="preserve">        </w:t>
      </w:r>
      <w:r>
        <w:rPr/>
        <w:t>MG</w:t>
        <w:tab/>
      </w:r>
      <w:r>
        <w:rPr>
          <w:sz w:val="16"/>
        </w:rPr>
        <w:t>–</w:t>
      </w:r>
      <w:r>
        <w:rPr/>
        <w:t>asfalt wielorodzajowy (ang.</w:t>
      </w:r>
      <w:r>
        <w:rPr>
          <w:spacing w:val="-31"/>
        </w:rPr>
        <w:t>multigrade),</w:t>
      </w:r>
    </w:p>
    <w:p>
      <w:pPr>
        <w:pStyle w:val="Tretekstu"/>
        <w:widowControl/>
        <w:tabs>
          <w:tab w:val="left" w:pos="1235" w:leader="none"/>
        </w:tabs>
        <w:bidi w:val="0"/>
        <w:spacing w:lineRule="auto" w:line="240" w:before="1" w:after="0"/>
        <w:ind w:left="0" w:right="680" w:hanging="0"/>
        <w:jc w:val="both"/>
        <w:rPr/>
      </w:pPr>
      <w:r>
        <w:rPr/>
        <w:t xml:space="preserve">        </w:t>
      </w:r>
      <w:r>
        <w:rPr/>
        <w:t>D</w:t>
        <w:tab/>
        <w:tab/>
      </w:r>
      <w:r>
        <w:rPr>
          <w:sz w:val="16"/>
        </w:rPr>
        <w:t>–</w:t>
      </w:r>
      <w:r>
        <w:rPr/>
        <w:t xml:space="preserve">górny wymiar sita (przy określaniu wielkości ziaren kruszywa), </w:t>
      </w:r>
    </w:p>
    <w:p>
      <w:pPr>
        <w:pStyle w:val="Tretekstu"/>
        <w:widowControl/>
        <w:tabs>
          <w:tab w:val="left" w:pos="1235" w:leader="none"/>
        </w:tabs>
        <w:bidi w:val="0"/>
        <w:spacing w:lineRule="auto" w:line="240" w:before="1" w:after="0"/>
        <w:ind w:left="0" w:right="680" w:hanging="0"/>
        <w:jc w:val="both"/>
        <w:rPr/>
      </w:pPr>
      <w:r>
        <w:rPr/>
        <w:t xml:space="preserve">        </w:t>
      </w:r>
      <w:r>
        <w:rPr/>
        <w:t>d</w:t>
        <w:tab/>
        <w:tab/>
      </w:r>
      <w:r>
        <w:rPr>
          <w:sz w:val="16"/>
        </w:rPr>
        <w:t>–</w:t>
      </w:r>
      <w:r>
        <w:rPr/>
        <w:t xml:space="preserve">dolny wymiar sita (przy określaniu wielkości ziaren kruszywa), </w:t>
      </w:r>
    </w:p>
    <w:p>
      <w:pPr>
        <w:pStyle w:val="Tretekstu"/>
        <w:widowControl/>
        <w:tabs>
          <w:tab w:val="left" w:pos="1235" w:leader="none"/>
        </w:tabs>
        <w:bidi w:val="0"/>
        <w:spacing w:lineRule="auto" w:line="240" w:before="1" w:after="0"/>
        <w:ind w:left="0" w:right="680" w:hanging="0"/>
        <w:jc w:val="both"/>
        <w:rPr/>
      </w:pPr>
      <w:r>
        <w:rPr/>
        <w:t xml:space="preserve">        </w:t>
      </w:r>
      <w:r>
        <w:rPr/>
        <w:t>C</w:t>
        <w:tab/>
        <w:tab/>
      </w:r>
      <w:r>
        <w:rPr>
          <w:sz w:val="16"/>
        </w:rPr>
        <w:t>–</w:t>
      </w:r>
      <w:r>
        <w:rPr/>
        <w:t>kationowa emulsja</w:t>
      </w:r>
      <w:r>
        <w:rPr>
          <w:spacing w:val="-23"/>
        </w:rPr>
        <w:t>asfaltowa,</w:t>
      </w:r>
    </w:p>
    <w:p>
      <w:pPr>
        <w:pStyle w:val="Tretekstu"/>
        <w:widowControl/>
        <w:tabs>
          <w:tab w:val="left" w:pos="1235" w:leader="none"/>
        </w:tabs>
        <w:bidi w:val="0"/>
        <w:spacing w:lineRule="auto" w:line="240" w:before="1" w:after="0"/>
        <w:ind w:left="1474" w:right="680" w:hanging="1077"/>
        <w:jc w:val="left"/>
        <w:rPr/>
      </w:pPr>
      <w:r>
        <w:rPr/>
        <w:t>NPD</w:t>
        <w:tab/>
      </w:r>
      <w:r>
        <w:rPr>
          <w:sz w:val="16"/>
        </w:rPr>
        <w:t>–</w:t>
      </w:r>
      <w:r>
        <w:rPr/>
        <w:t>właściwość użytkowa nie określana (ang. No Performance Determined;  producent  może jej nie</w:t>
      </w:r>
      <w:r>
        <w:rPr>
          <w:spacing w:val="-2"/>
        </w:rPr>
        <w:t>określać),</w:t>
      </w:r>
    </w:p>
    <w:p>
      <w:pPr>
        <w:pStyle w:val="Tretekstu"/>
        <w:widowControl/>
        <w:tabs>
          <w:tab w:val="left" w:pos="1235" w:leader="none"/>
        </w:tabs>
        <w:bidi w:val="0"/>
        <w:spacing w:lineRule="auto" w:line="240" w:before="1" w:after="0"/>
        <w:ind w:left="1474" w:right="680" w:hanging="1077"/>
        <w:jc w:val="left"/>
        <w:rPr/>
      </w:pPr>
      <w:r>
        <w:rPr/>
        <w:t>TBR</w:t>
        <w:tab/>
      </w:r>
      <w:r>
        <w:rPr>
          <w:sz w:val="16"/>
        </w:rPr>
        <w:t>–</w:t>
      </w:r>
      <w:r>
        <w:rPr/>
        <w:t>do zadeklarowania (ang. To</w:t>
      </w:r>
      <w:r>
        <w:rPr>
          <w:spacing w:val="-3"/>
        </w:rPr>
        <w:t>Be</w:t>
      </w:r>
      <w:r>
        <w:rPr/>
        <w:t xml:space="preserve">Reported; producent może  dostarczyć  odpowiednie informacje, jednak nie </w:t>
      </w:r>
      <w:r>
        <w:rPr>
          <w:spacing w:val="-3"/>
        </w:rPr>
        <w:t xml:space="preserve">jest </w:t>
      </w:r>
      <w:r>
        <w:rPr/>
        <w:t xml:space="preserve">do tego </w:t>
      </w:r>
      <w:r>
        <w:rPr>
          <w:spacing w:val="1"/>
        </w:rPr>
        <w:t>zobowiązany),</w:t>
      </w:r>
    </w:p>
    <w:p>
      <w:pPr>
        <w:pStyle w:val="Tretekstu"/>
        <w:widowControl/>
        <w:tabs>
          <w:tab w:val="left" w:pos="1235" w:leader="none"/>
        </w:tabs>
        <w:bidi w:val="0"/>
        <w:spacing w:lineRule="auto" w:line="240" w:before="0" w:after="0"/>
        <w:ind w:left="0" w:right="680" w:hanging="0"/>
        <w:jc w:val="left"/>
        <w:rPr/>
      </w:pPr>
      <w:r>
        <w:rPr/>
        <w:t xml:space="preserve">        </w:t>
      </w:r>
      <w:r>
        <w:rPr/>
        <w:t>IRI</w:t>
        <w:tab/>
      </w:r>
      <w:r>
        <w:rPr>
          <w:sz w:val="16"/>
        </w:rPr>
        <w:t>–</w:t>
      </w:r>
      <w:r>
        <w:rPr/>
        <w:t xml:space="preserve">(International Roughness Index) międzynarodowy wskaźnik równości, </w:t>
      </w:r>
    </w:p>
    <w:p>
      <w:pPr>
        <w:pStyle w:val="Tretekstu"/>
        <w:widowControl/>
        <w:tabs>
          <w:tab w:val="left" w:pos="1235" w:leader="none"/>
        </w:tabs>
        <w:bidi w:val="0"/>
        <w:spacing w:lineRule="auto" w:line="240" w:before="0" w:after="0"/>
        <w:ind w:left="0" w:right="680" w:hanging="0"/>
        <w:jc w:val="left"/>
        <w:rPr/>
      </w:pPr>
      <w:r>
        <w:rPr/>
        <w:t xml:space="preserve">        </w:t>
      </w:r>
      <w:r>
        <w:rPr/>
        <w:t>MOP</w:t>
        <w:tab/>
      </w:r>
      <w:r>
        <w:rPr>
          <w:sz w:val="16"/>
        </w:rPr>
        <w:t>–</w:t>
      </w:r>
      <w:r>
        <w:rPr/>
        <w:t>miejsce obsługi</w:t>
      </w:r>
      <w:r>
        <w:rPr>
          <w:spacing w:val="-22"/>
        </w:rPr>
        <w:t>podróżnych.</w:t>
      </w:r>
    </w:p>
    <w:p>
      <w:pPr>
        <w:pStyle w:val="Tretekstu"/>
        <w:tabs>
          <w:tab w:val="left" w:pos="1235" w:leader="none"/>
        </w:tabs>
        <w:rPr/>
      </w:pPr>
      <w:r>
        <w:rPr/>
        <w:t>ZKP</w:t>
        <w:tab/>
      </w:r>
      <w:r>
        <w:rPr>
          <w:sz w:val="16"/>
        </w:rPr>
        <w:t>–</w:t>
      </w:r>
      <w:r>
        <w:rPr/>
        <w:t>zakładowa kontrola</w:t>
      </w:r>
      <w:r>
        <w:rPr>
          <w:spacing w:val="-17"/>
        </w:rPr>
        <w:t>produkcji</w:t>
      </w:r>
    </w:p>
    <w:p>
      <w:pPr>
        <w:pStyle w:val="ListParagraph"/>
        <w:numPr>
          <w:ilvl w:val="2"/>
          <w:numId w:val="16"/>
        </w:numPr>
        <w:tabs>
          <w:tab w:val="left" w:pos="1059" w:leader="none"/>
        </w:tabs>
        <w:spacing w:lineRule="auto" w:line="240" w:before="117" w:after="0"/>
        <w:ind w:left="396" w:right="1124" w:hanging="0"/>
        <w:jc w:val="left"/>
        <w:rPr>
          <w:sz w:val="20"/>
        </w:rPr>
      </w:pPr>
      <w:r>
        <w:rPr>
          <w:sz w:val="20"/>
        </w:rPr>
        <w:t>Pozostałe określenia podstawowe są zgodne z obowiązującymi, odpowiednimi polskimi normami i z definicjami podanymi w ST D-00.00.00 „Wymagania ogólne”[1] pkt</w:t>
      </w:r>
      <w:r>
        <w:rPr>
          <w:spacing w:val="-2"/>
          <w:sz w:val="20"/>
        </w:rPr>
        <w:t>1.4.</w:t>
      </w:r>
    </w:p>
    <w:p>
      <w:pPr>
        <w:pStyle w:val="Nagwek1"/>
        <w:spacing w:before="126" w:after="0"/>
        <w:ind w:left="395" w:right="0" w:hanging="0"/>
        <w:rPr/>
      </w:pPr>
      <w:r>
        <w:rPr/>
        <w:t>1.5. Ogólne wymagania dotyczące robót</w:t>
      </w:r>
    </w:p>
    <w:p>
      <w:pPr>
        <w:pStyle w:val="Tretekstu"/>
        <w:spacing w:before="116" w:after="0"/>
        <w:ind w:left="1106" w:right="0" w:hanging="0"/>
        <w:rPr/>
      </w:pPr>
      <w:r>
        <w:rPr/>
        <w:t>Ogólne wymagania dotyczące robót podano w ST D-00.00.00 „Wymagania ogólne” [1] pkt 1.5.</w:t>
      </w:r>
    </w:p>
    <w:p>
      <w:pPr>
        <w:pStyle w:val="Tretekstu"/>
        <w:spacing w:before="3"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MATERIAŁY</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1" w:after="0"/>
        <w:ind w:left="746" w:right="0" w:hanging="350"/>
        <w:jc w:val="left"/>
        <w:rPr>
          <w:b/>
          <w:b/>
          <w:sz w:val="20"/>
        </w:rPr>
      </w:pPr>
      <w:r>
        <w:rPr>
          <w:b/>
          <w:sz w:val="20"/>
        </w:rPr>
        <w:t xml:space="preserve">Ogólne wymagania dotyczące </w:t>
      </w:r>
      <w:r>
        <w:rPr>
          <w:b/>
          <w:spacing w:val="9"/>
          <w:sz w:val="20"/>
        </w:rPr>
        <w:t>materiałów</w:t>
      </w:r>
    </w:p>
    <w:p>
      <w:pPr>
        <w:pStyle w:val="Tretekstu"/>
        <w:spacing w:before="115" w:after="0"/>
        <w:ind w:left="1106" w:right="0" w:hanging="0"/>
        <w:rPr/>
      </w:pPr>
      <w:r>
        <w:rPr/>
        <w:t>Ogólne wymagania dotyczące materiałów, ich pozyskiwania i składowania, podano w ST D-00.00.00</w:t>
      </w:r>
    </w:p>
    <w:p>
      <w:pPr>
        <w:pStyle w:val="Tretekstu"/>
        <w:spacing w:before="1" w:after="0"/>
        <w:rPr/>
      </w:pPr>
      <w:r>
        <w:rPr/>
        <w:t>„</w:t>
      </w:r>
      <w:r>
        <w:rPr/>
        <w:t>Wymagania ogólne” [1] pkt 2.</w:t>
      </w:r>
    </w:p>
    <w:p>
      <w:pPr>
        <w:pStyle w:val="Nagwek1"/>
        <w:numPr>
          <w:ilvl w:val="1"/>
          <w:numId w:val="17"/>
        </w:numPr>
        <w:tabs>
          <w:tab w:val="left" w:pos="751" w:leader="none"/>
        </w:tabs>
        <w:spacing w:lineRule="auto" w:line="240" w:before="120" w:after="0"/>
        <w:ind w:left="750" w:right="0" w:hanging="354"/>
        <w:jc w:val="left"/>
        <w:rPr/>
      </w:pPr>
      <w:r>
        <w:rPr/>
        <w:t>Lepiszcza</w:t>
      </w:r>
      <w:r>
        <w:rPr>
          <w:spacing w:val="1"/>
        </w:rPr>
        <w:t>asfaltowe</w:t>
      </w:r>
    </w:p>
    <w:p>
      <w:pPr>
        <w:pStyle w:val="Tretekstu"/>
        <w:spacing w:before="116" w:after="0"/>
        <w:ind w:left="0" w:right="1126" w:firstLine="710"/>
        <w:jc w:val="both"/>
        <w:rPr/>
      </w:pPr>
      <w:r>
        <w:rPr/>
        <w:t>Należy stosować asfalty drogowe wg PN-EN 12591 [23] lub polimeroasfalty wg PN-EN 14023:2011/Ap1:2014-04 [64a] oraz asfalty drogowe wielorodzajowe wg PN-EN 13924-2:2014-04/Ap1:2014-07 [63a].</w:t>
      </w:r>
    </w:p>
    <w:p>
      <w:pPr>
        <w:pStyle w:val="Nagwek1"/>
        <w:numPr>
          <w:ilvl w:val="1"/>
          <w:numId w:val="17"/>
        </w:numPr>
        <w:tabs>
          <w:tab w:val="left" w:pos="747" w:leader="none"/>
        </w:tabs>
        <w:spacing w:lineRule="auto" w:line="240" w:before="126" w:after="0"/>
        <w:ind w:left="746" w:right="0" w:hanging="350"/>
        <w:jc w:val="left"/>
        <w:rPr/>
      </w:pPr>
      <w:r>
        <w:rPr/>
        <w:t>Kruszywo</w:t>
      </w:r>
    </w:p>
    <w:p>
      <w:pPr>
        <w:pStyle w:val="Tretekstu"/>
        <w:spacing w:before="115" w:after="0"/>
        <w:ind w:left="0" w:right="1122" w:firstLine="710"/>
        <w:jc w:val="both"/>
        <w:rPr/>
      </w:pPr>
      <w:r>
        <w:rPr/>
        <w:t>Do warstwy ścieralnej z betonu asfaltowego należy stosować kruszywo według PN-EN 13043 [49] i WT-1 Kruszywa 2014 [69], obejmujące kruszywo grube, kruszywo drobne i wypełniacz.</w:t>
      </w:r>
    </w:p>
    <w:p>
      <w:pPr>
        <w:pStyle w:val="Nagwek1"/>
        <w:numPr>
          <w:ilvl w:val="1"/>
          <w:numId w:val="17"/>
        </w:numPr>
        <w:tabs>
          <w:tab w:val="left" w:pos="747" w:leader="none"/>
        </w:tabs>
        <w:spacing w:lineRule="auto" w:line="240" w:before="126" w:after="0"/>
        <w:ind w:left="746" w:right="0" w:hanging="350"/>
        <w:jc w:val="left"/>
        <w:rPr/>
      </w:pPr>
      <w:r>
        <w:rPr/>
        <w:t xml:space="preserve">Kruszywo do </w:t>
      </w:r>
      <w:r>
        <w:rPr>
          <w:spacing w:val="-7"/>
        </w:rPr>
        <w:t>uszorstnienia</w:t>
      </w:r>
    </w:p>
    <w:p>
      <w:pPr>
        <w:pStyle w:val="Tretekstu"/>
        <w:spacing w:before="116" w:after="0"/>
        <w:ind w:left="0" w:right="1128" w:firstLine="710"/>
        <w:jc w:val="both"/>
        <w:rPr/>
      </w:pPr>
      <w:r>
        <w:rPr/>
        <w:t>W celu zwiększenia współczynnika tarcia wykonanej warstwy ścieralnej, w początkowym okresie jej użytkowania, należy gorącą warstwę posypać kruszywem mineralnym naturalnym lub sztucznym uzyskanym z przekruszenia, o wymiarze 2/4 lub 2/5 mm i dokładnie przywałować.</w:t>
      </w:r>
    </w:p>
    <w:p>
      <w:pPr>
        <w:pStyle w:val="Tretekstu"/>
        <w:spacing w:lineRule="auto" w:line="235" w:before="5" w:after="0"/>
        <w:ind w:left="1106" w:right="1124" w:hanging="0"/>
        <w:rPr/>
      </w:pPr>
      <w:r>
        <w:rPr/>
        <w:t>Kruszywa do uszorstnienia o wymiarze 2/4 lub 2/5 mm powinny spełniać wymagania podane w tablicy 10. Składowanie kruszywa powinno odpowiadać wymaganiom podanym w pkcie 2.3.</w:t>
      </w:r>
    </w:p>
    <w:p>
      <w:pPr>
        <w:pStyle w:val="Tretekstu"/>
        <w:spacing w:before="121" w:after="0"/>
        <w:rPr/>
      </w:pPr>
      <w:r>
        <w:rPr/>
        <w:t>Tablica 10. Wymagania dotyczące kruszywa do uszorstnienia warstwy ścieralnej z betonu asfaltowego [69]</w:t>
      </w:r>
    </w:p>
    <w:p>
      <w:pPr>
        <w:pStyle w:val="Tretekstu"/>
        <w:spacing w:before="3" w:after="0"/>
        <w:ind w:left="0" w:right="0" w:hanging="0"/>
        <w:rPr>
          <w:sz w:val="11"/>
        </w:rPr>
      </w:pPr>
      <w:r>
        <w:rPr>
          <w:sz w:val="11"/>
        </w:rPr>
      </w:r>
    </w:p>
    <w:tbl>
      <w:tblPr>
        <w:tblW w:w="8760" w:type="dxa"/>
        <w:jc w:val="left"/>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336"/>
        <w:gridCol w:w="2423"/>
      </w:tblGrid>
      <w:tr>
        <w:trPr>
          <w:trHeight w:val="350" w:hRule="atLeast"/>
        </w:trPr>
        <w:tc>
          <w:tcPr>
            <w:tcW w:w="633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73" w:after="0"/>
              <w:ind w:left="2227" w:right="2219" w:hanging="0"/>
              <w:jc w:val="center"/>
              <w:rPr>
                <w:sz w:val="20"/>
              </w:rPr>
            </w:pPr>
            <w:r>
              <w:rPr>
                <w:sz w:val="20"/>
              </w:rPr>
              <w:t>Właściwości kruszywa</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408" w:right="406" w:hanging="0"/>
              <w:jc w:val="center"/>
              <w:rPr>
                <w:sz w:val="20"/>
              </w:rPr>
            </w:pPr>
            <w:r>
              <w:rPr>
                <w:sz w:val="20"/>
              </w:rPr>
              <w:t>Wymiar kruszywa</w:t>
            </w:r>
          </w:p>
        </w:tc>
      </w:tr>
      <w:tr>
        <w:trPr>
          <w:trHeight w:val="350" w:hRule="atLeast"/>
        </w:trPr>
        <w:tc>
          <w:tcPr>
            <w:tcW w:w="633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418" w:right="400" w:hanging="0"/>
              <w:jc w:val="center"/>
              <w:rPr>
                <w:sz w:val="20"/>
              </w:rPr>
            </w:pPr>
            <w:r>
              <w:rPr>
                <w:sz w:val="20"/>
              </w:rPr>
              <w:t>2/4; 2/5</w:t>
            </w:r>
          </w:p>
        </w:tc>
      </w:tr>
      <w:tr>
        <w:trPr>
          <w:trHeight w:val="350" w:hRule="atLeast"/>
        </w:trPr>
        <w:tc>
          <w:tcPr>
            <w:tcW w:w="6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110" w:right="0" w:hanging="0"/>
              <w:rPr>
                <w:sz w:val="20"/>
              </w:rPr>
            </w:pPr>
            <w:r>
              <w:rPr>
                <w:sz w:val="20"/>
              </w:rPr>
              <w:t>Uziarnienie wg PN-EN 933-1[5]; kategoria nie niższa niż:</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418" w:right="404" w:hanging="0"/>
              <w:jc w:val="center"/>
              <w:rPr>
                <w:sz w:val="20"/>
              </w:rPr>
            </w:pPr>
            <w:r>
              <w:rPr>
                <w:sz w:val="20"/>
              </w:rPr>
              <w:t>G</w:t>
            </w:r>
            <w:r>
              <w:rPr>
                <w:sz w:val="20"/>
                <w:vertAlign w:val="subscript"/>
              </w:rPr>
              <w:t>c</w:t>
            </w:r>
            <w:r>
              <w:rPr>
                <w:position w:val="0"/>
                <w:sz w:val="20"/>
                <w:sz w:val="20"/>
                <w:vertAlign w:val="baseline"/>
              </w:rPr>
              <w:t>90/10</w:t>
            </w:r>
          </w:p>
        </w:tc>
      </w:tr>
      <w:tr>
        <w:trPr>
          <w:trHeight w:val="350" w:hRule="atLeast"/>
        </w:trPr>
        <w:tc>
          <w:tcPr>
            <w:tcW w:w="6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110" w:right="0" w:hanging="0"/>
              <w:rPr>
                <w:sz w:val="20"/>
              </w:rPr>
            </w:pPr>
            <w:r>
              <w:rPr>
                <w:sz w:val="20"/>
              </w:rPr>
              <w:t>Zawartość pyłów wg PN-EN 933-1[5]: kategoria nie niższa niż:</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before="109" w:after="0"/>
              <w:ind w:left="417" w:right="406" w:hanging="0"/>
              <w:jc w:val="center"/>
              <w:rPr>
                <w:sz w:val="13"/>
              </w:rPr>
            </w:pPr>
            <w:r>
              <w:rPr>
                <w:position w:val="3"/>
                <w:sz w:val="20"/>
              </w:rPr>
              <w:t>f</w:t>
            </w:r>
            <w:r>
              <w:rPr>
                <w:sz w:val="13"/>
              </w:rPr>
              <w:t>0,5</w:t>
            </w:r>
          </w:p>
        </w:tc>
      </w:tr>
      <w:tr>
        <w:trPr>
          <w:trHeight w:val="460" w:hRule="atLeast"/>
        </w:trPr>
        <w:tc>
          <w:tcPr>
            <w:tcW w:w="6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2"/>
              <w:ind w:left="110" w:right="0" w:hanging="0"/>
              <w:rPr>
                <w:sz w:val="20"/>
              </w:rPr>
            </w:pPr>
            <w:r>
              <w:rPr>
                <w:sz w:val="20"/>
              </w:rPr>
              <w:t>Odporność na polerowanie kruszywa (badana na normowej frakcji) wg PN-</w:t>
            </w:r>
          </w:p>
          <w:p>
            <w:pPr>
              <w:pStyle w:val="TableParagraph"/>
              <w:spacing w:lineRule="exact" w:line="228"/>
              <w:ind w:left="110" w:right="0" w:hanging="0"/>
              <w:rPr>
                <w:sz w:val="20"/>
              </w:rPr>
            </w:pPr>
            <w:r>
              <w:rPr>
                <w:sz w:val="20"/>
              </w:rPr>
              <w:t>EN 1097-8 [17]; kategoria nie niższa niż:</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2" w:after="0"/>
              <w:ind w:left="417" w:right="406" w:hanging="0"/>
              <w:jc w:val="center"/>
              <w:rPr>
                <w:sz w:val="20"/>
              </w:rPr>
            </w:pPr>
            <w:r>
              <w:rPr>
                <w:sz w:val="20"/>
              </w:rPr>
              <w:t>PSV</w:t>
            </w:r>
            <w:r>
              <w:rPr>
                <w:sz w:val="20"/>
                <w:vertAlign w:val="subscript"/>
              </w:rPr>
              <w:t>50</w:t>
            </w:r>
          </w:p>
        </w:tc>
      </w:tr>
      <w:tr>
        <w:trPr>
          <w:trHeight w:val="460" w:hRule="atLeast"/>
        </w:trPr>
        <w:tc>
          <w:tcPr>
            <w:tcW w:w="6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2"/>
              <w:ind w:left="110" w:right="0" w:hanging="0"/>
              <w:rPr>
                <w:sz w:val="20"/>
              </w:rPr>
            </w:pPr>
            <w:r>
              <w:rPr>
                <w:sz w:val="20"/>
              </w:rPr>
              <w:t>Gęstość ziaren wg PN-EN 1097-6 [15]; rozdz.7, 8 lub 9:</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2"/>
              <w:ind w:left="418" w:right="406" w:hanging="0"/>
              <w:jc w:val="center"/>
              <w:rPr>
                <w:sz w:val="20"/>
              </w:rPr>
            </w:pPr>
            <w:r>
              <w:rPr>
                <w:sz w:val="20"/>
              </w:rPr>
              <w:t>Deklarowana przez</w:t>
            </w:r>
          </w:p>
          <w:p>
            <w:pPr>
              <w:pStyle w:val="TableParagraph"/>
              <w:spacing w:lineRule="exact" w:line="228"/>
              <w:ind w:left="418" w:right="406" w:hanging="0"/>
              <w:jc w:val="center"/>
              <w:rPr>
                <w:sz w:val="20"/>
              </w:rPr>
            </w:pPr>
            <w:r>
              <w:rPr>
                <w:sz w:val="20"/>
              </w:rPr>
              <w:t>producenta</w:t>
            </w:r>
          </w:p>
        </w:tc>
      </w:tr>
      <w:tr>
        <w:trPr>
          <w:trHeight w:val="460" w:hRule="atLeast"/>
        </w:trPr>
        <w:tc>
          <w:tcPr>
            <w:tcW w:w="6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2"/>
              <w:ind w:left="110" w:right="0" w:hanging="0"/>
              <w:rPr>
                <w:sz w:val="20"/>
              </w:rPr>
            </w:pPr>
            <w:r>
              <w:rPr>
                <w:sz w:val="20"/>
              </w:rPr>
              <w:t>Grube zanieczyszczenia lekkie wg PN-EN 1744-1 [22] p. 14.2; kategoria</w:t>
            </w:r>
          </w:p>
          <w:p>
            <w:pPr>
              <w:pStyle w:val="TableParagraph"/>
              <w:spacing w:lineRule="exact" w:line="228"/>
              <w:ind w:left="110" w:right="0" w:hanging="0"/>
              <w:rPr/>
            </w:pPr>
            <w:r>
              <w:rPr>
                <w:sz w:val="20"/>
              </w:rPr>
              <w:t>nie niższa niż:</w:t>
            </w:r>
          </w:p>
        </w:tc>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2" w:after="0"/>
              <w:ind w:left="418" w:right="400" w:hanging="0"/>
              <w:jc w:val="center"/>
              <w:rPr>
                <w:sz w:val="20"/>
              </w:rPr>
            </w:pPr>
            <w:r>
              <w:rPr>
                <w:sz w:val="20"/>
              </w:rPr>
              <w:t>m</w:t>
            </w:r>
            <w:r>
              <w:rPr>
                <w:sz w:val="20"/>
                <w:vertAlign w:val="subscript"/>
              </w:rPr>
              <w:t>LPC</w:t>
            </w:r>
            <w:r>
              <w:rPr>
                <w:position w:val="0"/>
                <w:sz w:val="20"/>
                <w:sz w:val="20"/>
                <w:vertAlign w:val="baseline"/>
              </w:rPr>
              <w:t>0,1</w:t>
            </w:r>
          </w:p>
        </w:tc>
      </w:tr>
    </w:tbl>
    <w:p>
      <w:pPr>
        <w:sectPr>
          <w:type w:val="nextPage"/>
          <w:pgSz w:w="11906" w:h="16838"/>
          <w:pgMar w:left="1020" w:right="0" w:header="0" w:top="760" w:footer="0" w:bottom="280" w:gutter="0"/>
          <w:pgNumType w:fmt="decimal"/>
          <w:formProt w:val="false"/>
          <w:textDirection w:val="lrTb"/>
          <w:docGrid w:type="default" w:linePitch="100" w:charSpace="4096"/>
        </w:sectPr>
      </w:pPr>
    </w:p>
    <w:p>
      <w:pPr>
        <w:pStyle w:val="Nagwek1"/>
        <w:numPr>
          <w:ilvl w:val="1"/>
          <w:numId w:val="17"/>
        </w:numPr>
        <w:tabs>
          <w:tab w:val="left" w:pos="747" w:leader="none"/>
        </w:tabs>
        <w:spacing w:lineRule="auto" w:line="240" w:before="107" w:after="0"/>
        <w:ind w:left="746" w:right="0" w:hanging="350"/>
        <w:jc w:val="left"/>
        <w:rPr/>
      </w:pPr>
      <w:r>
        <w:rPr/>
        <w:t xml:space="preserve">Materiały do uszczelnienia połączeń i </w:t>
      </w:r>
      <w:r>
        <w:rPr>
          <w:spacing w:val="-15"/>
        </w:rPr>
        <w:t>krawędzi</w:t>
      </w:r>
    </w:p>
    <w:p>
      <w:pPr>
        <w:pStyle w:val="Tretekstu"/>
        <w:spacing w:before="115" w:after="0"/>
        <w:ind w:left="0" w:right="1122" w:firstLine="710"/>
        <w:jc w:val="both"/>
        <w:rPr/>
      </w:pPr>
      <w:r>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pPr>
        <w:pStyle w:val="ListParagraph"/>
        <w:numPr>
          <w:ilvl w:val="0"/>
          <w:numId w:val="15"/>
        </w:numPr>
        <w:tabs>
          <w:tab w:val="left" w:pos="680" w:leader="none"/>
        </w:tabs>
        <w:spacing w:lineRule="auto" w:line="240" w:before="1" w:after="0"/>
        <w:ind w:left="1106" w:right="0" w:hanging="710"/>
        <w:jc w:val="left"/>
        <w:rPr>
          <w:sz w:val="20"/>
        </w:rPr>
      </w:pPr>
      <w:r>
        <w:rPr>
          <w:sz w:val="20"/>
        </w:rPr>
        <w:t xml:space="preserve">materiały termoplastyczne, </w:t>
      </w:r>
      <w:r>
        <w:rPr>
          <w:spacing w:val="-3"/>
          <w:sz w:val="20"/>
        </w:rPr>
        <w:t xml:space="preserve">jak </w:t>
      </w:r>
      <w:r>
        <w:rPr>
          <w:sz w:val="20"/>
        </w:rPr>
        <w:t xml:space="preserve">taśmy asfaltowe, pasty itp. według norm lub aprobat </w:t>
      </w:r>
      <w:r>
        <w:rPr>
          <w:spacing w:val="-20"/>
          <w:sz w:val="20"/>
        </w:rPr>
        <w:t>technicznych,</w:t>
      </w:r>
    </w:p>
    <w:p>
      <w:pPr>
        <w:pStyle w:val="ListParagraph"/>
        <w:numPr>
          <w:ilvl w:val="0"/>
          <w:numId w:val="15"/>
        </w:numPr>
        <w:tabs>
          <w:tab w:val="left" w:pos="680" w:leader="none"/>
        </w:tabs>
        <w:spacing w:lineRule="auto" w:line="240" w:before="1" w:after="0"/>
        <w:ind w:left="1106" w:right="1844" w:hanging="710"/>
        <w:jc w:val="left"/>
        <w:rPr>
          <w:sz w:val="20"/>
        </w:rPr>
      </w:pPr>
      <w:r>
        <w:rPr>
          <w:sz w:val="20"/>
        </w:rPr>
        <w:t>emulsję asfaltową według PN-EN 13808 [62] lub inne lepiszcza według norm lub aprobat technicznych. Grubość materiału termoplastycznego do spoiny powinna</w:t>
      </w:r>
      <w:r>
        <w:rPr>
          <w:spacing w:val="-15"/>
          <w:sz w:val="20"/>
        </w:rPr>
        <w:t>wynosić:</w:t>
      </w:r>
    </w:p>
    <w:p>
      <w:pPr>
        <w:pStyle w:val="ListParagraph"/>
        <w:numPr>
          <w:ilvl w:val="0"/>
          <w:numId w:val="14"/>
        </w:numPr>
        <w:tabs>
          <w:tab w:val="left" w:pos="680" w:leader="none"/>
        </w:tabs>
        <w:spacing w:lineRule="exact" w:line="226" w:before="0" w:after="0"/>
        <w:ind w:left="756" w:right="0" w:hanging="360"/>
        <w:jc w:val="left"/>
        <w:rPr>
          <w:sz w:val="20"/>
        </w:rPr>
      </w:pPr>
      <w:r>
        <w:rPr>
          <w:sz w:val="20"/>
        </w:rPr>
        <w:t>nie mniej niż 10 mm przy grubości warstwy technologicznej do 2,5</w:t>
      </w:r>
      <w:r>
        <w:rPr>
          <w:spacing w:val="-3"/>
          <w:sz w:val="20"/>
        </w:rPr>
        <w:t>cm,</w:t>
      </w:r>
    </w:p>
    <w:p>
      <w:pPr>
        <w:pStyle w:val="Nagwek1"/>
        <w:numPr>
          <w:ilvl w:val="0"/>
          <w:numId w:val="14"/>
        </w:numPr>
        <w:tabs>
          <w:tab w:val="left" w:pos="680" w:leader="none"/>
        </w:tabs>
        <w:spacing w:lineRule="exact" w:line="228" w:before="5" w:after="0"/>
        <w:ind w:left="756" w:right="0" w:hanging="360"/>
        <w:jc w:val="left"/>
        <w:rPr/>
      </w:pPr>
      <w:r>
        <w:rPr/>
        <w:t>nie mniej</w:t>
      </w:r>
      <w:r>
        <w:rPr>
          <w:spacing w:val="-2"/>
        </w:rPr>
        <w:t>niż</w:t>
      </w:r>
      <w:r>
        <w:rPr/>
        <w:t>15</w:t>
      </w:r>
      <w:r>
        <w:rPr>
          <w:spacing w:val="-3"/>
        </w:rPr>
        <w:t>mm</w:t>
      </w:r>
      <w:r>
        <w:rPr/>
        <w:t>przy grubości warstwy technologicznej większej niż 2,5</w:t>
      </w:r>
      <w:r>
        <w:rPr>
          <w:spacing w:val="13"/>
        </w:rPr>
        <w:t>cm.</w:t>
      </w:r>
    </w:p>
    <w:p>
      <w:pPr>
        <w:pStyle w:val="Tretekstu"/>
        <w:ind w:left="0" w:right="1128" w:firstLine="710"/>
        <w:jc w:val="both"/>
        <w:rPr/>
      </w:pPr>
      <w:r>
        <w:rPr/>
        <w:t>Składowanie materiałów termoplastycznych jest dozwolone tylko w oryginalnych opakowaniach producenta, w warunkach określonych w aprobacie technicznej.</w:t>
      </w:r>
    </w:p>
    <w:p>
      <w:pPr>
        <w:pStyle w:val="Tretekstu"/>
        <w:ind w:left="0" w:right="1123" w:firstLine="710"/>
        <w:jc w:val="both"/>
        <w:rPr/>
      </w:pPr>
      <w:r>
        <w:rPr/>
        <w:t>Do uszczelnienia krawędzi należy stosować asfalt drogowy wg PN-EN 12591 [23], asfalt modyfikowany polimerami wg PN-EN 14023 [64] „metoda na gorąco”. Dopuszcza się inne rodzaje lepiszcza wg norm lub aprobat technicznych.</w:t>
      </w:r>
    </w:p>
    <w:p>
      <w:pPr>
        <w:pStyle w:val="Nagwek1"/>
        <w:numPr>
          <w:ilvl w:val="1"/>
          <w:numId w:val="17"/>
        </w:numPr>
        <w:tabs>
          <w:tab w:val="left" w:pos="747" w:leader="none"/>
        </w:tabs>
        <w:spacing w:lineRule="auto" w:line="240" w:before="125" w:after="0"/>
        <w:ind w:left="746" w:right="0" w:hanging="350"/>
        <w:jc w:val="left"/>
        <w:rPr/>
      </w:pPr>
      <w:r>
        <w:rPr/>
        <w:t xml:space="preserve">Materiały do złączenia warstw </w:t>
      </w:r>
      <w:r>
        <w:rPr>
          <w:spacing w:val="-15"/>
        </w:rPr>
        <w:t>konstrukcji</w:t>
      </w:r>
    </w:p>
    <w:p>
      <w:pPr>
        <w:pStyle w:val="Tretekstu"/>
        <w:spacing w:before="115" w:after="0"/>
        <w:ind w:left="0" w:right="1126" w:firstLine="710"/>
        <w:jc w:val="both"/>
        <w:rPr/>
      </w:pPr>
      <w:r>
        <w:rPr/>
        <w:t>Do złączania warstw konstrukcji nawierzchni (warstwa wiążąca z warstwą ścieralną) należy stosować kationowe emulsje asfaltowe lub kationowe emulsje modyfikowane polimerami według PN-EN 13808 [62] i WT-3 Emulsje asfaltowe 2009 [71] punkt 5.1, tablica 2 i tablica</w:t>
      </w:r>
      <w:r>
        <w:rPr>
          <w:spacing w:val="-3"/>
        </w:rPr>
        <w:t>3.</w:t>
      </w:r>
    </w:p>
    <w:p>
      <w:pPr>
        <w:pStyle w:val="Tretekstu"/>
        <w:spacing w:lineRule="auto" w:line="235" w:before="5" w:after="0"/>
        <w:ind w:left="0" w:right="1125" w:firstLine="710"/>
        <w:jc w:val="both"/>
        <w:rPr/>
      </w:pPr>
      <w:r>
        <w:rPr/>
        <w:t>Kationowe emulsje asfaltowe modyfikowane polimerami (asfalt 70/100 modyfikowany polimerem lub lateksem butadienowo-styrenowym SBR) stosuje się tylko pod cienkie warstwy asfaltowe na gorąco.</w:t>
      </w:r>
    </w:p>
    <w:p>
      <w:pPr>
        <w:pStyle w:val="Tretekstu"/>
        <w:spacing w:before="2" w:after="0"/>
        <w:ind w:left="0" w:right="1129" w:firstLine="710"/>
        <w:jc w:val="both"/>
        <w:rPr/>
      </w:pPr>
      <w:r>
        <w:rPr/>
        <w:t>Emulsję asfaltową można składować w opakowaniach transportowych lub w stacjonarnych zbiornikach pionowych z nalewaniem od dna. Nie należy nalewać emulsji do opakowań i zbiorników zanieczyszczonych materiałami mineralnymi.</w:t>
      </w:r>
    </w:p>
    <w:p>
      <w:pPr>
        <w:pStyle w:val="Nagwek1"/>
        <w:numPr>
          <w:ilvl w:val="1"/>
          <w:numId w:val="17"/>
        </w:numPr>
        <w:tabs>
          <w:tab w:val="left" w:pos="751" w:leader="none"/>
        </w:tabs>
        <w:spacing w:lineRule="auto" w:line="240" w:before="126" w:after="0"/>
        <w:ind w:left="750" w:right="0" w:hanging="354"/>
        <w:jc w:val="left"/>
        <w:rPr/>
      </w:pPr>
      <w:r>
        <w:rPr/>
        <w:t>Dodatki do mieszanki</w:t>
      </w:r>
      <w:r>
        <w:rPr>
          <w:spacing w:val="4"/>
        </w:rPr>
        <w:t>mineralno-asfaltowej</w:t>
      </w:r>
    </w:p>
    <w:p>
      <w:pPr>
        <w:pStyle w:val="Tretekstu"/>
        <w:spacing w:before="116" w:after="0"/>
        <w:ind w:left="0" w:right="1067" w:firstLine="710"/>
        <w:jc w:val="both"/>
        <w:rPr/>
      </w:pPr>
      <w:r>
        <w:rPr/>
        <w:t>Mogą być stosowane dodatki stabilizujące lub modyfikujące. Pochodzenie, rodzaj i właściwości dodatków powinny być deklarowane.</w:t>
      </w:r>
    </w:p>
    <w:p>
      <w:pPr>
        <w:pStyle w:val="Tretekstu"/>
        <w:ind w:left="0" w:right="1065" w:firstLine="710"/>
        <w:jc w:val="both"/>
        <w:rPr/>
      </w:pPr>
      <w:r>
        <w:rPr/>
        <w:t>Należy używać tylko materiałów składowych o ustalonej przydatności. Ustalenie przydatności powinno wynikać co najmniej jednego z następujących dokumentów:</w:t>
      </w:r>
    </w:p>
    <w:p>
      <w:pPr>
        <w:pStyle w:val="ListParagraph"/>
        <w:numPr>
          <w:ilvl w:val="0"/>
          <w:numId w:val="13"/>
        </w:numPr>
        <w:tabs>
          <w:tab w:val="left" w:pos="823" w:leader="none"/>
          <w:tab w:val="left" w:pos="824" w:leader="none"/>
        </w:tabs>
        <w:spacing w:lineRule="auto" w:line="240" w:before="1" w:after="0"/>
        <w:ind w:left="823" w:right="0" w:hanging="360"/>
        <w:jc w:val="left"/>
        <w:rPr>
          <w:sz w:val="16"/>
        </w:rPr>
      </w:pPr>
      <w:r>
        <w:rPr>
          <w:sz w:val="20"/>
        </w:rPr>
        <w:t>Normy</w:t>
      </w:r>
      <w:r>
        <w:rPr>
          <w:spacing w:val="-8"/>
          <w:sz w:val="20"/>
        </w:rPr>
        <w:t>Europejskiej,</w:t>
      </w:r>
    </w:p>
    <w:p>
      <w:pPr>
        <w:pStyle w:val="ListParagraph"/>
        <w:numPr>
          <w:ilvl w:val="0"/>
          <w:numId w:val="13"/>
        </w:numPr>
        <w:tabs>
          <w:tab w:val="left" w:pos="823" w:leader="none"/>
          <w:tab w:val="left" w:pos="824" w:leader="none"/>
        </w:tabs>
        <w:spacing w:lineRule="exact" w:line="228" w:before="1" w:after="0"/>
        <w:ind w:left="823" w:right="0" w:hanging="360"/>
        <w:jc w:val="left"/>
        <w:rPr>
          <w:sz w:val="16"/>
        </w:rPr>
      </w:pPr>
      <w:r>
        <w:rPr>
          <w:sz w:val="20"/>
        </w:rPr>
        <w:t>europejskiej aprobaty</w:t>
      </w:r>
      <w:r>
        <w:rPr>
          <w:spacing w:val="-9"/>
          <w:sz w:val="20"/>
        </w:rPr>
        <w:t>technicznej,</w:t>
      </w:r>
    </w:p>
    <w:p>
      <w:pPr>
        <w:pStyle w:val="ListParagraph"/>
        <w:numPr>
          <w:ilvl w:val="0"/>
          <w:numId w:val="13"/>
        </w:numPr>
        <w:tabs>
          <w:tab w:val="left" w:pos="824" w:leader="none"/>
        </w:tabs>
        <w:spacing w:lineRule="auto" w:line="240" w:before="0" w:after="0"/>
        <w:ind w:left="823" w:right="1068" w:hanging="360"/>
        <w:jc w:val="both"/>
        <w:rPr>
          <w:sz w:val="16"/>
        </w:rPr>
      </w:pPr>
      <w:r>
        <w:rPr>
          <w:sz w:val="20"/>
        </w:rPr>
        <w:t>specyfikacji materiałowych opartych na potwierdzonych pozytywnych zastosowaniach w nawierzchniach asfaltowych.</w:t>
      </w:r>
      <w:r>
        <w:rPr>
          <w:spacing w:val="-3"/>
          <w:sz w:val="20"/>
        </w:rPr>
        <w:t>Wykaz</w:t>
      </w:r>
      <w:r>
        <w:rPr>
          <w:sz w:val="20"/>
        </w:rPr>
        <w:t>należy dostarczyć w celu udowodnienia przydatności.</w:t>
      </w:r>
      <w:r>
        <w:rPr>
          <w:spacing w:val="-3"/>
          <w:sz w:val="20"/>
        </w:rPr>
        <w:t>Wykaz</w:t>
      </w:r>
      <w:r>
        <w:rPr>
          <w:sz w:val="20"/>
        </w:rPr>
        <w:t>może być oparty na badaniach w połączeniu z dowodami w</w:t>
      </w:r>
      <w:r>
        <w:rPr>
          <w:spacing w:val="-6"/>
          <w:sz w:val="20"/>
        </w:rPr>
        <w:t>praktyce.</w:t>
      </w:r>
    </w:p>
    <w:p>
      <w:pPr>
        <w:pStyle w:val="Tretekstu"/>
        <w:ind w:left="0" w:right="1075" w:firstLine="710"/>
        <w:jc w:val="both"/>
        <w:rPr/>
      </w:pPr>
      <w:r>
        <w:rPr/>
        <w:t>Zaleca się stosowanie do mieszanki mineralno-asfaltowej środka obniżającego temperaturę produkcji i układania.</w:t>
      </w:r>
    </w:p>
    <w:p>
      <w:pPr>
        <w:pStyle w:val="Tretekstu"/>
        <w:ind w:left="0" w:right="1064" w:firstLine="710"/>
        <w:jc w:val="both"/>
        <w:rPr/>
      </w:pPr>
      <w:r>
        <w:rPr/>
        <w:t>Do mieszanki mineralno-asfaltowej może być stosowany dodatek asfaltu naturalnego wg PN-EN 13108-4 [51], załącznik B.</w:t>
      </w:r>
    </w:p>
    <w:p>
      <w:pPr>
        <w:pStyle w:val="Nagwek1"/>
        <w:numPr>
          <w:ilvl w:val="1"/>
          <w:numId w:val="17"/>
        </w:numPr>
        <w:tabs>
          <w:tab w:val="left" w:pos="751" w:leader="none"/>
        </w:tabs>
        <w:spacing w:lineRule="auto" w:line="240" w:before="125" w:after="0"/>
        <w:ind w:left="750" w:right="0" w:hanging="354"/>
        <w:jc w:val="left"/>
        <w:rPr/>
      </w:pPr>
      <w:r>
        <w:rPr/>
        <w:t>Skład mieszanki</w:t>
      </w:r>
      <w:r>
        <w:rPr>
          <w:spacing w:val="-1"/>
        </w:rPr>
        <w:t>mineralno-asfaltowej</w:t>
      </w:r>
    </w:p>
    <w:p>
      <w:pPr>
        <w:pStyle w:val="Tretekstu"/>
        <w:spacing w:before="116" w:after="0"/>
        <w:ind w:left="0" w:right="1126" w:firstLine="710"/>
        <w:jc w:val="both"/>
        <w:rPr/>
      </w:pPr>
      <w:r>
        <w:rPr/>
        <w:t>Skład mieszanki mineralno-asfaltowej powinien</w:t>
      </w:r>
      <w:r>
        <w:rPr>
          <w:spacing w:val="-4"/>
        </w:rPr>
        <w:t>być</w:t>
      </w:r>
      <w:r>
        <w:rPr/>
        <w:t>ustalony na podstawie badań</w:t>
      </w:r>
      <w:r>
        <w:rPr>
          <w:spacing w:val="-3"/>
        </w:rPr>
        <w:t>próbek</w:t>
      </w:r>
      <w:r>
        <w:rPr/>
        <w:t>wykonanych zgodnie z normą PN-EN 13108-20 [52] załącznik C oraz normami powiązanymi. Próbki powinny spełniać wymagania podane w tablicach 13, 14 i</w:t>
      </w:r>
      <w:r>
        <w:rPr>
          <w:spacing w:val="-3"/>
        </w:rPr>
        <w:t>15</w:t>
      </w:r>
      <w:r>
        <w:rPr/>
        <w:t>w zależności</w:t>
      </w:r>
      <w:r>
        <w:rPr>
          <w:spacing w:val="-3"/>
        </w:rPr>
        <w:t>od</w:t>
      </w:r>
      <w:r>
        <w:rPr/>
        <w:t>kategorii ruchu, jak i zawartości asfaltu</w:t>
      </w:r>
      <w:r>
        <w:rPr>
          <w:spacing w:val="-3"/>
        </w:rPr>
        <w:t>B</w:t>
      </w:r>
      <w:r>
        <w:rPr>
          <w:spacing w:val="-3"/>
          <w:vertAlign w:val="subscript"/>
        </w:rPr>
        <w:t>min</w:t>
      </w:r>
      <w:r>
        <w:rPr>
          <w:spacing w:val="-3"/>
          <w:position w:val="0"/>
          <w:sz w:val="20"/>
          <w:sz w:val="20"/>
          <w:vertAlign w:val="baseline"/>
        </w:rPr>
        <w:t>i temperatur zagęszczania</w:t>
      </w:r>
      <w:r>
        <w:rPr>
          <w:spacing w:val="-4"/>
          <w:position w:val="0"/>
          <w:sz w:val="20"/>
          <w:sz w:val="20"/>
          <w:vertAlign w:val="baseline"/>
        </w:rPr>
        <w:t>próbek.</w:t>
      </w:r>
    </w:p>
    <w:p>
      <w:pPr>
        <w:pStyle w:val="Tretekstu"/>
        <w:spacing w:lineRule="exact" w:line="227"/>
        <w:ind w:left="1106" w:right="0" w:hanging="0"/>
        <w:rPr/>
      </w:pPr>
      <w:r>
        <w:rPr/>
        <w:t>Uziarnienie mieszanki mineralnej oraz minimalna zawartość lepiszcza podane są w tablicach 12.</w:t>
      </w:r>
    </w:p>
    <w:p>
      <w:pPr>
        <w:pStyle w:val="Tretekstu"/>
        <w:spacing w:before="10" w:after="0"/>
        <w:ind w:left="0" w:right="0" w:hanging="0"/>
        <w:rPr/>
      </w:pPr>
      <w:r>
        <w:rPr/>
      </w:r>
    </w:p>
    <w:p>
      <w:pPr>
        <w:pStyle w:val="Tretekstu"/>
        <w:ind w:left="0" w:right="1124" w:hanging="0"/>
        <w:rPr/>
      </w:pPr>
      <w:r>
        <w:rPr/>
        <w:t>Tablica 12. Uziarnienie mieszanki mineralnej oraz zawartość lepiszcza do betonu asfaltowego do warstwy ścieralnej dla ruchu KR3-KR6 [70]</w:t>
      </w:r>
    </w:p>
    <w:p>
      <w:pPr>
        <w:pStyle w:val="Tretekstu"/>
        <w:spacing w:before="4" w:after="0"/>
        <w:ind w:left="0" w:right="0" w:hanging="0"/>
        <w:rPr>
          <w:sz w:val="11"/>
        </w:rPr>
      </w:pPr>
      <w:r>
        <w:rPr>
          <w:sz w:val="11"/>
        </w:rPr>
      </w:r>
    </w:p>
    <w:tbl>
      <w:tblPr>
        <w:tblW w:w="7814" w:type="dxa"/>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3588"/>
        <w:gridCol w:w="2"/>
        <w:gridCol w:w="2048"/>
        <w:gridCol w:w="227"/>
        <w:gridCol w:w="1949"/>
      </w:tblGrid>
      <w:tr>
        <w:trPr>
          <w:trHeight w:val="230" w:hRule="atLeast"/>
        </w:trPr>
        <w:tc>
          <w:tcPr>
            <w:tcW w:w="359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935" w:right="922" w:hanging="0"/>
              <w:jc w:val="center"/>
              <w:rPr>
                <w:sz w:val="20"/>
              </w:rPr>
            </w:pPr>
            <w:r>
              <w:rPr>
                <w:sz w:val="20"/>
              </w:rPr>
              <w:t>Właściwość</w:t>
            </w:r>
          </w:p>
        </w:tc>
        <w:tc>
          <w:tcPr>
            <w:tcW w:w="422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229" w:right="0" w:hanging="0"/>
              <w:rPr>
                <w:sz w:val="20"/>
              </w:rPr>
            </w:pPr>
            <w:r>
              <w:rPr>
                <w:sz w:val="20"/>
              </w:rPr>
              <w:t>Przesiew, [% (m/m)]</w:t>
            </w:r>
          </w:p>
        </w:tc>
      </w:tr>
      <w:tr>
        <w:trPr>
          <w:trHeight w:val="229" w:hRule="atLeast"/>
        </w:trPr>
        <w:tc>
          <w:tcPr>
            <w:tcW w:w="359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22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795" w:right="1777" w:hanging="0"/>
              <w:jc w:val="center"/>
              <w:rPr>
                <w:b/>
                <w:b/>
                <w:sz w:val="20"/>
              </w:rPr>
            </w:pPr>
            <w:r>
              <w:rPr>
                <w:b/>
                <w:sz w:val="20"/>
              </w:rPr>
              <w:t>AC11S</w:t>
            </w:r>
          </w:p>
        </w:tc>
      </w:tr>
      <w:tr>
        <w:trPr>
          <w:trHeight w:val="230" w:hRule="atLeast"/>
        </w:trPr>
        <w:tc>
          <w:tcPr>
            <w:tcW w:w="35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40" w:right="922" w:hanging="0"/>
              <w:jc w:val="center"/>
              <w:rPr>
                <w:sz w:val="20"/>
              </w:rPr>
            </w:pPr>
            <w:r>
              <w:rPr>
                <w:sz w:val="20"/>
              </w:rPr>
              <w:t>Wymiar sita #, [mm]</w:t>
            </w:r>
          </w:p>
        </w:tc>
        <w:tc>
          <w:tcPr>
            <w:tcW w:w="20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21" w:right="0" w:hanging="0"/>
              <w:rPr>
                <w:b/>
                <w:b/>
                <w:sz w:val="20"/>
              </w:rPr>
            </w:pPr>
            <w:r>
              <w:rPr>
                <w:b/>
                <w:sz w:val="20"/>
              </w:rPr>
              <w:t>od</w:t>
            </w:r>
          </w:p>
        </w:tc>
        <w:tc>
          <w:tcPr>
            <w:tcW w:w="2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17" w:right="901" w:hanging="0"/>
              <w:jc w:val="center"/>
              <w:rPr>
                <w:b/>
                <w:b/>
                <w:sz w:val="20"/>
              </w:rPr>
            </w:pPr>
            <w:r>
              <w:rPr>
                <w:b/>
                <w:sz w:val="20"/>
              </w:rPr>
              <w:t>do</w:t>
            </w:r>
          </w:p>
        </w:tc>
      </w:tr>
      <w:tr>
        <w:trPr>
          <w:trHeight w:val="230" w:hRule="atLeast"/>
        </w:trPr>
        <w:tc>
          <w:tcPr>
            <w:tcW w:w="35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31" w:right="922" w:hanging="0"/>
              <w:jc w:val="center"/>
              <w:rPr>
                <w:sz w:val="20"/>
              </w:rPr>
            </w:pPr>
            <w:r>
              <w:rPr>
                <w:sz w:val="20"/>
              </w:rPr>
              <w:t>16</w:t>
            </w:r>
          </w:p>
        </w:tc>
        <w:tc>
          <w:tcPr>
            <w:tcW w:w="20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878" w:right="0" w:hanging="0"/>
              <w:rPr>
                <w:b/>
                <w:b/>
                <w:sz w:val="20"/>
              </w:rPr>
            </w:pPr>
            <w:r>
              <w:rPr>
                <w:b/>
                <w:sz w:val="20"/>
              </w:rPr>
              <w:t>100</w:t>
            </w:r>
          </w:p>
        </w:tc>
        <w:tc>
          <w:tcPr>
            <w:tcW w:w="2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6" w:right="0" w:hanging="0"/>
              <w:jc w:val="center"/>
              <w:rPr>
                <w:b/>
                <w:b/>
                <w:sz w:val="20"/>
              </w:rPr>
            </w:pPr>
            <w:r>
              <w:rPr>
                <w:b/>
                <w:w w:val="100"/>
                <w:sz w:val="20"/>
              </w:rPr>
              <w:t>-</w:t>
            </w:r>
          </w:p>
        </w:tc>
      </w:tr>
      <w:tr>
        <w:trPr>
          <w:trHeight w:val="230" w:hRule="atLeast"/>
        </w:trPr>
        <w:tc>
          <w:tcPr>
            <w:tcW w:w="35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40" w:right="921" w:hanging="0"/>
              <w:jc w:val="center"/>
              <w:rPr>
                <w:sz w:val="20"/>
              </w:rPr>
            </w:pPr>
            <w:r>
              <w:rPr>
                <w:sz w:val="20"/>
              </w:rPr>
              <w:t>11,2</w:t>
            </w:r>
          </w:p>
        </w:tc>
        <w:tc>
          <w:tcPr>
            <w:tcW w:w="20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26" w:right="0" w:hanging="0"/>
              <w:rPr>
                <w:b/>
                <w:b/>
                <w:sz w:val="20"/>
              </w:rPr>
            </w:pPr>
            <w:r>
              <w:rPr>
                <w:b/>
                <w:sz w:val="20"/>
              </w:rPr>
              <w:t>90</w:t>
            </w:r>
          </w:p>
        </w:tc>
        <w:tc>
          <w:tcPr>
            <w:tcW w:w="2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22" w:right="901" w:hanging="0"/>
              <w:jc w:val="center"/>
              <w:rPr>
                <w:b/>
                <w:b/>
                <w:sz w:val="20"/>
              </w:rPr>
            </w:pPr>
            <w:r>
              <w:rPr>
                <w:b/>
                <w:sz w:val="20"/>
              </w:rPr>
              <w:t>100</w:t>
            </w:r>
          </w:p>
        </w:tc>
      </w:tr>
      <w:tr>
        <w:trPr>
          <w:trHeight w:val="230" w:hRule="atLeast"/>
        </w:trPr>
        <w:tc>
          <w:tcPr>
            <w:tcW w:w="35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4" w:right="0" w:hanging="0"/>
              <w:jc w:val="center"/>
              <w:rPr>
                <w:sz w:val="20"/>
              </w:rPr>
            </w:pPr>
            <w:r>
              <w:rPr>
                <w:w w:val="100"/>
                <w:sz w:val="20"/>
              </w:rPr>
              <w:t>8</w:t>
            </w:r>
          </w:p>
        </w:tc>
        <w:tc>
          <w:tcPr>
            <w:tcW w:w="20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26" w:right="0" w:hanging="0"/>
              <w:rPr>
                <w:b/>
                <w:b/>
                <w:sz w:val="20"/>
              </w:rPr>
            </w:pPr>
            <w:r>
              <w:rPr>
                <w:b/>
                <w:sz w:val="20"/>
              </w:rPr>
              <w:t>60</w:t>
            </w:r>
          </w:p>
        </w:tc>
        <w:tc>
          <w:tcPr>
            <w:tcW w:w="2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17" w:right="901" w:hanging="0"/>
              <w:jc w:val="center"/>
              <w:rPr>
                <w:b/>
                <w:b/>
                <w:sz w:val="20"/>
              </w:rPr>
            </w:pPr>
            <w:r>
              <w:rPr>
                <w:b/>
                <w:sz w:val="20"/>
              </w:rPr>
              <w:t>90</w:t>
            </w:r>
          </w:p>
        </w:tc>
      </w:tr>
      <w:tr>
        <w:trPr>
          <w:trHeight w:val="230" w:hRule="atLeast"/>
        </w:trPr>
        <w:tc>
          <w:tcPr>
            <w:tcW w:w="35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36" w:right="922" w:hanging="0"/>
              <w:jc w:val="center"/>
              <w:rPr>
                <w:sz w:val="20"/>
              </w:rPr>
            </w:pPr>
            <w:r>
              <w:rPr>
                <w:sz w:val="20"/>
              </w:rPr>
              <w:t>5,6</w:t>
            </w:r>
          </w:p>
        </w:tc>
        <w:tc>
          <w:tcPr>
            <w:tcW w:w="20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897" w:right="0" w:hanging="0"/>
              <w:rPr>
                <w:b/>
                <w:b/>
                <w:sz w:val="20"/>
              </w:rPr>
            </w:pPr>
            <w:r>
              <w:rPr>
                <w:b/>
                <w:sz w:val="20"/>
              </w:rPr>
              <w:t>48</w:t>
            </w:r>
          </w:p>
        </w:tc>
        <w:tc>
          <w:tcPr>
            <w:tcW w:w="2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17" w:right="901" w:hanging="0"/>
              <w:jc w:val="center"/>
              <w:rPr>
                <w:b/>
                <w:b/>
                <w:sz w:val="20"/>
              </w:rPr>
            </w:pPr>
            <w:r>
              <w:rPr>
                <w:b/>
                <w:sz w:val="20"/>
              </w:rPr>
              <w:t>75</w:t>
            </w:r>
          </w:p>
        </w:tc>
      </w:tr>
      <w:tr>
        <w:trPr>
          <w:trHeight w:val="230" w:hRule="atLeast"/>
        </w:trPr>
        <w:tc>
          <w:tcPr>
            <w:tcW w:w="3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36" w:right="922" w:hanging="0"/>
              <w:jc w:val="center"/>
              <w:rPr>
                <w:sz w:val="20"/>
              </w:rPr>
            </w:pPr>
            <w:r>
              <w:rPr>
                <w:sz w:val="20"/>
              </w:rPr>
              <w:t>4,0</w:t>
            </w:r>
          </w:p>
        </w:tc>
        <w:tc>
          <w:tcPr>
            <w:tcW w:w="22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036" w:right="0" w:hanging="0"/>
              <w:rPr>
                <w:b/>
                <w:b/>
                <w:sz w:val="20"/>
              </w:rPr>
            </w:pPr>
            <w:r>
              <w:rPr>
                <w:b/>
                <w:sz w:val="20"/>
              </w:rPr>
              <w:t>42</w:t>
            </w:r>
          </w:p>
        </w:tc>
        <w:tc>
          <w:tcPr>
            <w:tcW w:w="19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638" w:right="0" w:hanging="0"/>
              <w:rPr>
                <w:b/>
                <w:b/>
                <w:sz w:val="20"/>
              </w:rPr>
            </w:pPr>
            <w:r>
              <w:rPr>
                <w:b/>
                <w:sz w:val="20"/>
              </w:rPr>
              <w:t>60</w:t>
            </w:r>
          </w:p>
        </w:tc>
      </w:tr>
      <w:tr>
        <w:trPr>
          <w:trHeight w:val="230" w:hRule="atLeast"/>
        </w:trPr>
        <w:tc>
          <w:tcPr>
            <w:tcW w:w="3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4" w:right="0" w:hanging="0"/>
              <w:jc w:val="center"/>
              <w:rPr>
                <w:sz w:val="20"/>
              </w:rPr>
            </w:pPr>
            <w:r>
              <w:rPr>
                <w:w w:val="100"/>
                <w:sz w:val="20"/>
              </w:rPr>
              <w:t>2</w:t>
            </w:r>
          </w:p>
        </w:tc>
        <w:tc>
          <w:tcPr>
            <w:tcW w:w="22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036" w:right="0" w:hanging="0"/>
              <w:rPr>
                <w:b/>
                <w:b/>
                <w:sz w:val="20"/>
              </w:rPr>
            </w:pPr>
            <w:r>
              <w:rPr>
                <w:b/>
                <w:sz w:val="20"/>
              </w:rPr>
              <w:t>35</w:t>
            </w:r>
          </w:p>
        </w:tc>
        <w:tc>
          <w:tcPr>
            <w:tcW w:w="19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775" w:right="765" w:hanging="0"/>
              <w:jc w:val="center"/>
              <w:rPr>
                <w:b/>
                <w:b/>
                <w:sz w:val="20"/>
              </w:rPr>
            </w:pPr>
            <w:r>
              <w:rPr>
                <w:b/>
                <w:sz w:val="20"/>
              </w:rPr>
              <w:t>50</w:t>
            </w:r>
          </w:p>
        </w:tc>
      </w:tr>
      <w:tr>
        <w:trPr>
          <w:trHeight w:val="230" w:hRule="atLeast"/>
        </w:trPr>
        <w:tc>
          <w:tcPr>
            <w:tcW w:w="3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36" w:right="922" w:hanging="0"/>
              <w:jc w:val="center"/>
              <w:rPr>
                <w:sz w:val="20"/>
              </w:rPr>
            </w:pPr>
            <w:r>
              <w:rPr>
                <w:sz w:val="20"/>
              </w:rPr>
              <w:t>0,125</w:t>
            </w:r>
          </w:p>
        </w:tc>
        <w:tc>
          <w:tcPr>
            <w:tcW w:w="22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089" w:right="0" w:hanging="0"/>
              <w:rPr>
                <w:b/>
                <w:b/>
                <w:sz w:val="20"/>
              </w:rPr>
            </w:pPr>
            <w:r>
              <w:rPr>
                <w:b/>
                <w:w w:val="100"/>
                <w:sz w:val="20"/>
              </w:rPr>
              <w:t>8</w:t>
            </w:r>
          </w:p>
        </w:tc>
        <w:tc>
          <w:tcPr>
            <w:tcW w:w="19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775" w:right="765" w:hanging="0"/>
              <w:jc w:val="center"/>
              <w:rPr>
                <w:b/>
                <w:b/>
                <w:sz w:val="20"/>
              </w:rPr>
            </w:pPr>
            <w:r>
              <w:rPr>
                <w:b/>
                <w:sz w:val="20"/>
              </w:rPr>
              <w:t>20</w:t>
            </w:r>
          </w:p>
        </w:tc>
      </w:tr>
      <w:tr>
        <w:trPr>
          <w:trHeight w:val="230" w:hRule="atLeast"/>
        </w:trPr>
        <w:tc>
          <w:tcPr>
            <w:tcW w:w="3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936" w:right="922" w:hanging="0"/>
              <w:jc w:val="center"/>
              <w:rPr>
                <w:sz w:val="20"/>
              </w:rPr>
            </w:pPr>
            <w:r>
              <w:rPr>
                <w:sz w:val="20"/>
              </w:rPr>
              <w:t>0,063</w:t>
            </w:r>
          </w:p>
        </w:tc>
        <w:tc>
          <w:tcPr>
            <w:tcW w:w="22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1089" w:right="0" w:hanging="0"/>
              <w:rPr>
                <w:b/>
                <w:b/>
                <w:sz w:val="20"/>
              </w:rPr>
            </w:pPr>
            <w:r>
              <w:rPr>
                <w:b/>
                <w:w w:val="100"/>
                <w:sz w:val="20"/>
              </w:rPr>
              <w:t>5</w:t>
            </w:r>
          </w:p>
        </w:tc>
        <w:tc>
          <w:tcPr>
            <w:tcW w:w="19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784" w:right="765" w:hanging="0"/>
              <w:jc w:val="center"/>
              <w:rPr>
                <w:b/>
                <w:b/>
                <w:sz w:val="20"/>
              </w:rPr>
            </w:pPr>
            <w:r>
              <w:rPr>
                <w:b/>
                <w:sz w:val="20"/>
              </w:rPr>
              <w:t>11,0</w:t>
            </w:r>
          </w:p>
        </w:tc>
      </w:tr>
      <w:tr>
        <w:trPr>
          <w:trHeight w:val="350" w:hRule="atLeast"/>
        </w:trPr>
        <w:tc>
          <w:tcPr>
            <w:tcW w:w="3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9" w:after="0"/>
              <w:ind w:left="110" w:right="0" w:hanging="0"/>
              <w:rPr>
                <w:sz w:val="20"/>
              </w:rPr>
            </w:pPr>
            <w:r>
              <w:rPr>
                <w:sz w:val="20"/>
              </w:rPr>
              <w:t>Zawartość lepiszcza, minimum</w:t>
            </w:r>
            <w:r>
              <w:rPr>
                <w:sz w:val="20"/>
                <w:vertAlign w:val="superscript"/>
              </w:rPr>
              <w:t>*)</w:t>
            </w:r>
          </w:p>
        </w:tc>
        <w:tc>
          <w:tcPr>
            <w:tcW w:w="422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3" w:after="0"/>
              <w:ind w:left="1834" w:right="1827" w:hanging="0"/>
              <w:jc w:val="center"/>
              <w:rPr>
                <w:b/>
                <w:b/>
                <w:sz w:val="13"/>
              </w:rPr>
            </w:pPr>
            <w:r>
              <w:rPr>
                <w:b/>
                <w:position w:val="3"/>
                <w:sz w:val="20"/>
              </w:rPr>
              <w:t>B</w:t>
            </w:r>
            <w:r>
              <w:rPr>
                <w:b/>
                <w:sz w:val="13"/>
              </w:rPr>
              <w:t>min5,8</w:t>
            </w:r>
          </w:p>
        </w:tc>
      </w:tr>
      <w:tr>
        <w:trPr>
          <w:trHeight w:val="1617" w:hRule="atLeast"/>
        </w:trPr>
        <w:tc>
          <w:tcPr>
            <w:tcW w:w="781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2"/>
              <w:ind w:left="110" w:right="0" w:hanging="0"/>
              <w:rPr/>
            </w:pPr>
            <w:r>
              <w:rPr>
                <w:position w:val="9"/>
                <w:sz w:val="13"/>
              </w:rPr>
              <w:t>*)</w:t>
            </w:r>
            <w:r>
              <w:rPr>
                <w:sz w:val="20"/>
              </w:rPr>
              <w:t>Minimalna   zawartość   lepiszcza</w:t>
            </w:r>
            <w:r>
              <w:rPr>
                <w:spacing w:val="-3"/>
                <w:sz w:val="20"/>
              </w:rPr>
              <w:t>jest</w:t>
            </w:r>
            <w:r>
              <w:rPr>
                <w:sz w:val="20"/>
              </w:rPr>
              <w:t xml:space="preserve">określona   przy   założonej   gęstości </w:t>
            </w:r>
            <w:r>
              <w:rPr>
                <w:spacing w:val="44"/>
                <w:sz w:val="20"/>
              </w:rPr>
              <w:t xml:space="preserve">mieszanki </w:t>
            </w:r>
            <w:r>
              <w:rPr>
                <w:sz w:val="20"/>
              </w:rPr>
              <w:t>mineralnej 2,650 Mg/m</w:t>
            </w:r>
            <w:r>
              <w:rPr>
                <w:sz w:val="20"/>
                <w:vertAlign w:val="superscript"/>
              </w:rPr>
              <w:t>3</w:t>
            </w:r>
            <w:r>
              <w:rPr>
                <w:position w:val="0"/>
                <w:sz w:val="20"/>
                <w:sz w:val="20"/>
                <w:vertAlign w:val="baseline"/>
              </w:rPr>
              <w:t>. Jeżeli stosowana mieszanka mineralna ma inną gęstość (</w:t>
            </w:r>
            <w:bookmarkStart w:id="0" w:name="__DdeLink__1965_333814281"/>
            <w:r>
              <w:rPr>
                <w:i/>
                <w:position w:val="0"/>
                <w:sz w:val="20"/>
                <w:sz w:val="20"/>
                <w:vertAlign w:val="baseline"/>
              </w:rPr>
              <w:t>ρ</w:t>
            </w:r>
            <w:r>
              <w:rPr>
                <w:sz w:val="20"/>
                <w:vertAlign w:val="subscript"/>
              </w:rPr>
              <w:t>d</w:t>
            </w:r>
            <w:bookmarkEnd w:id="0"/>
            <w:r>
              <w:rPr>
                <w:position w:val="0"/>
                <w:sz w:val="20"/>
                <w:sz w:val="20"/>
                <w:vertAlign w:val="baseline"/>
              </w:rPr>
              <w:t xml:space="preserve">), to do </w:t>
            </w:r>
            <w:r>
              <w:rPr>
                <w:spacing w:val="9"/>
                <w:position w:val="0"/>
                <w:sz w:val="20"/>
                <w:sz w:val="20"/>
                <w:vertAlign w:val="baseline"/>
              </w:rPr>
              <w:t xml:space="preserve">wyznaczenia </w:t>
            </w:r>
            <w:r>
              <w:rPr>
                <w:spacing w:val="16"/>
                <w:position w:val="0"/>
                <w:sz w:val="20"/>
                <w:sz w:val="20"/>
                <w:vertAlign w:val="baseline"/>
              </w:rPr>
              <w:t xml:space="preserve">minimalnej </w:t>
            </w:r>
            <w:r>
              <w:rPr>
                <w:spacing w:val="11"/>
                <w:position w:val="0"/>
                <w:sz w:val="20"/>
                <w:sz w:val="20"/>
                <w:vertAlign w:val="baseline"/>
              </w:rPr>
              <w:t xml:space="preserve">zawartości </w:t>
            </w:r>
            <w:r>
              <w:rPr>
                <w:spacing w:val="16"/>
                <w:position w:val="0"/>
                <w:sz w:val="20"/>
                <w:sz w:val="20"/>
                <w:vertAlign w:val="baseline"/>
              </w:rPr>
              <w:t xml:space="preserve">lepiszcza </w:t>
            </w:r>
            <w:r>
              <w:rPr>
                <w:spacing w:val="15"/>
                <w:position w:val="0"/>
                <w:sz w:val="20"/>
                <w:sz w:val="20"/>
                <w:vertAlign w:val="baseline"/>
              </w:rPr>
              <w:t xml:space="preserve">podaną </w:t>
            </w:r>
            <w:r>
              <w:rPr>
                <w:spacing w:val="16"/>
                <w:position w:val="0"/>
                <w:sz w:val="20"/>
                <w:sz w:val="20"/>
                <w:vertAlign w:val="baseline"/>
              </w:rPr>
              <w:t xml:space="preserve">wartość </w:t>
            </w:r>
            <w:r>
              <w:rPr>
                <w:spacing w:val="12"/>
                <w:position w:val="0"/>
                <w:sz w:val="20"/>
                <w:sz w:val="20"/>
                <w:vertAlign w:val="baseline"/>
              </w:rPr>
              <w:t xml:space="preserve">należy </w:t>
            </w:r>
            <w:r>
              <w:rPr>
                <w:spacing w:val="5"/>
                <w:position w:val="0"/>
                <w:sz w:val="20"/>
                <w:sz w:val="20"/>
                <w:vertAlign w:val="baseline"/>
              </w:rPr>
              <w:t xml:space="preserve">pomnożyć </w:t>
            </w:r>
            <w:r>
              <w:rPr>
                <w:spacing w:val="12"/>
                <w:position w:val="0"/>
                <w:sz w:val="20"/>
                <w:sz w:val="20"/>
                <w:vertAlign w:val="baseline"/>
              </w:rPr>
              <w:t xml:space="preserve">przez </w:t>
            </w:r>
            <w:r>
              <w:rPr>
                <w:sz w:val="20"/>
              </w:rPr>
              <w:t xml:space="preserve">współczynnik </w:t>
            </w:r>
            <w:r>
              <w:rPr>
                <w:rFonts w:eastAsia="Times New Roman" w:cs="Times New Roman"/>
                <w:sz w:val="20"/>
              </w:rPr>
              <w:t>α</w:t>
            </w:r>
            <w:r>
              <w:rPr>
                <w:rFonts w:ascii="Verdana" w:hAnsi="Verdana"/>
                <w:i/>
                <w:sz w:val="25"/>
              </w:rPr>
              <w:t xml:space="preserve"> </w:t>
            </w:r>
            <w:r>
              <w:rPr>
                <w:sz w:val="20"/>
              </w:rPr>
              <w:t xml:space="preserve">według równania: </w:t>
            </w:r>
            <w:r>
              <w:rPr>
                <w:rFonts w:eastAsia="Times New Roman" w:cs="Times New Roman"/>
                <w:sz w:val="20"/>
              </w:rPr>
              <w:t xml:space="preserve">α = 2,650/ </w:t>
            </w:r>
            <w:r>
              <w:rPr>
                <w:rFonts w:eastAsia="Times New Roman" w:cs="Times New Roman"/>
                <w:i/>
                <w:position w:val="0"/>
                <w:sz w:val="20"/>
                <w:sz w:val="20"/>
                <w:vertAlign w:val="baseline"/>
              </w:rPr>
              <w:t>ρ</w:t>
            </w:r>
            <w:r>
              <w:rPr>
                <w:rFonts w:eastAsia="Times New Roman" w:cs="Times New Roman"/>
                <w:sz w:val="20"/>
                <w:vertAlign w:val="subscript"/>
              </w:rPr>
              <w:t>d</w:t>
            </w:r>
          </w:p>
          <w:p>
            <w:pPr>
              <w:pStyle w:val="TableParagraph"/>
              <w:spacing w:lineRule="exact" w:line="212"/>
              <w:ind w:left="110" w:right="0" w:hanging="0"/>
              <w:jc w:val="center"/>
              <w:rPr>
                <w:rFonts w:ascii="Times New Roman" w:hAnsi="Times New Roman" w:eastAsia="Times New Roman" w:cs="Times New Roman"/>
                <w:w w:val="90"/>
              </w:rPr>
            </w:pPr>
            <w:r>
              <w:rPr>
                <w:rFonts w:eastAsia="Times New Roman" w:cs="Times New Roman"/>
                <w:w w:val="90"/>
              </w:rPr>
            </w:r>
          </w:p>
        </w:tc>
      </w:tr>
    </w:tbl>
    <w:p>
      <w:pPr>
        <w:sectPr>
          <w:type w:val="nextPage"/>
          <w:pgSz w:w="11906" w:h="16838"/>
          <w:pgMar w:left="1020" w:right="0" w:header="0" w:top="760" w:footer="0" w:bottom="280" w:gutter="0"/>
          <w:pgNumType w:fmt="decimal"/>
          <w:formProt w:val="false"/>
          <w:textDirection w:val="lrTb"/>
          <w:docGrid w:type="default" w:linePitch="100" w:charSpace="4096"/>
        </w:sectPr>
      </w:pPr>
    </w:p>
    <w:p>
      <w:pPr>
        <w:pStyle w:val="Nagwek1"/>
        <w:numPr>
          <w:ilvl w:val="1"/>
          <w:numId w:val="17"/>
        </w:numPr>
        <w:tabs>
          <w:tab w:val="left" w:pos="751" w:leader="none"/>
        </w:tabs>
        <w:spacing w:lineRule="auto" w:line="240" w:before="107" w:after="0"/>
        <w:ind w:left="750" w:right="0" w:hanging="354"/>
        <w:jc w:val="left"/>
        <w:rPr/>
      </w:pPr>
      <w:r>
        <mc:AlternateContent>
          <mc:Choice Requires="wps">
            <w:drawing>
              <wp:anchor behindDoc="1" distT="0" distB="0" distL="114300" distR="114300" simplePos="0" locked="0" layoutInCell="1" allowOverlap="1" relativeHeight="2">
                <wp:simplePos x="0" y="0"/>
                <wp:positionH relativeFrom="page">
                  <wp:posOffset>3307080</wp:posOffset>
                </wp:positionH>
                <wp:positionV relativeFrom="paragraph">
                  <wp:posOffset>-234315</wp:posOffset>
                </wp:positionV>
                <wp:extent cx="180975" cy="3175"/>
                <wp:effectExtent l="0" t="0" r="0" b="0"/>
                <wp:wrapNone/>
                <wp:docPr id="1" name="Obraz1"/>
                <a:graphic xmlns:a="http://schemas.openxmlformats.org/drawingml/2006/main">
                  <a:graphicData uri="http://schemas.microsoft.com/office/word/2010/wordprocessingShape">
                    <wps:wsp>
                      <wps:cNvSpPr/>
                      <wps:spPr>
                        <a:xfrm>
                          <a:off x="0" y="0"/>
                          <a:ext cx="180360" cy="144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260.4pt,-18.5pt" to="274.55pt,-18.45pt" ID="Obraz1" stroked="t" style="position:absolute;mso-position-horizontal-relative:page">
                <v:stroke color="black" weight="6480" joinstyle="round" endcap="flat"/>
                <v:fill o:detectmouseclick="t" on="false"/>
              </v:line>
            </w:pict>
          </mc:Fallback>
        </mc:AlternateContent>
      </w:r>
      <w:r>
        <w:rPr/>
        <w:t xml:space="preserve">Właściwości mieszaki mineralno-asfaltowej do wykonania betonu asfaltowego do warstwy </w:t>
      </w:r>
      <w:r>
        <w:rPr>
          <w:spacing w:val="-12"/>
        </w:rPr>
        <w:t>ścieralnej</w:t>
      </w:r>
    </w:p>
    <w:p>
      <w:pPr>
        <w:pStyle w:val="Tretekstu"/>
        <w:spacing w:before="115" w:after="0"/>
        <w:ind w:left="1106" w:right="0" w:hanging="0"/>
        <w:rPr/>
      </w:pPr>
      <w:r>
        <w:rPr/>
        <w:t>Wymagane właściwości mieszanki mineralno-asfaltowej podane są w tablicach 14.</w:t>
      </w:r>
    </w:p>
    <w:p>
      <w:pPr>
        <w:pStyle w:val="Tretekstu"/>
        <w:spacing w:before="10" w:after="0"/>
        <w:ind w:left="0" w:right="0" w:hanging="0"/>
        <w:rPr/>
      </w:pPr>
      <w:r>
        <w:rPr/>
      </w:r>
    </w:p>
    <w:p>
      <w:pPr>
        <w:pStyle w:val="Tretekstu"/>
        <w:spacing w:before="1" w:after="0"/>
        <w:ind w:left="1836" w:right="1124" w:hanging="1440"/>
        <w:rPr/>
      </w:pPr>
      <w:r>
        <w:rPr/>
        <w:t>Tablica 14. Wymagane właściwości mieszanki mineralno-asfaltowej do warstwy ścieralnej, dla ruchu KR3 ÷ KR4 [70]</w:t>
      </w:r>
    </w:p>
    <w:p>
      <w:pPr>
        <w:pStyle w:val="Tretekstu"/>
        <w:spacing w:before="3" w:after="0"/>
        <w:ind w:left="0" w:right="0" w:hanging="0"/>
        <w:rPr>
          <w:sz w:val="11"/>
        </w:rPr>
      </w:pPr>
      <w:r>
        <w:rPr>
          <w:sz w:val="11"/>
        </w:rPr>
      </w:r>
    </w:p>
    <w:tbl>
      <w:tblPr>
        <w:tblW w:w="8796" w:type="dxa"/>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1906"/>
        <w:gridCol w:w="1571"/>
        <w:gridCol w:w="3351"/>
        <w:gridCol w:w="974"/>
        <w:gridCol w:w="994"/>
      </w:tblGrid>
      <w:tr>
        <w:trPr>
          <w:trHeight w:val="921" w:hRule="atLeast"/>
        </w:trPr>
        <w:tc>
          <w:tcPr>
            <w:tcW w:w="19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475" w:right="0" w:hanging="0"/>
              <w:rPr>
                <w:sz w:val="20"/>
              </w:rPr>
            </w:pPr>
            <w:r>
              <w:rPr>
                <w:sz w:val="20"/>
              </w:rPr>
              <w:t>Właściwość</w:t>
            </w:r>
          </w:p>
        </w:tc>
        <w:tc>
          <w:tcPr>
            <w:tcW w:w="15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15" w:right="102" w:firstLine="8"/>
              <w:jc w:val="center"/>
              <w:rPr>
                <w:sz w:val="20"/>
              </w:rPr>
            </w:pPr>
            <w:r>
              <w:rPr>
                <w:sz w:val="20"/>
              </w:rPr>
              <w:t>Warunki zagęszczania wg PN-EN</w:t>
            </w:r>
          </w:p>
          <w:p>
            <w:pPr>
              <w:pStyle w:val="TableParagraph"/>
              <w:spacing w:lineRule="exact" w:line="219"/>
              <w:ind w:left="194" w:right="174" w:hanging="0"/>
              <w:jc w:val="center"/>
              <w:rPr>
                <w:sz w:val="20"/>
              </w:rPr>
            </w:pPr>
            <w:r>
              <w:rPr>
                <w:sz w:val="20"/>
              </w:rPr>
              <w:t>13108-20 [52]</w:t>
            </w:r>
          </w:p>
        </w:tc>
        <w:tc>
          <w:tcPr>
            <w:tcW w:w="33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14" w:right="0" w:hanging="0"/>
              <w:jc w:val="center"/>
              <w:rPr>
                <w:sz w:val="20"/>
              </w:rPr>
            </w:pPr>
            <w:r>
              <w:rPr>
                <w:sz w:val="20"/>
              </w:rPr>
              <w:t>Metoda i warunki badania</w:t>
            </w:r>
          </w:p>
        </w:tc>
        <w:tc>
          <w:tcPr>
            <w:tcW w:w="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206" w:right="187" w:hanging="0"/>
              <w:jc w:val="center"/>
              <w:rPr>
                <w:sz w:val="20"/>
              </w:rPr>
            </w:pPr>
            <w:r>
              <w:rPr>
                <w:sz w:val="20"/>
              </w:rPr>
              <w:t>AC8S</w:t>
            </w:r>
          </w:p>
        </w:tc>
        <w:tc>
          <w:tcPr>
            <w:tcW w:w="9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203" w:right="0" w:hanging="0"/>
              <w:rPr>
                <w:sz w:val="20"/>
              </w:rPr>
            </w:pPr>
            <w:r>
              <w:rPr>
                <w:sz w:val="20"/>
              </w:rPr>
              <w:t>AC11S</w:t>
            </w:r>
          </w:p>
        </w:tc>
      </w:tr>
      <w:tr>
        <w:trPr>
          <w:trHeight w:val="686" w:hRule="atLeast"/>
        </w:trPr>
        <w:tc>
          <w:tcPr>
            <w:tcW w:w="19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6" w:after="0"/>
              <w:ind w:left="110" w:right="0" w:hanging="0"/>
              <w:rPr>
                <w:sz w:val="20"/>
              </w:rPr>
            </w:pPr>
            <w:r>
              <w:rPr>
                <w:sz w:val="20"/>
              </w:rPr>
              <w:t>Zawartość wolnych przestrzeni</w:t>
            </w:r>
          </w:p>
        </w:tc>
        <w:tc>
          <w:tcPr>
            <w:tcW w:w="15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110" w:right="0" w:hanging="0"/>
              <w:rPr>
                <w:sz w:val="20"/>
              </w:rPr>
            </w:pPr>
            <w:r>
              <w:rPr>
                <w:sz w:val="20"/>
              </w:rPr>
              <w:t>C.1.2,</w:t>
            </w:r>
          </w:p>
          <w:p>
            <w:pPr>
              <w:pStyle w:val="TableParagraph"/>
              <w:tabs>
                <w:tab w:val="left" w:pos="1056" w:leader="none"/>
              </w:tabs>
              <w:spacing w:lineRule="atLeast" w:line="230"/>
              <w:ind w:left="110" w:right="88" w:hanging="0"/>
              <w:rPr>
                <w:sz w:val="20"/>
              </w:rPr>
            </w:pPr>
            <w:r>
              <w:rPr>
                <w:sz w:val="20"/>
              </w:rPr>
              <w:t>ubijanie,</w:t>
              <w:tab/>
            </w:r>
            <w:r>
              <w:rPr>
                <w:spacing w:val="-1"/>
                <w:sz w:val="20"/>
              </w:rPr>
              <w:t>2×75</w:t>
            </w:r>
            <w:r>
              <w:rPr>
                <w:sz w:val="20"/>
              </w:rPr>
              <w:t>uderzeń</w:t>
            </w:r>
          </w:p>
        </w:tc>
        <w:tc>
          <w:tcPr>
            <w:tcW w:w="33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21" w:right="0" w:hanging="0"/>
              <w:jc w:val="center"/>
              <w:rPr>
                <w:sz w:val="20"/>
              </w:rPr>
            </w:pPr>
            <w:r>
              <w:rPr>
                <w:sz w:val="20"/>
              </w:rPr>
              <w:t>PN-EN 12697-8 [35], p. 4</w:t>
            </w:r>
          </w:p>
        </w:tc>
        <w:tc>
          <w:tcPr>
            <w:tcW w:w="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18" w:before="116" w:after="0"/>
              <w:ind w:left="284" w:right="212" w:hanging="39"/>
              <w:rPr>
                <w:sz w:val="13"/>
              </w:rPr>
            </w:pPr>
            <w:r>
              <w:rPr>
                <w:i/>
                <w:position w:val="3"/>
                <w:sz w:val="20"/>
              </w:rPr>
              <w:t>V</w:t>
            </w:r>
            <w:r>
              <w:rPr>
                <w:sz w:val="13"/>
              </w:rPr>
              <w:t>min2,0</w:t>
            </w:r>
            <w:r>
              <w:rPr>
                <w:i/>
                <w:position w:val="3"/>
                <w:sz w:val="20"/>
              </w:rPr>
              <w:t>V</w:t>
            </w:r>
            <w:r>
              <w:rPr>
                <w:sz w:val="13"/>
              </w:rPr>
              <w:t>max4</w:t>
            </w:r>
          </w:p>
        </w:tc>
        <w:tc>
          <w:tcPr>
            <w:tcW w:w="9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18" w:before="116" w:after="0"/>
              <w:ind w:left="294" w:right="221" w:hanging="39"/>
              <w:rPr>
                <w:sz w:val="13"/>
              </w:rPr>
            </w:pPr>
            <w:r>
              <w:rPr>
                <w:i/>
                <w:position w:val="3"/>
                <w:sz w:val="20"/>
              </w:rPr>
              <w:t>V</w:t>
            </w:r>
            <w:r>
              <w:rPr>
                <w:sz w:val="13"/>
              </w:rPr>
              <w:t>min2,0</w:t>
            </w:r>
            <w:r>
              <w:rPr>
                <w:i/>
                <w:position w:val="3"/>
                <w:sz w:val="20"/>
              </w:rPr>
              <w:t>V</w:t>
            </w:r>
            <w:r>
              <w:rPr>
                <w:sz w:val="13"/>
              </w:rPr>
              <w:t>max4</w:t>
            </w:r>
          </w:p>
        </w:tc>
      </w:tr>
      <w:tr>
        <w:trPr>
          <w:trHeight w:val="921" w:hRule="atLeast"/>
        </w:trPr>
        <w:tc>
          <w:tcPr>
            <w:tcW w:w="19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18" w:before="117" w:after="0"/>
              <w:ind w:left="110" w:right="137" w:hanging="0"/>
              <w:rPr>
                <w:sz w:val="13"/>
              </w:rPr>
            </w:pPr>
            <w:r>
              <w:rPr>
                <w:sz w:val="20"/>
              </w:rPr>
              <w:t>Odporność na deformacje trwałe</w:t>
            </w:r>
            <w:r>
              <w:rPr>
                <w:sz w:val="20"/>
                <w:vertAlign w:val="superscript"/>
              </w:rPr>
              <w:t>a),</w:t>
            </w:r>
            <w:r>
              <w:rPr>
                <w:position w:val="0"/>
                <w:sz w:val="13"/>
                <w:sz w:val="13"/>
                <w:vertAlign w:val="baseline"/>
              </w:rPr>
              <w:t>c)</w:t>
            </w:r>
          </w:p>
        </w:tc>
        <w:tc>
          <w:tcPr>
            <w:tcW w:w="15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6" w:after="0"/>
              <w:ind w:left="110" w:right="0" w:hanging="0"/>
              <w:rPr>
                <w:sz w:val="20"/>
              </w:rPr>
            </w:pPr>
            <w:r>
              <w:rPr>
                <w:sz w:val="20"/>
              </w:rPr>
              <w:t>C.1.20,</w:t>
            </w:r>
          </w:p>
          <w:p>
            <w:pPr>
              <w:pStyle w:val="TableParagraph"/>
              <w:ind w:left="110" w:right="527" w:hanging="0"/>
              <w:rPr>
                <w:sz w:val="13"/>
              </w:rPr>
            </w:pPr>
            <w:r>
              <w:rPr>
                <w:spacing w:val="-1"/>
                <w:sz w:val="20"/>
              </w:rPr>
              <w:t>wałowanie,</w:t>
            </w:r>
            <w:r>
              <w:rPr>
                <w:position w:val="3"/>
                <w:sz w:val="20"/>
              </w:rPr>
              <w:t>P</w:t>
            </w:r>
            <w:r>
              <w:rPr>
                <w:sz w:val="13"/>
              </w:rPr>
              <w:t>98</w:t>
            </w:r>
            <w:r>
              <w:rPr>
                <w:position w:val="3"/>
                <w:sz w:val="20"/>
              </w:rPr>
              <w:t>-P</w:t>
            </w:r>
            <w:r>
              <w:rPr>
                <w:sz w:val="13"/>
              </w:rPr>
              <w:t>100</w:t>
            </w:r>
          </w:p>
        </w:tc>
        <w:tc>
          <w:tcPr>
            <w:tcW w:w="33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tabs>
                <w:tab w:val="left" w:pos="2988" w:leader="none"/>
              </w:tabs>
              <w:spacing w:before="106" w:after="0"/>
              <w:ind w:left="22" w:right="0" w:hanging="0"/>
              <w:jc w:val="center"/>
              <w:rPr>
                <w:sz w:val="20"/>
              </w:rPr>
            </w:pPr>
            <w:r>
              <w:rPr>
                <w:sz w:val="20"/>
              </w:rPr>
              <w:t>PN-EN 12697-22[40],</w:t>
            </w:r>
            <w:r>
              <w:rPr>
                <w:spacing w:val="-4"/>
                <w:sz w:val="20"/>
              </w:rPr>
              <w:t>metoda</w:t>
            </w:r>
            <w:r>
              <w:rPr>
                <w:spacing w:val="4"/>
                <w:sz w:val="20"/>
              </w:rPr>
              <w:t>B</w:t>
            </w:r>
            <w:r>
              <w:rPr>
                <w:sz w:val="20"/>
              </w:rPr>
              <w:tab/>
              <w:t>w</w:t>
            </w:r>
          </w:p>
          <w:p>
            <w:pPr>
              <w:pStyle w:val="TableParagraph"/>
              <w:ind w:left="19" w:right="0" w:hanging="0"/>
              <w:jc w:val="center"/>
              <w:rPr>
                <w:sz w:val="20"/>
              </w:rPr>
            </w:pPr>
            <w:r>
              <w:rPr>
                <w:sz w:val="20"/>
              </w:rPr>
              <w:t>powietrzu, PN-EN</w:t>
            </w:r>
            <w:r>
              <w:rPr>
                <w:spacing w:val="-3"/>
                <w:sz w:val="20"/>
              </w:rPr>
              <w:t>13108-20,</w:t>
            </w:r>
          </w:p>
          <w:p>
            <w:pPr>
              <w:pStyle w:val="TableParagraph"/>
              <w:ind w:left="15" w:right="0" w:hanging="0"/>
              <w:jc w:val="center"/>
              <w:rPr>
                <w:sz w:val="20"/>
              </w:rPr>
            </w:pPr>
            <w:r>
              <w:rPr>
                <w:sz w:val="20"/>
              </w:rPr>
              <w:t>D.1.6,60°C, 10 000</w:t>
            </w:r>
            <w:r>
              <w:rPr>
                <w:spacing w:val="-3"/>
                <w:sz w:val="20"/>
              </w:rPr>
              <w:t>cykli</w:t>
            </w:r>
            <w:r>
              <w:rPr>
                <w:spacing w:val="12"/>
                <w:sz w:val="20"/>
              </w:rPr>
              <w:t>[52]</w:t>
            </w:r>
          </w:p>
        </w:tc>
        <w:tc>
          <w:tcPr>
            <w:tcW w:w="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0"/>
              <w:ind w:left="111" w:right="0" w:hanging="0"/>
              <w:rPr>
                <w:sz w:val="13"/>
              </w:rPr>
            </w:pPr>
            <w:r>
              <w:rPr>
                <w:i/>
                <w:sz w:val="20"/>
              </w:rPr>
              <w:t>WTS</w:t>
            </w:r>
            <w:r>
              <w:rPr>
                <w:sz w:val="13"/>
              </w:rPr>
              <w:t>AIR</w:t>
            </w:r>
          </w:p>
          <w:p>
            <w:pPr>
              <w:pStyle w:val="TableParagraph"/>
              <w:spacing w:lineRule="exact" w:line="142" w:before="75" w:after="0"/>
              <w:ind w:left="111" w:right="0" w:hanging="0"/>
              <w:rPr>
                <w:sz w:val="13"/>
              </w:rPr>
            </w:pPr>
            <w:r>
              <w:rPr>
                <w:sz w:val="13"/>
              </w:rPr>
              <w:t>0,15</w:t>
            </w:r>
          </w:p>
          <w:p>
            <w:pPr>
              <w:pStyle w:val="TableParagraph"/>
              <w:spacing w:lineRule="exact" w:line="238"/>
              <w:ind w:left="111" w:right="0" w:hanging="0"/>
              <w:rPr>
                <w:sz w:val="13"/>
              </w:rPr>
            </w:pPr>
            <w:r>
              <w:rPr>
                <w:i/>
                <w:position w:val="3"/>
                <w:sz w:val="20"/>
              </w:rPr>
              <w:t>PRD</w:t>
            </w:r>
            <w:r>
              <w:rPr>
                <w:sz w:val="13"/>
              </w:rPr>
              <w:t>AIR9,</w:t>
            </w:r>
          </w:p>
          <w:p>
            <w:pPr>
              <w:pStyle w:val="TableParagraph"/>
              <w:spacing w:lineRule="exact" w:line="125" w:before="81" w:after="0"/>
              <w:ind w:left="111" w:right="0" w:hanging="0"/>
              <w:rPr>
                <w:sz w:val="13"/>
              </w:rPr>
            </w:pPr>
            <w:r>
              <w:rPr>
                <w:w w:val="99"/>
                <w:sz w:val="13"/>
              </w:rPr>
              <w:t>0</w:t>
            </w:r>
          </w:p>
        </w:tc>
        <w:tc>
          <w:tcPr>
            <w:tcW w:w="9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6" w:after="0"/>
              <w:ind w:left="91" w:right="73" w:hanging="0"/>
              <w:jc w:val="center"/>
              <w:rPr>
                <w:sz w:val="13"/>
              </w:rPr>
            </w:pPr>
            <w:r>
              <w:rPr>
                <w:i/>
                <w:sz w:val="20"/>
              </w:rPr>
              <w:t>WTS</w:t>
            </w:r>
            <w:r>
              <w:rPr>
                <w:sz w:val="13"/>
              </w:rPr>
              <w:t>AIR</w:t>
            </w:r>
          </w:p>
          <w:p>
            <w:pPr>
              <w:pStyle w:val="TableParagraph"/>
              <w:spacing w:lineRule="exact" w:line="142" w:before="79" w:after="0"/>
              <w:ind w:left="91" w:right="75" w:hanging="0"/>
              <w:jc w:val="center"/>
              <w:rPr>
                <w:sz w:val="13"/>
              </w:rPr>
            </w:pPr>
            <w:r>
              <w:rPr>
                <w:sz w:val="13"/>
              </w:rPr>
              <w:t>0,15</w:t>
            </w:r>
          </w:p>
          <w:p>
            <w:pPr>
              <w:pStyle w:val="TableParagraph"/>
              <w:spacing w:lineRule="exact" w:line="238"/>
              <w:ind w:left="91" w:right="75" w:hanging="0"/>
              <w:jc w:val="center"/>
              <w:rPr>
                <w:sz w:val="13"/>
              </w:rPr>
            </w:pPr>
            <w:r>
              <w:rPr>
                <w:i/>
                <w:position w:val="3"/>
                <w:sz w:val="20"/>
              </w:rPr>
              <w:t>PRD</w:t>
            </w:r>
            <w:r>
              <w:rPr>
                <w:sz w:val="13"/>
              </w:rPr>
              <w:t>AIR9,0</w:t>
            </w:r>
          </w:p>
        </w:tc>
      </w:tr>
      <w:tr>
        <w:trPr>
          <w:trHeight w:val="921" w:hRule="atLeast"/>
        </w:trPr>
        <w:tc>
          <w:tcPr>
            <w:tcW w:w="19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110" w:right="553" w:hanging="0"/>
              <w:rPr>
                <w:sz w:val="20"/>
              </w:rPr>
            </w:pPr>
            <w:r>
              <w:rPr>
                <w:sz w:val="20"/>
              </w:rPr>
              <w:t>Odporność na działanie wody</w:t>
            </w:r>
          </w:p>
        </w:tc>
        <w:tc>
          <w:tcPr>
            <w:tcW w:w="15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6" w:after="0"/>
              <w:ind w:left="110" w:right="0" w:hanging="0"/>
              <w:rPr>
                <w:sz w:val="20"/>
              </w:rPr>
            </w:pPr>
            <w:r>
              <w:rPr>
                <w:sz w:val="20"/>
              </w:rPr>
              <w:t>C.1.1,</w:t>
            </w:r>
          </w:p>
          <w:p>
            <w:pPr>
              <w:pStyle w:val="TableParagraph"/>
              <w:tabs>
                <w:tab w:val="left" w:pos="1055" w:leader="none"/>
              </w:tabs>
              <w:ind w:left="110" w:right="88" w:hanging="0"/>
              <w:rPr>
                <w:sz w:val="20"/>
              </w:rPr>
            </w:pPr>
            <w:r>
              <w:rPr>
                <w:sz w:val="20"/>
              </w:rPr>
              <w:t>ubijanie,</w:t>
              <w:tab/>
            </w:r>
            <w:r>
              <w:rPr>
                <w:spacing w:val="-1"/>
                <w:sz w:val="20"/>
              </w:rPr>
              <w:t>2×35</w:t>
            </w:r>
            <w:r>
              <w:rPr>
                <w:sz w:val="20"/>
              </w:rPr>
              <w:t>uderzeń</w:t>
            </w:r>
          </w:p>
        </w:tc>
        <w:tc>
          <w:tcPr>
            <w:tcW w:w="33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759" w:right="0" w:hanging="0"/>
              <w:rPr>
                <w:sz w:val="20"/>
              </w:rPr>
            </w:pPr>
            <w:r>
              <w:rPr>
                <w:sz w:val="20"/>
              </w:rPr>
              <w:t>PN-EN 12697-12 [37],</w:t>
            </w:r>
          </w:p>
          <w:p>
            <w:pPr>
              <w:pStyle w:val="TableParagraph"/>
              <w:spacing w:lineRule="atLeast" w:line="230"/>
              <w:ind w:left="879" w:right="240" w:hanging="600"/>
              <w:rPr>
                <w:sz w:val="20"/>
              </w:rPr>
            </w:pPr>
            <w:r>
              <w:rPr>
                <w:sz w:val="20"/>
              </w:rPr>
              <w:t>przechowywanie w 40°C z jednym cyklem zamrażania, badanie w 25°C</w:t>
            </w:r>
            <w:r>
              <w:rPr>
                <w:sz w:val="20"/>
                <w:vertAlign w:val="superscript"/>
              </w:rPr>
              <w:t>b)</w:t>
            </w:r>
          </w:p>
        </w:tc>
        <w:tc>
          <w:tcPr>
            <w:tcW w:w="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29"/>
              </w:rPr>
            </w:pPr>
            <w:r>
              <w:rPr>
                <w:sz w:val="29"/>
              </w:rPr>
            </w:r>
          </w:p>
          <w:p>
            <w:pPr>
              <w:pStyle w:val="TableParagraph"/>
              <w:spacing w:before="1" w:after="0"/>
              <w:ind w:left="207" w:right="187" w:hanging="0"/>
              <w:jc w:val="center"/>
              <w:rPr>
                <w:sz w:val="20"/>
              </w:rPr>
            </w:pPr>
            <w:r>
              <w:rPr>
                <w:i/>
                <w:sz w:val="20"/>
              </w:rPr>
              <w:t>ITSR</w:t>
            </w:r>
            <w:r>
              <w:rPr>
                <w:sz w:val="20"/>
                <w:vertAlign w:val="subscript"/>
              </w:rPr>
              <w:t>90</w:t>
            </w:r>
          </w:p>
        </w:tc>
        <w:tc>
          <w:tcPr>
            <w:tcW w:w="9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29"/>
              </w:rPr>
            </w:pPr>
            <w:r>
              <w:rPr>
                <w:sz w:val="29"/>
              </w:rPr>
            </w:r>
          </w:p>
          <w:p>
            <w:pPr>
              <w:pStyle w:val="TableParagraph"/>
              <w:spacing w:before="1" w:after="0"/>
              <w:ind w:left="236" w:right="0" w:hanging="0"/>
              <w:rPr>
                <w:sz w:val="20"/>
              </w:rPr>
            </w:pPr>
            <w:r>
              <w:rPr>
                <w:i/>
                <w:sz w:val="20"/>
              </w:rPr>
              <w:t>ITSR</w:t>
            </w:r>
            <w:r>
              <w:rPr>
                <w:sz w:val="20"/>
                <w:vertAlign w:val="subscript"/>
              </w:rPr>
              <w:t>90</w:t>
            </w:r>
          </w:p>
        </w:tc>
      </w:tr>
      <w:tr>
        <w:trPr>
          <w:trHeight w:val="1151" w:hRule="atLeast"/>
        </w:trPr>
        <w:tc>
          <w:tcPr>
            <w:tcW w:w="879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09"/>
              <w:ind w:left="115" w:right="0" w:hanging="0"/>
              <w:rPr>
                <w:sz w:val="20"/>
              </w:rPr>
            </w:pPr>
            <w:r>
              <w:rPr>
                <w:position w:val="9"/>
                <w:sz w:val="13"/>
              </w:rPr>
              <w:t>a)</w:t>
            </w:r>
            <w:r>
              <w:rPr>
                <w:sz w:val="20"/>
              </w:rPr>
              <w:t>Grubość plyty: AC8, AC11 40mm</w:t>
            </w:r>
          </w:p>
          <w:p>
            <w:pPr>
              <w:pStyle w:val="TableParagraph"/>
              <w:spacing w:lineRule="exact" w:line="230" w:before="15" w:after="0"/>
              <w:ind w:left="259" w:right="149" w:hanging="144"/>
              <w:rPr>
                <w:sz w:val="20"/>
              </w:rPr>
            </w:pPr>
            <w:r>
              <w:rPr>
                <w:position w:val="9"/>
                <w:sz w:val="13"/>
              </w:rPr>
              <w:t>b)</w:t>
            </w:r>
            <w:r>
              <w:rPr>
                <w:sz w:val="20"/>
              </w:rPr>
              <w:t>Ujednoliconą  procedurę  badania   odporności   na   działanie   wody   podano   w   WT-2   2014   [70]   w załączniku</w:t>
            </w:r>
            <w:r>
              <w:rPr>
                <w:spacing w:val="-6"/>
                <w:sz w:val="20"/>
              </w:rPr>
              <w:t>1</w:t>
            </w:r>
          </w:p>
          <w:p>
            <w:pPr>
              <w:pStyle w:val="TableParagraph"/>
              <w:spacing w:lineRule="exact" w:line="230" w:before="1" w:after="0"/>
              <w:ind w:left="259" w:right="52" w:hanging="144"/>
              <w:rPr>
                <w:sz w:val="20"/>
              </w:rPr>
            </w:pPr>
            <w:r>
              <w:rPr>
                <w:position w:val="9"/>
                <w:sz w:val="13"/>
              </w:rPr>
              <w:t>c)</w:t>
            </w:r>
            <w:r>
              <w:rPr>
                <w:sz w:val="20"/>
              </w:rPr>
              <w:t>Procedurę kondycjonowania krótkoterminowego mma przed zagęszczeniem próbek do badań podano w WT-2 2014 [70] w załączniku 2</w:t>
            </w:r>
          </w:p>
        </w:tc>
      </w:tr>
    </w:tbl>
    <w:p>
      <w:pPr>
        <w:pStyle w:val="Tretekstu"/>
        <w:spacing w:before="5" w:after="0"/>
        <w:ind w:left="0" w:right="0" w:hanging="0"/>
        <w:rPr/>
      </w:pPr>
      <w:r>
        <w:rPr/>
      </w:r>
    </w:p>
    <w:p>
      <w:pPr>
        <w:pStyle w:val="Nagwek1"/>
        <w:numPr>
          <w:ilvl w:val="0"/>
          <w:numId w:val="17"/>
        </w:numPr>
        <w:tabs>
          <w:tab w:val="left" w:pos="602" w:leader="none"/>
        </w:tabs>
        <w:spacing w:lineRule="auto" w:line="240" w:before="0" w:after="0"/>
        <w:ind w:left="602" w:right="0" w:hanging="206"/>
        <w:jc w:val="left"/>
        <w:rPr/>
      </w:pPr>
      <w:r>
        <w:rPr/>
        <w:t>SPRZĘT</w:t>
      </w:r>
    </w:p>
    <w:p>
      <w:pPr>
        <w:pStyle w:val="Tretekstu"/>
        <w:spacing w:before="11"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 xml:space="preserve">Ogólne wymagania dotyczące </w:t>
      </w:r>
      <w:r>
        <w:rPr>
          <w:b/>
          <w:spacing w:val="9"/>
          <w:sz w:val="20"/>
        </w:rPr>
        <w:t>sprzętu</w:t>
      </w:r>
    </w:p>
    <w:p>
      <w:pPr>
        <w:pStyle w:val="Tretekstu"/>
        <w:spacing w:before="111" w:after="0"/>
        <w:ind w:left="1106" w:right="0" w:hanging="0"/>
        <w:rPr/>
      </w:pPr>
      <w:r>
        <w:rPr/>
        <w:t>Ogólne wymagania dotyczące sprzętu podano w ST D-00.00.00 „Wymagania ogólne” [1] pkt 3.</w:t>
      </w:r>
    </w:p>
    <w:p>
      <w:pPr>
        <w:pStyle w:val="Nagwek1"/>
        <w:numPr>
          <w:ilvl w:val="1"/>
          <w:numId w:val="17"/>
        </w:numPr>
        <w:tabs>
          <w:tab w:val="left" w:pos="751" w:leader="none"/>
        </w:tabs>
        <w:spacing w:lineRule="auto" w:line="240" w:before="125" w:after="0"/>
        <w:ind w:left="750" w:right="0" w:hanging="354"/>
        <w:jc w:val="left"/>
        <w:rPr/>
      </w:pPr>
      <w:r>
        <w:rPr/>
        <w:t xml:space="preserve">Sprzęt stosowany do wykonania </w:t>
      </w:r>
      <w:r>
        <w:rPr>
          <w:spacing w:val="-3"/>
        </w:rPr>
        <w:t>robót</w:t>
      </w:r>
    </w:p>
    <w:p>
      <w:pPr>
        <w:pStyle w:val="Tretekstu"/>
        <w:spacing w:before="115" w:after="0"/>
        <w:ind w:left="0" w:right="1124" w:firstLine="710"/>
        <w:rPr/>
      </w:pPr>
      <w:r>
        <w:rPr/>
        <w:t>Przy wykonywaniu robót Wykonawca w zależności od potrzeb, powinien wykazać się możliwością korzystania ze sprzętu dostosowanego do przyjętej metody robót, jak:</w:t>
      </w:r>
    </w:p>
    <w:p>
      <w:pPr>
        <w:pStyle w:val="ListParagraph"/>
        <w:numPr>
          <w:ilvl w:val="0"/>
          <w:numId w:val="12"/>
        </w:numPr>
        <w:tabs>
          <w:tab w:val="left" w:pos="755" w:leader="none"/>
          <w:tab w:val="left" w:pos="756" w:leader="none"/>
        </w:tabs>
        <w:spacing w:lineRule="auto" w:line="240" w:before="1" w:after="0"/>
        <w:ind w:left="756" w:right="1124" w:hanging="360"/>
        <w:jc w:val="left"/>
        <w:rPr>
          <w:sz w:val="20"/>
        </w:rPr>
      </w:pPr>
      <w:r>
        <w:rPr>
          <w:sz w:val="20"/>
        </w:rPr>
        <w:t>wytwórnia (otaczarka</w:t>
      </w:r>
      <w:r>
        <w:rPr>
          <w:b/>
          <w:sz w:val="20"/>
        </w:rPr>
        <w:t>)</w:t>
      </w:r>
      <w:r>
        <w:rPr>
          <w:sz w:val="20"/>
        </w:rPr>
        <w:t>o mieszaniu cyklicznym lub ciągłym, z automatycznym komputerowym sterowaniem produkcji, do wytwarzania mieszanek</w:t>
      </w:r>
      <w:r>
        <w:rPr>
          <w:spacing w:val="-7"/>
          <w:sz w:val="20"/>
        </w:rPr>
        <w:t>mineralno-asfaltowych,</w:t>
      </w:r>
    </w:p>
    <w:p>
      <w:pPr>
        <w:pStyle w:val="Tretekstu"/>
        <w:spacing w:before="1" w:after="0"/>
        <w:ind w:left="756" w:right="1129" w:hanging="0"/>
        <w:jc w:val="both"/>
        <w:rPr/>
      </w:pPr>
      <w:r>
        <w:rPr/>
        <w:t>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w:t>
      </w:r>
    </w:p>
    <w:p>
      <w:pPr>
        <w:pStyle w:val="Tretekstu"/>
        <w:spacing w:before="1" w:after="0"/>
        <w:ind w:left="756" w:right="1121" w:hanging="0"/>
        <w:jc w:val="both"/>
        <w:rPr/>
      </w:pPr>
      <w:r>
        <w:rPr/>
        <w:t>Wytwórnia powinna</w:t>
      </w:r>
      <w:r>
        <w:rPr>
          <w:spacing w:val="-4"/>
        </w:rPr>
        <w:t xml:space="preserve">być </w:t>
      </w:r>
      <w:r>
        <w:rPr/>
        <w:t>wyposażona w termometry (urządzenia pomiarowe) pozwalające na ciągłe monitorowanie temperatury poszczególnych materiałów, na różnych etapach przygotowywania materiałów, jak i na</w:t>
      </w:r>
      <w:r>
        <w:rPr>
          <w:spacing w:val="-3"/>
        </w:rPr>
        <w:t>wyjściu</w:t>
      </w:r>
      <w:r>
        <w:rPr/>
        <w:t>z</w:t>
      </w:r>
      <w:r>
        <w:rPr>
          <w:spacing w:val="7"/>
        </w:rPr>
        <w:t>mieszalnika,</w:t>
      </w:r>
    </w:p>
    <w:p>
      <w:pPr>
        <w:pStyle w:val="ListParagraph"/>
        <w:numPr>
          <w:ilvl w:val="0"/>
          <w:numId w:val="12"/>
        </w:numPr>
        <w:tabs>
          <w:tab w:val="left" w:pos="756" w:leader="none"/>
        </w:tabs>
        <w:spacing w:lineRule="exact" w:line="226" w:before="0" w:after="0"/>
        <w:ind w:left="756" w:right="0" w:hanging="360"/>
        <w:jc w:val="left"/>
        <w:rPr>
          <w:sz w:val="20"/>
        </w:rPr>
      </w:pPr>
      <w:r>
        <w:rPr>
          <w:sz w:val="20"/>
        </w:rPr>
        <w:t xml:space="preserve">układarka gąsienicowa, z elektronicznym sterowaniem równości układanej </w:t>
      </w:r>
      <w:r>
        <w:rPr>
          <w:spacing w:val="-3"/>
          <w:sz w:val="20"/>
        </w:rPr>
        <w:t>warstwy,</w:t>
      </w:r>
    </w:p>
    <w:p>
      <w:pPr>
        <w:pStyle w:val="ListParagraph"/>
        <w:numPr>
          <w:ilvl w:val="0"/>
          <w:numId w:val="12"/>
        </w:numPr>
        <w:tabs>
          <w:tab w:val="left" w:pos="755" w:leader="none"/>
          <w:tab w:val="left" w:pos="756" w:leader="none"/>
        </w:tabs>
        <w:spacing w:lineRule="auto" w:line="240" w:before="1" w:after="0"/>
        <w:ind w:left="756" w:right="0" w:hanging="360"/>
        <w:jc w:val="left"/>
        <w:rPr>
          <w:sz w:val="20"/>
        </w:rPr>
      </w:pPr>
      <w:r>
        <w:rPr>
          <w:sz w:val="20"/>
        </w:rPr>
        <w:t>skrapiarka,</w:t>
      </w:r>
    </w:p>
    <w:p>
      <w:pPr>
        <w:pStyle w:val="ListParagraph"/>
        <w:numPr>
          <w:ilvl w:val="0"/>
          <w:numId w:val="12"/>
        </w:numPr>
        <w:tabs>
          <w:tab w:val="left" w:pos="756" w:leader="none"/>
        </w:tabs>
        <w:spacing w:lineRule="auto" w:line="240" w:before="0" w:after="0"/>
        <w:ind w:left="756" w:right="0" w:hanging="360"/>
        <w:jc w:val="left"/>
        <w:rPr>
          <w:sz w:val="20"/>
        </w:rPr>
      </w:pPr>
      <w:r>
        <w:rPr>
          <w:sz w:val="20"/>
        </w:rPr>
        <w:t xml:space="preserve">walce stalowe </w:t>
      </w:r>
      <w:r>
        <w:rPr>
          <w:spacing w:val="-3"/>
          <w:sz w:val="20"/>
        </w:rPr>
        <w:t>gładkie,</w:t>
      </w:r>
    </w:p>
    <w:p>
      <w:pPr>
        <w:pStyle w:val="ListParagraph"/>
        <w:numPr>
          <w:ilvl w:val="0"/>
          <w:numId w:val="12"/>
        </w:numPr>
        <w:tabs>
          <w:tab w:val="left" w:pos="755" w:leader="none"/>
          <w:tab w:val="left" w:pos="756" w:leader="none"/>
        </w:tabs>
        <w:spacing w:lineRule="auto" w:line="240" w:before="1" w:after="0"/>
        <w:ind w:left="756" w:right="0" w:hanging="360"/>
        <w:jc w:val="left"/>
        <w:rPr>
          <w:sz w:val="20"/>
        </w:rPr>
      </w:pPr>
      <w:r>
        <w:rPr>
          <w:sz w:val="20"/>
        </w:rPr>
        <w:t xml:space="preserve">lekka rozsypywarka </w:t>
      </w:r>
      <w:r>
        <w:rPr>
          <w:spacing w:val="2"/>
          <w:sz w:val="20"/>
        </w:rPr>
        <w:t>kruszywa,</w:t>
      </w:r>
    </w:p>
    <w:p>
      <w:pPr>
        <w:pStyle w:val="ListParagraph"/>
        <w:numPr>
          <w:ilvl w:val="0"/>
          <w:numId w:val="12"/>
        </w:numPr>
        <w:tabs>
          <w:tab w:val="left" w:pos="755" w:leader="none"/>
          <w:tab w:val="left" w:pos="756" w:leader="none"/>
        </w:tabs>
        <w:spacing w:lineRule="auto" w:line="240" w:before="0" w:after="0"/>
        <w:ind w:left="756" w:right="0" w:hanging="360"/>
        <w:jc w:val="left"/>
        <w:rPr>
          <w:sz w:val="20"/>
        </w:rPr>
      </w:pPr>
      <w:r>
        <w:rPr>
          <w:sz w:val="20"/>
        </w:rPr>
        <w:t xml:space="preserve">szczotki mechaniczne i/lub inne urządzenia </w:t>
      </w:r>
      <w:r>
        <w:rPr>
          <w:spacing w:val="-12"/>
          <w:sz w:val="20"/>
        </w:rPr>
        <w:t>czyszczące,</w:t>
      </w:r>
    </w:p>
    <w:p>
      <w:pPr>
        <w:pStyle w:val="ListParagraph"/>
        <w:numPr>
          <w:ilvl w:val="0"/>
          <w:numId w:val="12"/>
        </w:numPr>
        <w:tabs>
          <w:tab w:val="left" w:pos="756" w:leader="none"/>
        </w:tabs>
        <w:spacing w:lineRule="auto" w:line="240" w:before="1" w:after="0"/>
        <w:ind w:left="756" w:right="0" w:hanging="360"/>
        <w:jc w:val="left"/>
        <w:rPr>
          <w:sz w:val="20"/>
        </w:rPr>
      </w:pPr>
      <w:r>
        <w:rPr>
          <w:sz w:val="20"/>
        </w:rPr>
        <w:t>samochody samowyładowcze z przykryciem brezentowym lub</w:t>
      </w:r>
      <w:r>
        <w:rPr>
          <w:spacing w:val="-1"/>
          <w:sz w:val="20"/>
        </w:rPr>
        <w:t>termosami,</w:t>
      </w:r>
    </w:p>
    <w:p>
      <w:pPr>
        <w:sectPr>
          <w:type w:val="nextPage"/>
          <w:pgSz w:w="11906" w:h="16838"/>
          <w:pgMar w:left="1020" w:right="0" w:header="0" w:top="760" w:footer="0" w:bottom="280" w:gutter="0"/>
          <w:pgNumType w:fmt="decimal"/>
          <w:formProt w:val="false"/>
          <w:textDirection w:val="lrTb"/>
          <w:docGrid w:type="default" w:linePitch="100" w:charSpace="4096"/>
        </w:sectPr>
        <w:pStyle w:val="ListParagraph"/>
        <w:numPr>
          <w:ilvl w:val="0"/>
          <w:numId w:val="12"/>
        </w:numPr>
        <w:tabs>
          <w:tab w:val="left" w:pos="756" w:leader="none"/>
        </w:tabs>
        <w:spacing w:lineRule="auto" w:line="240" w:before="0" w:after="0"/>
        <w:ind w:left="756" w:right="0" w:hanging="360"/>
        <w:jc w:val="left"/>
        <w:rPr>
          <w:sz w:val="20"/>
        </w:rPr>
      </w:pPr>
      <w:r>
        <w:rPr>
          <w:sz w:val="20"/>
        </w:rPr>
        <w:t xml:space="preserve">sprzęt </w:t>
      </w:r>
      <w:r>
        <w:rPr>
          <w:spacing w:val="-3"/>
          <w:sz w:val="20"/>
        </w:rPr>
        <w:t>drobny.</w:t>
      </w:r>
    </w:p>
    <w:p>
      <w:pPr>
        <w:pStyle w:val="Tretekstu"/>
        <w:spacing w:before="82" w:after="0"/>
        <w:ind w:left="0" w:right="1128" w:firstLine="710"/>
        <w:jc w:val="both"/>
        <w:rPr/>
      </w:pPr>
      <w:r>
        <w:rPr/>
        <w:t>Sprzęt powinien odpowiadać wymaganiom określonym w dokumentacji projektowej, ST, instrukcjach producentów lub propozycji Wykonawcy i powinien być zaakceptowany przez Inżyniera.</w:t>
      </w:r>
    </w:p>
    <w:p>
      <w:pPr>
        <w:pStyle w:val="Tretekstu"/>
        <w:spacing w:before="4"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TRANSPORT</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Ogólne wymagania dotyczące</w:t>
      </w:r>
      <w:r>
        <w:rPr>
          <w:b/>
          <w:spacing w:val="9"/>
          <w:sz w:val="20"/>
        </w:rPr>
        <w:t>transportu</w:t>
      </w:r>
    </w:p>
    <w:p>
      <w:pPr>
        <w:pStyle w:val="Tretekstu"/>
        <w:spacing w:before="116" w:after="0"/>
        <w:ind w:left="1106" w:right="0" w:hanging="0"/>
        <w:rPr/>
      </w:pPr>
      <w:r>
        <w:rPr/>
        <w:t>Ogólne wymagania dotyczące transportu podano w ST D-00.00.00 „Wymagania ogólne” [1] pkt 4.</w:t>
      </w:r>
    </w:p>
    <w:p>
      <w:pPr>
        <w:pStyle w:val="Nagwek1"/>
        <w:numPr>
          <w:ilvl w:val="1"/>
          <w:numId w:val="17"/>
        </w:numPr>
        <w:tabs>
          <w:tab w:val="left" w:pos="751" w:leader="none"/>
        </w:tabs>
        <w:spacing w:lineRule="auto" w:line="240" w:before="125" w:after="0"/>
        <w:ind w:left="750" w:right="0" w:hanging="354"/>
        <w:jc w:val="left"/>
        <w:rPr/>
      </w:pPr>
      <w:r>
        <w:rPr/>
        <w:t>Transport</w:t>
      </w:r>
      <w:r>
        <w:rPr>
          <w:spacing w:val="1"/>
        </w:rPr>
        <w:t>materiałów</w:t>
      </w:r>
    </w:p>
    <w:p>
      <w:pPr>
        <w:pStyle w:val="Tretekstu"/>
        <w:spacing w:before="116" w:after="0"/>
        <w:ind w:left="0" w:right="1127" w:firstLine="710"/>
        <w:jc w:val="both"/>
        <w:rPr/>
      </w:pPr>
      <w:r>
        <w:rPr/>
        <w:t xml:space="preserve">Mieszankę mineralno-asfaltową należy dowozić na budowę pojazdami samowyładowczymi w zależności </w:t>
      </w:r>
      <w:r>
        <w:rPr>
          <w:spacing w:val="-3"/>
        </w:rPr>
        <w:t xml:space="preserve">od </w:t>
      </w:r>
      <w:r>
        <w:rPr/>
        <w:t xml:space="preserve">postępu robót. Podczas transportu i postoju przed wbudowaniem mieszanka powinna </w:t>
      </w:r>
      <w:r>
        <w:rPr>
          <w:spacing w:val="-4"/>
        </w:rPr>
        <w:t xml:space="preserve">być </w:t>
      </w:r>
      <w:r>
        <w:rPr/>
        <w:t>zabezpieczona przed ostygnięciem i</w:t>
      </w:r>
      <w:r>
        <w:rPr>
          <w:spacing w:val="-3"/>
        </w:rPr>
        <w:t xml:space="preserve">dopływem </w:t>
      </w:r>
      <w:r>
        <w:rPr/>
        <w:t xml:space="preserve">powietrza (przez przykrycie, pojemniki termoizolacyjne lub ogrzewane itp.). Warunki i czas transportu mieszanki, </w:t>
      </w:r>
      <w:r>
        <w:rPr>
          <w:spacing w:val="-3"/>
        </w:rPr>
        <w:t>od</w:t>
      </w:r>
      <w:r>
        <w:rPr/>
        <w:t xml:space="preserve">produkcji do wbudowania, powinna zapewniać utrzymanie temperatury w wymaganym przedziale. Powierzchnie pojemników używanych do transportu mieszanki powinny być czyste, a do zwilżania </w:t>
      </w:r>
      <w:r>
        <w:rPr>
          <w:spacing w:val="-3"/>
        </w:rPr>
        <w:t xml:space="preserve">tych </w:t>
      </w:r>
      <w:r>
        <w:rPr/>
        <w:t xml:space="preserve">powierzchni można </w:t>
      </w:r>
      <w:r>
        <w:rPr>
          <w:spacing w:val="-3"/>
        </w:rPr>
        <w:t xml:space="preserve">używać </w:t>
      </w:r>
      <w:r>
        <w:rPr/>
        <w:t>tylko środki antyadhezyjne niewpływające szkodliwie na mieszankę.</w:t>
      </w:r>
    </w:p>
    <w:p>
      <w:pPr>
        <w:pStyle w:val="Tretekstu"/>
        <w:spacing w:before="1"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WYKONANIE</w:t>
      </w:r>
      <w:r>
        <w:rPr>
          <w:spacing w:val="1"/>
        </w:rPr>
        <w:t>ROBÓT</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Ogólne zasady wykonania</w:t>
      </w:r>
      <w:r>
        <w:rPr>
          <w:b/>
          <w:spacing w:val="-3"/>
          <w:sz w:val="20"/>
        </w:rPr>
        <w:t>robót</w:t>
      </w:r>
    </w:p>
    <w:p>
      <w:pPr>
        <w:pStyle w:val="Tretekstu"/>
        <w:spacing w:before="116" w:after="0"/>
        <w:ind w:left="1106" w:right="0" w:hanging="0"/>
        <w:rPr/>
      </w:pPr>
      <w:r>
        <w:rPr/>
        <w:t>Ogólne zasady wykonania robót podano w ST D-00.00.00 „Wymagania ogólne” [1] pkt 5.</w:t>
      </w:r>
    </w:p>
    <w:p>
      <w:pPr>
        <w:pStyle w:val="Nagwek1"/>
        <w:numPr>
          <w:ilvl w:val="1"/>
          <w:numId w:val="17"/>
        </w:numPr>
        <w:tabs>
          <w:tab w:val="left" w:pos="751" w:leader="none"/>
        </w:tabs>
        <w:spacing w:lineRule="auto" w:line="240" w:before="125" w:after="0"/>
        <w:ind w:left="750" w:right="0" w:hanging="354"/>
        <w:jc w:val="left"/>
        <w:rPr/>
      </w:pPr>
      <w:r>
        <w:rPr/>
        <w:t>Przygotowanie</w:t>
      </w:r>
      <w:r>
        <w:rPr>
          <w:spacing w:val="3"/>
        </w:rPr>
        <w:t>podłoża</w:t>
      </w:r>
    </w:p>
    <w:p>
      <w:pPr>
        <w:pStyle w:val="Tretekstu"/>
        <w:spacing w:before="116" w:after="0"/>
        <w:ind w:left="0" w:right="1124" w:firstLine="710"/>
        <w:jc w:val="both"/>
        <w:rPr/>
      </w:pPr>
      <w:r>
        <w:rPr/>
        <w:t>Podłoże (warstwa wyrównawcza, warstwa wiążąca lub stara warstwa ścieralna) pod warstwę ścieralną z betonu asfaltowego powinno być na całej powierzchni:</w:t>
      </w:r>
    </w:p>
    <w:p>
      <w:pPr>
        <w:pStyle w:val="ListParagraph"/>
        <w:numPr>
          <w:ilvl w:val="0"/>
          <w:numId w:val="13"/>
        </w:numPr>
        <w:tabs>
          <w:tab w:val="left" w:pos="794" w:leader="none"/>
          <w:tab w:val="left" w:pos="795" w:leader="none"/>
        </w:tabs>
        <w:spacing w:lineRule="auto" w:line="240" w:before="1" w:after="0"/>
        <w:ind w:left="794" w:right="0" w:hanging="398"/>
        <w:jc w:val="left"/>
        <w:rPr/>
      </w:pPr>
      <w:r>
        <w:rPr>
          <w:sz w:val="20"/>
        </w:rPr>
        <w:t xml:space="preserve">ustabilizowane i </w:t>
      </w:r>
      <w:r>
        <w:rPr>
          <w:spacing w:val="-8"/>
          <w:sz w:val="20"/>
        </w:rPr>
        <w:t>nośne,</w:t>
      </w:r>
    </w:p>
    <w:p>
      <w:pPr>
        <w:pStyle w:val="ListParagraph"/>
        <w:numPr>
          <w:ilvl w:val="0"/>
          <w:numId w:val="13"/>
        </w:numPr>
        <w:tabs>
          <w:tab w:val="left" w:pos="794" w:leader="none"/>
          <w:tab w:val="left" w:pos="795" w:leader="none"/>
        </w:tabs>
        <w:spacing w:lineRule="auto" w:line="240" w:before="0" w:after="0"/>
        <w:ind w:left="794" w:right="0" w:hanging="398"/>
        <w:jc w:val="left"/>
        <w:rPr>
          <w:sz w:val="20"/>
        </w:rPr>
      </w:pPr>
      <w:r>
        <w:rPr>
          <w:sz w:val="20"/>
        </w:rPr>
        <w:t>czyste,</w:t>
      </w:r>
      <w:r>
        <w:rPr>
          <w:spacing w:val="-3"/>
          <w:sz w:val="20"/>
        </w:rPr>
        <w:t xml:space="preserve">bez </w:t>
      </w:r>
      <w:r>
        <w:rPr>
          <w:sz w:val="20"/>
        </w:rPr>
        <w:t xml:space="preserve">zanieczyszczenia lub pozostałości luźnego </w:t>
      </w:r>
      <w:r>
        <w:rPr>
          <w:spacing w:val="6"/>
          <w:sz w:val="20"/>
        </w:rPr>
        <w:t>kruszywa,</w:t>
      </w:r>
    </w:p>
    <w:p>
      <w:pPr>
        <w:pStyle w:val="ListParagraph"/>
        <w:numPr>
          <w:ilvl w:val="0"/>
          <w:numId w:val="13"/>
        </w:numPr>
        <w:tabs>
          <w:tab w:val="left" w:pos="794" w:leader="none"/>
          <w:tab w:val="left" w:pos="795" w:leader="none"/>
        </w:tabs>
        <w:spacing w:lineRule="exact" w:line="228" w:before="0" w:after="0"/>
        <w:ind w:left="794" w:right="0" w:hanging="398"/>
        <w:jc w:val="left"/>
        <w:rPr/>
      </w:pPr>
      <w:r>
        <w:rPr>
          <w:sz w:val="20"/>
        </w:rPr>
        <w:t xml:space="preserve">wyprofilowane, równe i </w:t>
      </w:r>
      <w:r>
        <w:rPr>
          <w:spacing w:val="-3"/>
          <w:sz w:val="20"/>
        </w:rPr>
        <w:t>bez</w:t>
      </w:r>
      <w:r>
        <w:rPr>
          <w:spacing w:val="6"/>
          <w:sz w:val="20"/>
        </w:rPr>
        <w:t>kolein,</w:t>
      </w:r>
    </w:p>
    <w:p>
      <w:pPr>
        <w:pStyle w:val="ListParagraph"/>
        <w:numPr>
          <w:ilvl w:val="0"/>
          <w:numId w:val="13"/>
        </w:numPr>
        <w:tabs>
          <w:tab w:val="left" w:pos="794" w:leader="none"/>
          <w:tab w:val="left" w:pos="795" w:leader="none"/>
        </w:tabs>
        <w:spacing w:lineRule="exact" w:line="228" w:before="0" w:after="0"/>
        <w:ind w:left="794" w:right="0" w:hanging="398"/>
        <w:jc w:val="left"/>
        <w:rPr>
          <w:sz w:val="20"/>
        </w:rPr>
      </w:pPr>
      <w:r>
        <w:rPr>
          <w:sz w:val="20"/>
        </w:rPr>
        <w:t>suche.</w:t>
      </w:r>
    </w:p>
    <w:p>
      <w:pPr>
        <w:pStyle w:val="Tretekstu"/>
        <w:spacing w:before="1" w:after="0"/>
        <w:ind w:left="0" w:right="1133" w:firstLine="710"/>
        <w:jc w:val="both"/>
        <w:rPr/>
      </w:pPr>
      <w:r>
        <w:rPr/>
        <w:t>Rzędne wysokościowe podłoża oraz urządzeń usytuowanych w nawierzchni lub ją ograniczających powinny być zgodne z dokumentacją projektową. Z podłoża powinien być zapewniony odpływ wody.</w:t>
      </w:r>
    </w:p>
    <w:p>
      <w:pPr>
        <w:pStyle w:val="Tretekstu"/>
        <w:spacing w:before="1" w:after="0"/>
        <w:ind w:left="1106" w:right="0" w:hanging="0"/>
        <w:rPr/>
      </w:pPr>
      <w:r>
        <w:rPr/>
        <w:t>Oznakowanie poziome na warstwie podłoża należy usunąć.</w:t>
      </w:r>
    </w:p>
    <w:p>
      <w:pPr>
        <w:pStyle w:val="Tretekstu"/>
        <w:ind w:left="0" w:right="1125" w:firstLine="710"/>
        <w:jc w:val="both"/>
        <w:rPr/>
      </w:pPr>
      <w:r>
        <w:rPr/>
        <w:t>Nierówności podłoża (w tym powierzchnię istniejącej warstwy ścieralnej) należy wyrównać poprzez frezowanie lub wykonanie warstwy</w:t>
      </w:r>
      <w:r>
        <w:rPr>
          <w:spacing w:val="-14"/>
        </w:rPr>
        <w:t>wyrównawczej.</w:t>
      </w:r>
    </w:p>
    <w:p>
      <w:pPr>
        <w:pStyle w:val="Tretekstu"/>
        <w:spacing w:before="1" w:after="0"/>
        <w:ind w:left="0" w:right="1124" w:firstLine="710"/>
        <w:jc w:val="both"/>
        <w:rPr/>
      </w:pPr>
      <w:r>
        <w:rPr/>
        <w:t>Wymagana równość jest określona w rozporządzeniu w sprawie warunków technicznych, jakim powinny odpowiadać drogi publiczne i</w:t>
      </w:r>
      <w:r>
        <w:rPr>
          <w:spacing w:val="-3"/>
        </w:rPr>
        <w:t>ich</w:t>
      </w:r>
      <w:r>
        <w:rPr/>
        <w:t>usytuowanie</w:t>
      </w:r>
      <w:r>
        <w:rPr>
          <w:spacing w:val="4"/>
        </w:rPr>
        <w:t>[73].</w:t>
      </w:r>
    </w:p>
    <w:p>
      <w:pPr>
        <w:pStyle w:val="Tretekstu"/>
        <w:spacing w:before="1" w:after="0"/>
        <w:ind w:left="0" w:right="1122" w:firstLine="710"/>
        <w:jc w:val="both"/>
        <w:rPr/>
      </w:pPr>
      <w:r>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pPr>
        <w:pStyle w:val="Tretekstu"/>
        <w:ind w:left="0" w:right="1127" w:firstLine="710"/>
        <w:jc w:val="both"/>
        <w:rPr/>
      </w:pPr>
      <w:r>
        <w:rPr/>
        <w:t>W celu polepszenia połączenia między warstwami technologicznymi nawierzchni powierzchnia podłoża powinna być w ocenie wizualnej chropowata.</w:t>
      </w:r>
    </w:p>
    <w:p>
      <w:pPr>
        <w:pStyle w:val="Tretekstu"/>
        <w:ind w:left="0" w:right="1127" w:firstLine="710"/>
        <w:jc w:val="both"/>
        <w:rPr/>
      </w:pPr>
      <w:r>
        <w:rPr/>
        <w:t>Szerokie szczeliny w podłożu należy wypełnić odpowiednim materiałem, np. zalewami drogowymi według PN-EN 14188-1 [65] lub PN-EN 14188-2 [66] albo innymi materiałami według norm lub aprobat technicznych.</w:t>
      </w:r>
    </w:p>
    <w:p>
      <w:pPr>
        <w:pStyle w:val="Tretekstu"/>
        <w:ind w:left="0" w:right="1127" w:firstLine="710"/>
        <w:jc w:val="both"/>
        <w:rPr/>
      </w:pPr>
      <w:r>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pPr>
        <w:pStyle w:val="Nagwek1"/>
        <w:numPr>
          <w:ilvl w:val="1"/>
          <w:numId w:val="17"/>
        </w:numPr>
        <w:tabs>
          <w:tab w:val="left" w:pos="751" w:leader="none"/>
        </w:tabs>
        <w:spacing w:lineRule="auto" w:line="240" w:before="124" w:after="0"/>
        <w:ind w:left="750" w:right="0" w:hanging="354"/>
        <w:jc w:val="left"/>
        <w:rPr/>
      </w:pPr>
      <w:r>
        <w:rPr/>
        <w:t>Próba technologiczna (nie dotyczy zakresu niniejszej</w:t>
      </w:r>
      <w:r>
        <w:rPr>
          <w:spacing w:val="-11"/>
        </w:rPr>
        <w:t>dokumentacji)</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Odcinek</w:t>
      </w:r>
      <w:r>
        <w:rPr>
          <w:b/>
          <w:spacing w:val="-3"/>
          <w:sz w:val="20"/>
        </w:rPr>
        <w:t>próbny</w:t>
      </w:r>
      <w:r>
        <w:rPr>
          <w:b/>
          <w:sz w:val="20"/>
        </w:rPr>
        <w:t>(nie dotyczy zakresu niniejszej dokumentacji)</w:t>
      </w:r>
    </w:p>
    <w:p>
      <w:pPr>
        <w:pStyle w:val="Tretekstu"/>
        <w:spacing w:before="11" w:after="0"/>
        <w:ind w:left="0" w:right="0" w:hanging="0"/>
        <w:rPr>
          <w:b/>
          <w:b/>
        </w:rPr>
      </w:pPr>
      <w:r>
        <w:rPr>
          <w:b/>
        </w:rPr>
      </w:r>
    </w:p>
    <w:p>
      <w:pPr>
        <w:pStyle w:val="ListParagraph"/>
        <w:numPr>
          <w:ilvl w:val="1"/>
          <w:numId w:val="17"/>
        </w:numPr>
        <w:tabs>
          <w:tab w:val="left" w:pos="751" w:leader="none"/>
        </w:tabs>
        <w:spacing w:lineRule="auto" w:line="240" w:before="0" w:after="0"/>
        <w:ind w:left="750" w:right="0" w:hanging="354"/>
        <w:jc w:val="left"/>
        <w:rPr>
          <w:b/>
          <w:b/>
          <w:sz w:val="20"/>
        </w:rPr>
      </w:pPr>
      <w:r>
        <w:rPr>
          <w:b/>
          <w:sz w:val="20"/>
        </w:rPr>
        <w:t xml:space="preserve">Połączenie </w:t>
      </w:r>
      <w:r>
        <w:rPr>
          <w:b/>
          <w:spacing w:val="3"/>
          <w:sz w:val="20"/>
        </w:rPr>
        <w:t>międzywarstwowe</w:t>
      </w:r>
    </w:p>
    <w:p>
      <w:pPr>
        <w:pStyle w:val="Tretekstu"/>
        <w:spacing w:before="116" w:after="0"/>
        <w:ind w:left="0" w:right="1120" w:firstLine="710"/>
        <w:jc w:val="both"/>
        <w:rPr/>
      </w:pPr>
      <w:r>
        <w:rPr/>
        <w:t>Uzyskanie wymaganej trwałości nawierzchni jest uzależnione od zapewnienia połączenia między warstwami i ich współpracy w przenoszeniu obciążenia nawierzchni ruchem.</w:t>
      </w:r>
    </w:p>
    <w:p>
      <w:pPr>
        <w:pStyle w:val="Tretekstu"/>
        <w:ind w:left="0" w:right="1125" w:firstLine="710"/>
        <w:jc w:val="both"/>
        <w:rPr/>
      </w:pPr>
      <w:r>
        <w:rPr/>
        <w:t>Podłoże powinno być skropione lepiszczem. Ma to na celu zwiększenie połączenia między warstwami konstrukcyjnymi oraz zabezpieczenie przed wnikaniem i zaleganiem wody między warstwami.</w:t>
      </w:r>
    </w:p>
    <w:p>
      <w:pPr>
        <w:pStyle w:val="Tretekstu"/>
        <w:ind w:left="0" w:right="1122" w:firstLine="710"/>
        <w:jc w:val="both"/>
        <w:rPr/>
      </w:pPr>
      <w:r>
        <w:rP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rPr>
          <w:position w:val="0"/>
          <w:sz w:val="20"/>
          <w:sz w:val="20"/>
          <w:vertAlign w:val="baseline"/>
        </w:rPr>
        <w:t>, przy czym:</w:t>
      </w:r>
    </w:p>
    <w:p>
      <w:pPr>
        <w:pStyle w:val="ListParagraph"/>
        <w:numPr>
          <w:ilvl w:val="0"/>
          <w:numId w:val="13"/>
        </w:numPr>
        <w:tabs>
          <w:tab w:val="left" w:pos="794" w:leader="none"/>
          <w:tab w:val="left" w:pos="795" w:leader="none"/>
        </w:tabs>
        <w:spacing w:lineRule="auto" w:line="240" w:before="0" w:after="0"/>
        <w:ind w:left="794" w:right="0" w:hanging="398"/>
        <w:jc w:val="left"/>
        <w:rPr>
          <w:sz w:val="20"/>
        </w:rPr>
      </w:pPr>
      <w:r>
        <w:rPr>
          <w:sz w:val="20"/>
        </w:rPr>
        <w:t xml:space="preserve">zaleca się stosować emulsję modyfikowaną </w:t>
      </w:r>
      <w:r>
        <w:rPr>
          <w:spacing w:val="-6"/>
          <w:sz w:val="20"/>
        </w:rPr>
        <w:t>polimerem,</w:t>
      </w:r>
    </w:p>
    <w:p>
      <w:pPr>
        <w:sectPr>
          <w:type w:val="nextPage"/>
          <w:pgSz w:w="11906" w:h="16838"/>
          <w:pgMar w:left="1020" w:right="0" w:header="0" w:top="760" w:footer="0" w:bottom="280" w:gutter="0"/>
          <w:pgNumType w:fmt="decimal"/>
          <w:formProt w:val="false"/>
          <w:textDirection w:val="lrTb"/>
          <w:docGrid w:type="default" w:linePitch="100" w:charSpace="4096"/>
        </w:sectPr>
        <w:pStyle w:val="ListParagraph"/>
        <w:numPr>
          <w:ilvl w:val="0"/>
          <w:numId w:val="13"/>
        </w:numPr>
        <w:tabs>
          <w:tab w:val="left" w:pos="795" w:leader="none"/>
        </w:tabs>
        <w:spacing w:lineRule="auto" w:line="240" w:before="0" w:after="0"/>
        <w:ind w:left="794" w:right="1122" w:hanging="398"/>
        <w:jc w:val="both"/>
        <w:rPr>
          <w:sz w:val="20"/>
        </w:rPr>
      </w:pPr>
      <w:r>
        <w:rPr>
          <w:sz w:val="20"/>
        </w:rPr>
        <w:t xml:space="preserve">ilość emulsji należy dobrać z uwzględnieniem stanu podłoża oraz porowatości mieszanki; jeśli mieszanka ma większą zawartość </w:t>
      </w:r>
      <w:r>
        <w:rPr>
          <w:spacing w:val="-3"/>
          <w:sz w:val="20"/>
        </w:rPr>
        <w:t xml:space="preserve">wolnych </w:t>
      </w:r>
      <w:r>
        <w:rPr>
          <w:sz w:val="20"/>
        </w:rPr>
        <w:t>przestrzeni, to należy użyć większą ilość lepiszcza do skropienia, które po ułożeniu warstwy ścieralnej uszczelni</w:t>
      </w:r>
      <w:r>
        <w:rPr>
          <w:spacing w:val="-3"/>
          <w:sz w:val="20"/>
        </w:rPr>
        <w:t>ją.</w:t>
      </w:r>
    </w:p>
    <w:p>
      <w:pPr>
        <w:pStyle w:val="Tretekstu"/>
        <w:spacing w:before="82" w:after="0"/>
        <w:ind w:left="0" w:right="1122" w:firstLine="710"/>
        <w:jc w:val="both"/>
        <w:rPr/>
      </w:pPr>
      <w:r>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pPr>
        <w:pStyle w:val="Tretekstu"/>
        <w:spacing w:before="2" w:after="0"/>
        <w:ind w:left="0" w:right="1126" w:firstLine="710"/>
        <w:jc w:val="both"/>
        <w:rPr/>
      </w:pPr>
      <w:r>
        <w:rPr/>
        <w:t>W wypadku stosowania emulsji asfaltowej podłoże powinno być skropione 0,5 h przed układaniem warstwy asfaltowej w celu odparowania</w:t>
      </w:r>
      <w:r>
        <w:rPr>
          <w:spacing w:val="-4"/>
        </w:rPr>
        <w:t>wody.</w:t>
      </w:r>
    </w:p>
    <w:p>
      <w:pPr>
        <w:pStyle w:val="Tretekstu"/>
        <w:spacing w:before="1" w:after="0"/>
        <w:ind w:left="1106" w:right="0" w:hanging="0"/>
        <w:rPr/>
      </w:pPr>
      <w:r>
        <w:rPr/>
        <w:t>Czas ten nie dotyczy skrapiania rampą zamontowaną na rozkładarce.</w:t>
      </w:r>
    </w:p>
    <w:p>
      <w:pPr>
        <w:pStyle w:val="Nagwek1"/>
        <w:numPr>
          <w:ilvl w:val="1"/>
          <w:numId w:val="17"/>
        </w:numPr>
        <w:tabs>
          <w:tab w:val="left" w:pos="751" w:leader="none"/>
        </w:tabs>
        <w:spacing w:lineRule="auto" w:line="240" w:before="125" w:after="0"/>
        <w:ind w:left="750" w:right="0" w:hanging="354"/>
        <w:jc w:val="left"/>
        <w:rPr/>
      </w:pPr>
      <w:r>
        <w:rPr/>
        <w:t>Wbudowanie mieszanki</w:t>
      </w:r>
      <w:r>
        <w:rPr>
          <w:spacing w:val="2"/>
        </w:rPr>
        <w:t>mineralno-asfaltowej</w:t>
      </w:r>
    </w:p>
    <w:p>
      <w:pPr>
        <w:pStyle w:val="Tretekstu"/>
        <w:spacing w:lineRule="auto" w:line="235" w:before="119" w:after="0"/>
        <w:ind w:left="0" w:right="1121" w:firstLine="710"/>
        <w:jc w:val="both"/>
        <w:rPr/>
      </w:pPr>
      <w:r>
        <w:rPr/>
        <w:t>Mieszankę mineralno-asfaltową można wbudowywać na podłożu przygotowanym zgodnie z zapisami w punktach 5.4 i 5.7.</w:t>
      </w:r>
    </w:p>
    <w:p>
      <w:pPr>
        <w:pStyle w:val="Tretekstu"/>
        <w:spacing w:before="2" w:after="0"/>
        <w:ind w:left="1106" w:right="0" w:hanging="0"/>
        <w:rPr/>
      </w:pPr>
      <w:r>
        <w:rPr/>
        <w:t>Temperatura podłoża pod rozkładaną warstwę nie może być niższa niż +5°C.</w:t>
      </w:r>
    </w:p>
    <w:p>
      <w:pPr>
        <w:pStyle w:val="Tretekstu"/>
        <w:ind w:left="0" w:right="1127" w:firstLine="710"/>
        <w:jc w:val="both"/>
        <w:rPr/>
      </w:pPr>
      <w:r>
        <w:rPr/>
        <w:t>Transport mieszanki mineralno-asfaltowej asfaltowej powinien być zgodny z zaleceniami podanymi w punkcie 4.2.</w:t>
      </w:r>
    </w:p>
    <w:p>
      <w:pPr>
        <w:pStyle w:val="Tretekstu"/>
        <w:spacing w:before="1" w:after="0"/>
        <w:ind w:left="0" w:right="1127" w:firstLine="710"/>
        <w:jc w:val="both"/>
        <w:rPr/>
      </w:pPr>
      <w:r>
        <w:rPr/>
        <w:t>Mieszankę mineralno-asfaltową asfaltową należy wbudowywać w odpowiednich warunkach atmosferycznych. Nie wolno wbudowywać betonu asfaltowego gdy na podłożu tworzy się zamknięty film wodny.</w:t>
      </w:r>
    </w:p>
    <w:p>
      <w:pPr>
        <w:pStyle w:val="Tretekstu"/>
        <w:spacing w:before="1" w:after="0"/>
        <w:ind w:left="0" w:right="1126" w:firstLine="710"/>
        <w:jc w:val="both"/>
        <w:rPr/>
      </w:pPr>
      <w:r>
        <w:rPr/>
        <w:t>Temperatura otoczenia w ciągu doby nie powinna być niższa od temperatury podanej w tablicy 17.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 asfaltowej asfaltowej podczas silnego wiatru (V &gt; 16 m/s).</w:t>
      </w:r>
    </w:p>
    <w:p>
      <w:pPr>
        <w:pStyle w:val="Tretekstu"/>
        <w:ind w:left="0" w:right="1124" w:firstLine="710"/>
        <w:jc w:val="both"/>
        <w:rPr/>
      </w:pPr>
      <w:r>
        <w:rPr/>
        <w:t>Podczas budowy nawierzchni należy dążyć do ułożenia wszystkich warstw przed sezonem zimowym, aby zapewnić szczelność nawierzchni i jej odporność na działanie wody i mrozu.</w:t>
      </w:r>
    </w:p>
    <w:p>
      <w:pPr>
        <w:pStyle w:val="Tretekstu"/>
        <w:ind w:left="0" w:right="1120" w:firstLine="710"/>
        <w:jc w:val="both"/>
        <w:rPr/>
      </w:pPr>
      <w:r>
        <w:rPr/>
        <w:t>W wypadku stosowania mieszanek mineralno-asfaltowych z dodatkiem obniżającym temperaturę mieszania i wbudowania należy indywidualnie określić wymagane warunki</w:t>
      </w:r>
      <w:r>
        <w:rPr>
          <w:spacing w:val="-24"/>
        </w:rPr>
        <w:t>otoczenia.</w:t>
      </w:r>
    </w:p>
    <w:p>
      <w:pPr>
        <w:pStyle w:val="Tretekstu"/>
        <w:spacing w:before="119" w:after="0"/>
        <w:rPr/>
      </w:pPr>
      <w:r>
        <w:rPr/>
        <w:t>Tablica 17. Minimalna temperatura otoczenia na wysokości 2 m podczas wykonywania warstw asfaltowych</w:t>
      </w:r>
    </w:p>
    <w:p>
      <w:pPr>
        <w:pStyle w:val="Tretekstu"/>
        <w:spacing w:before="3" w:after="0"/>
        <w:ind w:left="0" w:right="0" w:hanging="0"/>
        <w:rPr>
          <w:sz w:val="11"/>
        </w:rPr>
      </w:pPr>
      <w:r>
        <w:rPr>
          <w:sz w:val="11"/>
        </w:rPr>
      </w:r>
    </w:p>
    <w:tbl>
      <w:tblPr>
        <w:tblW w:w="7948" w:type="dxa"/>
        <w:jc w:val="left"/>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3839"/>
        <w:gridCol w:w="2213"/>
        <w:gridCol w:w="1896"/>
      </w:tblGrid>
      <w:tr>
        <w:trPr>
          <w:trHeight w:val="230" w:hRule="atLeast"/>
        </w:trPr>
        <w:tc>
          <w:tcPr>
            <w:tcW w:w="383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rPr>
                <w:sz w:val="20"/>
              </w:rPr>
            </w:pPr>
            <w:r>
              <w:rPr>
                <w:sz w:val="20"/>
              </w:rPr>
            </w:r>
          </w:p>
          <w:p>
            <w:pPr>
              <w:pStyle w:val="TableParagraph"/>
              <w:ind w:left="1379" w:right="1371" w:hanging="0"/>
              <w:jc w:val="center"/>
              <w:rPr>
                <w:sz w:val="20"/>
              </w:rPr>
            </w:pPr>
            <w:r>
              <w:rPr>
                <w:sz w:val="20"/>
              </w:rPr>
              <w:t>Rodzaj robót</w:t>
            </w:r>
          </w:p>
        </w:tc>
        <w:tc>
          <w:tcPr>
            <w:tcW w:w="41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10"/>
              <w:ind w:left="484" w:right="0" w:hanging="0"/>
              <w:rPr>
                <w:sz w:val="20"/>
              </w:rPr>
            </w:pPr>
            <w:r>
              <w:rPr>
                <w:sz w:val="20"/>
              </w:rPr>
              <w:t>Minimalna temperatura otoczenia [°C]</w:t>
            </w:r>
          </w:p>
        </w:tc>
      </w:tr>
      <w:tr>
        <w:trPr>
          <w:trHeight w:val="690" w:hRule="atLeast"/>
        </w:trPr>
        <w:tc>
          <w:tcPr>
            <w:tcW w:w="383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16" w:right="305" w:hanging="0"/>
              <w:jc w:val="center"/>
              <w:rPr>
                <w:sz w:val="20"/>
              </w:rPr>
            </w:pPr>
            <w:r>
              <w:rPr>
                <w:sz w:val="20"/>
              </w:rPr>
              <w:t>w czasie 24 h przed przystąpieniem</w:t>
            </w:r>
          </w:p>
          <w:p>
            <w:pPr>
              <w:pStyle w:val="TableParagraph"/>
              <w:spacing w:lineRule="exact" w:line="219"/>
              <w:ind w:left="313" w:right="305" w:hanging="0"/>
              <w:jc w:val="center"/>
              <w:rPr>
                <w:sz w:val="20"/>
              </w:rPr>
            </w:pPr>
            <w:r>
              <w:rPr>
                <w:sz w:val="20"/>
              </w:rPr>
              <w:t>do robót</w:t>
            </w:r>
          </w:p>
        </w:tc>
        <w:tc>
          <w:tcPr>
            <w:tcW w:w="18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351" w:right="339" w:hanging="0"/>
              <w:jc w:val="center"/>
              <w:rPr>
                <w:sz w:val="20"/>
              </w:rPr>
            </w:pPr>
            <w:r>
              <w:rPr>
                <w:sz w:val="20"/>
              </w:rPr>
              <w:t>w czasie robót</w:t>
            </w:r>
          </w:p>
        </w:tc>
      </w:tr>
      <w:tr>
        <w:trPr>
          <w:trHeight w:val="306" w:hRule="atLeast"/>
        </w:trPr>
        <w:tc>
          <w:tcPr>
            <w:tcW w:w="383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8" w:after="0"/>
              <w:ind w:left="110" w:right="0" w:hanging="0"/>
              <w:rPr>
                <w:b/>
                <w:b/>
                <w:sz w:val="20"/>
              </w:rPr>
            </w:pPr>
            <w:r>
              <w:rPr>
                <w:b/>
                <w:sz w:val="20"/>
              </w:rPr>
              <w:t>Warstwa ścieralna o grubości ≥ 3 cm</w:t>
            </w:r>
          </w:p>
        </w:tc>
        <w:tc>
          <w:tcPr>
            <w:tcW w:w="2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8" w:after="0"/>
              <w:ind w:left="314" w:right="305" w:hanging="0"/>
              <w:jc w:val="center"/>
              <w:rPr>
                <w:b/>
                <w:b/>
                <w:sz w:val="20"/>
              </w:rPr>
            </w:pPr>
            <w:r>
              <w:rPr>
                <w:b/>
                <w:sz w:val="20"/>
              </w:rPr>
              <w:t>+5</w:t>
            </w:r>
          </w:p>
        </w:tc>
        <w:tc>
          <w:tcPr>
            <w:tcW w:w="18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8" w:after="0"/>
              <w:ind w:left="351" w:right="333" w:hanging="0"/>
              <w:jc w:val="center"/>
              <w:rPr>
                <w:b/>
                <w:b/>
                <w:sz w:val="20"/>
              </w:rPr>
            </w:pPr>
            <w:r>
              <w:rPr>
                <w:b/>
                <w:sz w:val="20"/>
              </w:rPr>
              <w:t>+5</w:t>
            </w:r>
          </w:p>
        </w:tc>
      </w:tr>
      <w:tr>
        <w:trPr>
          <w:trHeight w:val="311" w:hRule="atLeast"/>
        </w:trPr>
        <w:tc>
          <w:tcPr>
            <w:tcW w:w="383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110" w:right="0" w:hanging="0"/>
              <w:rPr>
                <w:sz w:val="20"/>
              </w:rPr>
            </w:pPr>
            <w:r>
              <w:rPr>
                <w:sz w:val="20"/>
              </w:rPr>
              <w:t>Warstwa ścieralna o grubości &lt; 3 cm</w:t>
            </w:r>
          </w:p>
        </w:tc>
        <w:tc>
          <w:tcPr>
            <w:tcW w:w="2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316" w:right="298" w:hanging="0"/>
              <w:jc w:val="center"/>
              <w:rPr>
                <w:sz w:val="20"/>
              </w:rPr>
            </w:pPr>
            <w:r>
              <w:rPr>
                <w:sz w:val="20"/>
              </w:rPr>
              <w:t>+5</w:t>
            </w:r>
          </w:p>
        </w:tc>
        <w:tc>
          <w:tcPr>
            <w:tcW w:w="18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351" w:right="328" w:hanging="0"/>
              <w:jc w:val="center"/>
              <w:rPr>
                <w:sz w:val="20"/>
              </w:rPr>
            </w:pPr>
            <w:r>
              <w:rPr>
                <w:sz w:val="20"/>
              </w:rPr>
              <w:t>+10</w:t>
            </w:r>
          </w:p>
        </w:tc>
      </w:tr>
    </w:tbl>
    <w:p>
      <w:pPr>
        <w:pStyle w:val="Tretekstu"/>
        <w:spacing w:before="111" w:after="0"/>
        <w:ind w:left="0" w:right="1122" w:firstLine="710"/>
        <w:jc w:val="both"/>
        <w:rPr/>
      </w:pPr>
      <w:r>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pPr>
        <w:pStyle w:val="Tretekstu"/>
        <w:spacing w:before="1" w:after="0"/>
        <w:ind w:left="0" w:right="1130" w:firstLine="710"/>
        <w:jc w:val="both"/>
        <w:rPr/>
      </w:pPr>
      <w:r>
        <w:rPr/>
        <w:t>Grubość wykonywanej warstwy powinna być sprawdzana co 25 m, w co najmniej trzech miejscach (w osi i przy brzegach warstwy).</w:t>
      </w:r>
    </w:p>
    <w:p>
      <w:pPr>
        <w:pStyle w:val="Tretekstu"/>
        <w:spacing w:before="1" w:after="0"/>
        <w:ind w:left="0" w:right="1129" w:firstLine="710"/>
        <w:jc w:val="both"/>
        <w:rPr/>
      </w:pPr>
      <w:r>
        <w:rPr/>
        <w:t>Warstwy wałowane powinny być równomiernie zagęszczone ciężkimi walcami drogowymi. Do warstw z betonu asfaltowego należy stosować walce drogowe stalowe gładkie z możliwością wibracji, oscylacji lub walce ogumione.</w:t>
      </w:r>
    </w:p>
    <w:p>
      <w:pPr>
        <w:pStyle w:val="Nagwek1"/>
        <w:numPr>
          <w:ilvl w:val="1"/>
          <w:numId w:val="17"/>
        </w:numPr>
        <w:tabs>
          <w:tab w:val="left" w:pos="751" w:leader="none"/>
        </w:tabs>
        <w:spacing w:lineRule="auto" w:line="240" w:before="121" w:after="0"/>
        <w:ind w:left="750" w:right="0" w:hanging="354"/>
        <w:jc w:val="left"/>
        <w:rPr/>
      </w:pPr>
      <w:r>
        <w:rPr/>
        <w:t>Połączenia</w:t>
      </w:r>
      <w:r>
        <w:rPr>
          <w:spacing w:val="-4"/>
        </w:rPr>
        <w:t>technologiczne</w:t>
      </w:r>
    </w:p>
    <w:p>
      <w:pPr>
        <w:pStyle w:val="ListParagraph"/>
        <w:numPr>
          <w:ilvl w:val="2"/>
          <w:numId w:val="17"/>
        </w:numPr>
        <w:tabs>
          <w:tab w:val="left" w:pos="900" w:leader="none"/>
        </w:tabs>
        <w:spacing w:lineRule="auto" w:line="240" w:before="116" w:after="0"/>
        <w:ind w:left="900" w:right="0" w:hanging="504"/>
        <w:jc w:val="left"/>
        <w:rPr>
          <w:sz w:val="20"/>
        </w:rPr>
      </w:pPr>
      <w:r>
        <w:rPr>
          <w:sz w:val="20"/>
        </w:rPr>
        <w:t xml:space="preserve">Wymagania </w:t>
      </w:r>
      <w:r>
        <w:rPr>
          <w:spacing w:val="3"/>
          <w:sz w:val="20"/>
        </w:rPr>
        <w:t>ogólne</w:t>
      </w:r>
    </w:p>
    <w:p>
      <w:pPr>
        <w:pStyle w:val="Tretekstu"/>
        <w:spacing w:before="120" w:after="0"/>
        <w:ind w:left="1106" w:right="0" w:hanging="0"/>
        <w:rPr/>
      </w:pPr>
      <w:r>
        <w:rPr/>
        <w:t>Połączenia technologiczne należy wykonywać jako:</w:t>
      </w:r>
    </w:p>
    <w:p>
      <w:pPr>
        <w:pStyle w:val="ListParagraph"/>
        <w:numPr>
          <w:ilvl w:val="0"/>
          <w:numId w:val="11"/>
        </w:numPr>
        <w:tabs>
          <w:tab w:val="left" w:pos="823" w:leader="none"/>
          <w:tab w:val="left" w:pos="824" w:leader="none"/>
        </w:tabs>
        <w:spacing w:lineRule="auto" w:line="240" w:before="0" w:after="0"/>
        <w:ind w:left="823" w:right="0" w:hanging="360"/>
        <w:jc w:val="left"/>
        <w:rPr>
          <w:sz w:val="20"/>
        </w:rPr>
      </w:pPr>
      <w:r>
        <w:rPr>
          <w:sz w:val="20"/>
        </w:rPr>
        <w:t xml:space="preserve">złącza podłużne i poprzeczne (połączenia tego samego materiału wykonywanego w różnym </w:t>
      </w:r>
      <w:r>
        <w:rPr>
          <w:spacing w:val="-20"/>
          <w:sz w:val="20"/>
        </w:rPr>
        <w:t>czasie),</w:t>
      </w:r>
    </w:p>
    <w:p>
      <w:pPr>
        <w:pStyle w:val="ListParagraph"/>
        <w:numPr>
          <w:ilvl w:val="0"/>
          <w:numId w:val="11"/>
        </w:numPr>
        <w:tabs>
          <w:tab w:val="left" w:pos="823" w:leader="none"/>
          <w:tab w:val="left" w:pos="824" w:leader="none"/>
        </w:tabs>
        <w:spacing w:lineRule="auto" w:line="240" w:before="1" w:after="0"/>
        <w:ind w:left="823" w:right="1123" w:hanging="360"/>
        <w:jc w:val="left"/>
        <w:rPr>
          <w:sz w:val="20"/>
        </w:rPr>
      </w:pPr>
      <w:r>
        <w:rPr>
          <w:sz w:val="20"/>
        </w:rPr>
        <w:t xml:space="preserve">spoiny (połączenia różnych materiałów oraz warstwy asfaltowej z urządzeniami </w:t>
      </w:r>
      <w:r>
        <w:rPr>
          <w:spacing w:val="-3"/>
          <w:sz w:val="20"/>
        </w:rPr>
        <w:t xml:space="preserve">obcymi </w:t>
      </w:r>
      <w:r>
        <w:rPr>
          <w:sz w:val="20"/>
        </w:rPr>
        <w:t>w nawierzchni lub ją ograniczającymi).</w:t>
      </w:r>
    </w:p>
    <w:p>
      <w:pPr>
        <w:pStyle w:val="Tretekstu"/>
        <w:spacing w:before="1" w:after="0"/>
        <w:ind w:left="1106" w:right="0" w:hanging="0"/>
        <w:rPr/>
      </w:pPr>
      <w:r>
        <w:rPr/>
        <w:t>Połączenia technologiczne powinny być jednorodne i szczelne.</w:t>
      </w:r>
    </w:p>
    <w:p>
      <w:pPr>
        <w:pStyle w:val="Tretekstu"/>
        <w:ind w:left="0" w:right="1124" w:firstLine="710"/>
        <w:jc w:val="both"/>
        <w:rPr/>
      </w:pPr>
      <w:r>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pPr>
        <w:pStyle w:val="Tretekstu"/>
        <w:ind w:left="0" w:right="1122" w:firstLine="710"/>
        <w:jc w:val="both"/>
        <w:rPr/>
      </w:pPr>
      <w:r>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pPr>
        <w:pStyle w:val="ListParagraph"/>
        <w:numPr>
          <w:ilvl w:val="2"/>
          <w:numId w:val="17"/>
        </w:numPr>
        <w:tabs>
          <w:tab w:val="left" w:pos="900" w:leader="none"/>
        </w:tabs>
        <w:spacing w:lineRule="auto" w:line="240" w:before="119" w:after="0"/>
        <w:ind w:left="900" w:right="0" w:hanging="504"/>
        <w:jc w:val="left"/>
        <w:rPr>
          <w:sz w:val="20"/>
        </w:rPr>
      </w:pPr>
      <w:r>
        <w:rPr>
          <w:sz w:val="20"/>
        </w:rPr>
        <w:t>Złącza</w:t>
      </w:r>
    </w:p>
    <w:p>
      <w:pPr>
        <w:sectPr>
          <w:type w:val="nextPage"/>
          <w:pgSz w:w="11906" w:h="16838"/>
          <w:pgMar w:left="1020" w:right="0" w:header="0" w:top="760" w:footer="0" w:bottom="280" w:gutter="0"/>
          <w:pgNumType w:fmt="decimal"/>
          <w:formProt w:val="false"/>
          <w:textDirection w:val="lrTb"/>
          <w:docGrid w:type="default" w:linePitch="100" w:charSpace="4096"/>
        </w:sectPr>
        <w:pStyle w:val="ListParagraph"/>
        <w:numPr>
          <w:ilvl w:val="3"/>
          <w:numId w:val="17"/>
        </w:numPr>
        <w:tabs>
          <w:tab w:val="left" w:pos="1049" w:leader="none"/>
        </w:tabs>
        <w:spacing w:lineRule="auto" w:line="240" w:before="120" w:after="0"/>
        <w:ind w:left="1048" w:right="0" w:hanging="652"/>
        <w:jc w:val="left"/>
        <w:rPr>
          <w:sz w:val="20"/>
        </w:rPr>
      </w:pPr>
      <w:r>
        <w:rPr>
          <w:sz w:val="20"/>
        </w:rPr>
        <w:t>Technologia rozkładania „gorące przy</w:t>
      </w:r>
      <w:r>
        <w:rPr>
          <w:spacing w:val="-10"/>
          <w:sz w:val="20"/>
        </w:rPr>
        <w:t>gorącym”</w:t>
      </w:r>
    </w:p>
    <w:p>
      <w:pPr>
        <w:pStyle w:val="Tretekstu"/>
        <w:spacing w:before="82" w:after="0"/>
        <w:ind w:left="0" w:right="1125" w:firstLine="710"/>
        <w:jc w:val="both"/>
        <w:rPr/>
      </w:pPr>
      <w:r>
        <w:rPr/>
        <w:t>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w:t>
      </w:r>
    </w:p>
    <w:p>
      <w:pPr>
        <w:pStyle w:val="ListParagraph"/>
        <w:numPr>
          <w:ilvl w:val="3"/>
          <w:numId w:val="17"/>
        </w:numPr>
        <w:tabs>
          <w:tab w:val="left" w:pos="1049" w:leader="none"/>
        </w:tabs>
        <w:spacing w:lineRule="auto" w:line="240" w:before="122" w:after="0"/>
        <w:ind w:left="1048" w:right="0" w:hanging="652"/>
        <w:jc w:val="left"/>
        <w:rPr>
          <w:sz w:val="20"/>
        </w:rPr>
      </w:pPr>
      <w:r>
        <w:rPr>
          <w:sz w:val="20"/>
        </w:rPr>
        <w:t>Technologia rozkładania „gorące przy</w:t>
      </w:r>
      <w:r>
        <w:rPr>
          <w:spacing w:val="-10"/>
          <w:sz w:val="20"/>
        </w:rPr>
        <w:t>zimnym”</w:t>
      </w:r>
    </w:p>
    <w:p>
      <w:pPr>
        <w:pStyle w:val="Tretekstu"/>
        <w:spacing w:before="120" w:after="0"/>
        <w:ind w:left="0" w:right="1124" w:firstLine="710"/>
        <w:jc w:val="both"/>
        <w:rPr/>
      </w:pPr>
      <w:r>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pPr>
        <w:pStyle w:val="Tretekstu"/>
        <w:spacing w:lineRule="auto" w:line="235" w:before="5" w:after="0"/>
        <w:ind w:left="0" w:right="1127" w:firstLine="710"/>
        <w:jc w:val="both"/>
        <w:rPr/>
      </w:pPr>
      <w:r>
        <w:rPr/>
        <w:t>Na krawędzi pasa warstw wiążącej i ścieralnej należy nanieść materiał do złączy wg pktu 2.6 w ilości co najmniej 50 g na 1 cm grubości warstwy na 1 metr bieżący krawędzi.</w:t>
      </w:r>
    </w:p>
    <w:p>
      <w:pPr>
        <w:pStyle w:val="Tretekstu"/>
        <w:spacing w:before="2" w:after="0"/>
        <w:ind w:left="0" w:right="1123" w:firstLine="710"/>
        <w:jc w:val="both"/>
        <w:rPr/>
      </w:pPr>
      <w:r>
        <w:rPr/>
        <w:t>Na krawędź pasa warstw wiążącej i ścieralnej nie należy nanosić lepiszczy używanych do połączenia międzywarstwowego wg pktu 2.7.</w:t>
      </w:r>
    </w:p>
    <w:p>
      <w:pPr>
        <w:pStyle w:val="ListParagraph"/>
        <w:numPr>
          <w:ilvl w:val="3"/>
          <w:numId w:val="17"/>
        </w:numPr>
        <w:tabs>
          <w:tab w:val="left" w:pos="1049" w:leader="none"/>
        </w:tabs>
        <w:spacing w:lineRule="auto" w:line="240" w:before="121" w:after="0"/>
        <w:ind w:left="1048" w:right="0" w:hanging="652"/>
        <w:jc w:val="left"/>
        <w:rPr>
          <w:sz w:val="20"/>
        </w:rPr>
      </w:pPr>
      <w:r>
        <w:rPr>
          <w:sz w:val="20"/>
        </w:rPr>
        <w:t>Zakończenie działki</w:t>
      </w:r>
      <w:r>
        <w:rPr>
          <w:spacing w:val="-12"/>
          <w:sz w:val="20"/>
        </w:rPr>
        <w:t>roboczej</w:t>
      </w:r>
    </w:p>
    <w:p>
      <w:pPr>
        <w:pStyle w:val="Tretekstu"/>
        <w:spacing w:before="120" w:after="0"/>
        <w:ind w:left="0" w:right="1123" w:firstLine="710"/>
        <w:jc w:val="both"/>
        <w:rPr/>
      </w:pPr>
      <w:r>
        <w:rPr/>
        <w:t>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pku 2.6 w ilości co najmniej 50 g na 1 cm grubości warstwy na 1 metr bieżący krawędzi.</w:t>
      </w:r>
    </w:p>
    <w:p>
      <w:pPr>
        <w:pStyle w:val="Normal"/>
        <w:spacing w:before="122" w:after="0"/>
        <w:ind w:left="395" w:right="0" w:hanging="0"/>
        <w:jc w:val="left"/>
        <w:rPr>
          <w:sz w:val="20"/>
        </w:rPr>
      </w:pPr>
      <w:r>
        <w:rPr>
          <w:b/>
          <w:sz w:val="20"/>
        </w:rPr>
        <w:t>5.7.3.</w:t>
      </w:r>
      <w:r>
        <w:rPr>
          <w:sz w:val="20"/>
        </w:rPr>
        <w:t>Spoiny</w:t>
      </w:r>
    </w:p>
    <w:p>
      <w:pPr>
        <w:pStyle w:val="Tretekstu"/>
        <w:spacing w:lineRule="auto" w:line="235" w:before="124" w:after="0"/>
        <w:ind w:left="0" w:right="1128" w:firstLine="710"/>
        <w:jc w:val="both"/>
        <w:rPr/>
      </w:pPr>
      <w:r>
        <w:rPr/>
        <w:t>Spoiny należy wykonywać w wypadku połączeń warstwy ścieralnej z urządzeniami w nawierzchni lub ją ograniczającymi.</w:t>
      </w:r>
    </w:p>
    <w:p>
      <w:pPr>
        <w:pStyle w:val="Tretekstu"/>
        <w:spacing w:before="2" w:after="0"/>
        <w:ind w:left="1106" w:right="1900" w:hanging="0"/>
        <w:rPr/>
      </w:pPr>
      <w:r>
        <w:rPr/>
        <w:t>Spoiny należy wykonywać z materiałów termoplastycznych (taśmy, pasty) zgodnych z pktem 2.6. Grubość materiału termoplastycznego do spoiny powinna być zgodna z pktem 2.6.</w:t>
      </w:r>
    </w:p>
    <w:p>
      <w:pPr>
        <w:pStyle w:val="Nagwek1"/>
        <w:numPr>
          <w:ilvl w:val="1"/>
          <w:numId w:val="10"/>
        </w:numPr>
        <w:tabs>
          <w:tab w:val="left" w:pos="747" w:leader="none"/>
        </w:tabs>
        <w:spacing w:lineRule="auto" w:line="240" w:before="125" w:after="0"/>
        <w:ind w:left="746" w:right="0" w:hanging="350"/>
        <w:jc w:val="left"/>
        <w:rPr/>
      </w:pPr>
      <w:r>
        <w:rPr/>
        <w:t>Krawędzie</w:t>
      </w:r>
    </w:p>
    <w:p>
      <w:pPr>
        <w:pStyle w:val="Tretekstu"/>
        <w:spacing w:before="116" w:after="0"/>
        <w:ind w:left="0" w:right="1128" w:firstLine="710"/>
        <w:jc w:val="both"/>
        <w:rPr/>
      </w:pPr>
      <w:r>
        <w:rPr/>
        <w:t>W wypadku warstwy ścieralnej rozkładanej przy urządzeniach ograniczających nawierzchnię, których górna powierzchnia ma</w:t>
      </w:r>
      <w:r>
        <w:rPr>
          <w:spacing w:val="-4"/>
        </w:rPr>
        <w:t>być</w:t>
      </w:r>
      <w:r>
        <w:rPr/>
        <w:t>w jednym poziomie z powierzchnią tej nawierzchni (np. ściek uliczny, korytka odwadniające) oraz gdy spadek jezdni</w:t>
      </w:r>
      <w:r>
        <w:rPr>
          <w:spacing w:val="-3"/>
        </w:rPr>
        <w:t>jest</w:t>
      </w:r>
      <w:r>
        <w:rPr/>
        <w:t>w stronę tych urządzeń, to powierzchnia warstwy ścieralnej powinna być wyższa o 0,5÷1,0</w:t>
      </w:r>
      <w:r>
        <w:rPr>
          <w:spacing w:val="2"/>
        </w:rPr>
        <w:t>cm.</w:t>
      </w:r>
    </w:p>
    <w:p>
      <w:pPr>
        <w:pStyle w:val="Tretekstu"/>
        <w:spacing w:before="2" w:after="0"/>
        <w:ind w:left="0" w:right="1124" w:firstLine="710"/>
        <w:jc w:val="both"/>
        <w:rPr/>
      </w:pPr>
      <w:r>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pPr>
        <w:pStyle w:val="Tretekstu"/>
        <w:ind w:left="0" w:right="1122" w:firstLine="710"/>
        <w:jc w:val="both"/>
        <w:rPr/>
      </w:pPr>
      <w:r>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vertAlign w:val="superscript"/>
        </w:rPr>
        <w:t>2</w:t>
      </w:r>
      <w:r>
        <w:rPr>
          <w:position w:val="0"/>
          <w:sz w:val="20"/>
          <w:sz w:val="20"/>
          <w:vertAlign w:val="baseline"/>
        </w:rPr>
        <w:t>.</w:t>
      </w:r>
    </w:p>
    <w:p>
      <w:pPr>
        <w:pStyle w:val="Tretekstu"/>
        <w:ind w:left="0" w:right="1125" w:firstLine="710"/>
        <w:jc w:val="both"/>
        <w:rPr/>
      </w:pPr>
      <w:r>
        <w:rPr/>
        <w:t>Lepiszcze powinno być naniesione odpowiednio szybko tak, aby krawędzie nie uległy zabrudzeniu. Niżej położona krawędź (z wyjątkiem strefy zmiany przechyłki) powinna pozostać nieuszczelniona.</w:t>
      </w:r>
    </w:p>
    <w:p>
      <w:pPr>
        <w:pStyle w:val="Tretekstu"/>
        <w:ind w:left="0" w:right="1123" w:firstLine="710"/>
        <w:jc w:val="both"/>
        <w:rPr/>
      </w:pPr>
      <w:r>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pPr>
        <w:pStyle w:val="Tretekstu"/>
        <w:ind w:left="0" w:right="1130" w:firstLine="710"/>
        <w:jc w:val="both"/>
        <w:rPr/>
      </w:pPr>
      <w:r>
        <w:rPr/>
        <w:t>W wypadku nakładania warstwy na nawierzchnię przeznaczoną do ruchu należy odpowiednio ukształtować krawędź nakładanej warstwy, łączącej ją z niższą warstw, aby złagodzić wjazd z niższej warstwy na wyższą. W tym celu należy:</w:t>
      </w:r>
    </w:p>
    <w:p>
      <w:pPr>
        <w:pStyle w:val="ListParagraph"/>
        <w:numPr>
          <w:ilvl w:val="0"/>
          <w:numId w:val="14"/>
        </w:numPr>
        <w:tabs>
          <w:tab w:val="left" w:pos="755" w:leader="none"/>
          <w:tab w:val="left" w:pos="756" w:leader="none"/>
        </w:tabs>
        <w:spacing w:lineRule="auto" w:line="240" w:before="0" w:after="0"/>
        <w:ind w:left="756" w:right="1127" w:hanging="360"/>
        <w:jc w:val="left"/>
        <w:rPr>
          <w:sz w:val="16"/>
        </w:rPr>
      </w:pPr>
      <w:r>
        <w:rPr>
          <w:sz w:val="20"/>
        </w:rPr>
        <w:t>sfrezować klin niższej warstwy na głębokości</w:t>
      </w:r>
      <w:r>
        <w:rPr>
          <w:spacing w:val="-3"/>
          <w:sz w:val="20"/>
        </w:rPr>
        <w:t>od</w:t>
      </w:r>
      <w:r>
        <w:rPr>
          <w:sz w:val="20"/>
        </w:rPr>
        <w:t xml:space="preserve">0 do grubości nakładanej warstwy oraz na długości równej co najmniej 125 krotności grubości nakładanej </w:t>
      </w:r>
      <w:r>
        <w:rPr>
          <w:spacing w:val="-3"/>
          <w:sz w:val="20"/>
        </w:rPr>
        <w:t>warstwy,</w:t>
      </w:r>
    </w:p>
    <w:p>
      <w:pPr>
        <w:pStyle w:val="ListParagraph"/>
        <w:numPr>
          <w:ilvl w:val="0"/>
          <w:numId w:val="14"/>
        </w:numPr>
        <w:tabs>
          <w:tab w:val="left" w:pos="755" w:leader="none"/>
          <w:tab w:val="left" w:pos="756" w:leader="none"/>
        </w:tabs>
        <w:spacing w:lineRule="auto" w:line="240" w:before="0" w:after="0"/>
        <w:ind w:left="756" w:right="0" w:hanging="360"/>
        <w:jc w:val="left"/>
        <w:rPr>
          <w:sz w:val="16"/>
        </w:rPr>
      </w:pPr>
      <w:r>
        <w:rPr>
          <w:sz w:val="20"/>
        </w:rPr>
        <w:t>przygotować podłoże zgodnie z pktem 5.4 i</w:t>
      </w:r>
      <w:r>
        <w:rPr>
          <w:spacing w:val="-8"/>
          <w:sz w:val="20"/>
        </w:rPr>
        <w:t>5.7,</w:t>
      </w:r>
    </w:p>
    <w:p>
      <w:pPr>
        <w:pStyle w:val="ListParagraph"/>
        <w:numPr>
          <w:ilvl w:val="0"/>
          <w:numId w:val="14"/>
        </w:numPr>
        <w:tabs>
          <w:tab w:val="left" w:pos="755" w:leader="none"/>
          <w:tab w:val="left" w:pos="756" w:leader="none"/>
        </w:tabs>
        <w:spacing w:lineRule="auto" w:line="240" w:before="0" w:after="0"/>
        <w:ind w:left="756" w:right="0" w:hanging="360"/>
        <w:jc w:val="left"/>
        <w:rPr>
          <w:sz w:val="16"/>
        </w:rPr>
      </w:pPr>
      <w:r>
        <w:rPr>
          <w:sz w:val="20"/>
        </w:rPr>
        <w:t>ułożyć nakładaną warstwę o stałej</w:t>
      </w:r>
      <w:r>
        <w:rPr>
          <w:spacing w:val="-3"/>
          <w:sz w:val="20"/>
        </w:rPr>
        <w:t>grubości.</w:t>
      </w:r>
    </w:p>
    <w:p>
      <w:pPr>
        <w:pStyle w:val="Nagwek1"/>
        <w:numPr>
          <w:ilvl w:val="1"/>
          <w:numId w:val="10"/>
        </w:numPr>
        <w:tabs>
          <w:tab w:val="left" w:pos="751" w:leader="none"/>
        </w:tabs>
        <w:spacing w:lineRule="auto" w:line="240" w:before="123" w:after="0"/>
        <w:ind w:left="750" w:right="0" w:hanging="354"/>
        <w:jc w:val="left"/>
        <w:rPr/>
      </w:pPr>
      <w:r>
        <w:rPr/>
        <w:t>Uszorstnienie warstwy ścieralnej</w:t>
      </w:r>
    </w:p>
    <w:p>
      <w:pPr>
        <w:pStyle w:val="Tretekstu"/>
        <w:spacing w:before="116" w:after="0"/>
        <w:ind w:left="0" w:right="1125" w:firstLine="710"/>
        <w:jc w:val="both"/>
        <w:rPr/>
      </w:pPr>
      <w:r>
        <w:rPr/>
        <w:t>Warstwa ścieralna powinna mieć jednorodną teksturę i strukturę dostosowaną do przeznaczenia, np. ze względu na właściwości przeciwpoślizgowe, hałas toczenia kół lub względy estetyczne.</w:t>
      </w:r>
    </w:p>
    <w:p>
      <w:pPr>
        <w:pStyle w:val="Tretekstu"/>
        <w:ind w:left="0" w:right="1123" w:firstLine="710"/>
        <w:jc w:val="both"/>
        <w:rPr/>
      </w:pPr>
      <w:r>
        <w:rPr/>
        <w:t>Do zwiększenia szorstkości warstwy ścieralnej konieczne może być jej uszorstnienie. Do warstw z mieszanki o D &lt; 11 mm zaleca się stosowanie posypki o wymiarze 2/4 mm. Do warstw z mieszanki o D ≥ 11 mm można stosować posypkę o wymiarze 2/4 lub 2/5 mm.</w:t>
      </w:r>
    </w:p>
    <w:p>
      <w:pPr>
        <w:pStyle w:val="Tretekstu"/>
        <w:spacing w:lineRule="auto" w:line="235" w:before="5" w:after="0"/>
        <w:ind w:left="0" w:right="1122" w:firstLine="710"/>
        <w:jc w:val="both"/>
        <w:rPr/>
      </w:pPr>
      <w:r>
        <w:rPr/>
        <w:t>Na powierzchnię gorącej warstwy należy równomiernie nanieść posypkę odpowiednio wcześnie, tak aby została wgnieciona w warstwę przez walce.</w:t>
      </w:r>
    </w:p>
    <w:p>
      <w:pPr>
        <w:sectPr>
          <w:type w:val="nextPage"/>
          <w:pgSz w:w="11906" w:h="16838"/>
          <w:pgMar w:left="1020" w:right="0" w:header="0" w:top="760" w:footer="0" w:bottom="280" w:gutter="0"/>
          <w:pgNumType w:fmt="decimal"/>
          <w:formProt w:val="false"/>
          <w:textDirection w:val="lrTb"/>
          <w:docGrid w:type="default" w:linePitch="100" w:charSpace="4096"/>
        </w:sectPr>
        <w:pStyle w:val="Tretekstu"/>
        <w:spacing w:before="2" w:after="0"/>
        <w:ind w:left="0" w:right="1128" w:firstLine="710"/>
        <w:jc w:val="both"/>
        <w:rPr/>
      </w:pPr>
      <w:r>
        <w:rPr/>
        <w:t>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w:t>
      </w:r>
    </w:p>
    <w:p>
      <w:pPr>
        <w:pStyle w:val="Tretekstu"/>
        <w:spacing w:before="82" w:after="0"/>
        <w:ind w:left="0" w:right="1126" w:firstLine="710"/>
        <w:jc w:val="both"/>
        <w:rPr/>
      </w:pPr>
      <w:r>
        <w:rPr/>
        <w:t>Przy wyborze uziarnienia posypki należy wziąć pod uwagę wymagania ochrony przed hałasem. Jeżeli wymaga się zmniejszenia hałasu od kół pojazdów, należy stosować posypkę o drobniejszym uziarnieniu.</w:t>
      </w:r>
    </w:p>
    <w:p>
      <w:pPr>
        <w:pStyle w:val="Tretekstu"/>
        <w:spacing w:before="1" w:after="0"/>
        <w:ind w:left="1106" w:right="0" w:hanging="0"/>
        <w:rPr/>
      </w:pPr>
      <w:r>
        <w:rPr/>
        <w:t>Zalecana ilość posypki do warstwy z betonu asfaltowego:</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kruszywo o wymiarze 2/4 mm:</w:t>
      </w:r>
      <w:r>
        <w:rPr>
          <w:spacing w:val="-3"/>
          <w:sz w:val="20"/>
        </w:rPr>
        <w:t>od</w:t>
      </w:r>
      <w:r>
        <w:rPr>
          <w:sz w:val="20"/>
        </w:rPr>
        <w:t>0,5 do 1,5</w:t>
      </w:r>
      <w:r>
        <w:rPr>
          <w:spacing w:val="-9"/>
          <w:sz w:val="20"/>
        </w:rPr>
        <w:t>kg/m</w:t>
      </w:r>
      <w:r>
        <w:rPr>
          <w:sz w:val="20"/>
          <w:vertAlign w:val="superscript"/>
        </w:rPr>
        <w:t>2</w:t>
      </w:r>
      <w:r>
        <w:rPr>
          <w:position w:val="0"/>
          <w:sz w:val="20"/>
          <w:sz w:val="20"/>
          <w:vertAlign w:val="baseline"/>
        </w:rPr>
        <w:t>,</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kruszywo o wymiarze 2/5 mm:</w:t>
      </w:r>
      <w:r>
        <w:rPr>
          <w:spacing w:val="-3"/>
          <w:sz w:val="20"/>
        </w:rPr>
        <w:t>od</w:t>
      </w:r>
      <w:r>
        <w:rPr>
          <w:sz w:val="20"/>
        </w:rPr>
        <w:t>1,0 do 2,0</w:t>
      </w:r>
      <w:r>
        <w:rPr>
          <w:spacing w:val="-9"/>
          <w:sz w:val="20"/>
        </w:rPr>
        <w:t>kg/m</w:t>
      </w:r>
      <w:r>
        <w:rPr>
          <w:sz w:val="20"/>
          <w:vertAlign w:val="superscript"/>
        </w:rPr>
        <w:t>2</w:t>
      </w:r>
      <w:r>
        <w:rPr>
          <w:position w:val="0"/>
          <w:sz w:val="20"/>
          <w:sz w:val="20"/>
          <w:vertAlign w:val="baseline"/>
        </w:rPr>
        <w:t>.</w:t>
      </w:r>
    </w:p>
    <w:p>
      <w:pPr>
        <w:pStyle w:val="Tretekstu"/>
        <w:spacing w:before="1" w:after="0"/>
        <w:ind w:left="0" w:right="1127" w:firstLine="710"/>
        <w:jc w:val="both"/>
        <w:rPr/>
      </w:pPr>
      <w:r>
        <w:rPr/>
        <w:t>W uzasadnionych przypadkach można nie stosować uszorstnienia, na przykład w celu zmniejszenia hałaśliwości jezdni z mieszanek drobnoziarnistych na odcinkach obszarów zurbanizowanych.</w:t>
      </w:r>
    </w:p>
    <w:p>
      <w:pPr>
        <w:pStyle w:val="Tretekstu"/>
        <w:spacing w:before="4"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KONTROLA JAKOŚCI</w:t>
      </w:r>
      <w:r>
        <w:rPr>
          <w:spacing w:val="-4"/>
        </w:rPr>
        <w:t>ROBÓT</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Ogólne zasady kontroli jakości</w:t>
      </w:r>
      <w:r>
        <w:rPr>
          <w:b/>
          <w:spacing w:val="-3"/>
          <w:sz w:val="20"/>
        </w:rPr>
        <w:t>robót</w:t>
      </w:r>
    </w:p>
    <w:p>
      <w:pPr>
        <w:pStyle w:val="Tretekstu"/>
        <w:spacing w:before="116" w:after="0"/>
        <w:ind w:left="1106" w:right="0" w:hanging="0"/>
        <w:rPr/>
      </w:pPr>
      <w:r>
        <w:rPr/>
        <w:t>Ogólne zasady kontroli jakości robót podano w ST D-00.00.00 „Wymagania ogólne” [1] pkt 6.</w:t>
      </w:r>
    </w:p>
    <w:p>
      <w:pPr>
        <w:pStyle w:val="Nagwek1"/>
        <w:numPr>
          <w:ilvl w:val="1"/>
          <w:numId w:val="17"/>
        </w:numPr>
        <w:tabs>
          <w:tab w:val="left" w:pos="747" w:leader="none"/>
        </w:tabs>
        <w:spacing w:lineRule="auto" w:line="240" w:before="121" w:after="0"/>
        <w:ind w:left="746" w:right="0" w:hanging="350"/>
        <w:jc w:val="left"/>
        <w:rPr/>
      </w:pPr>
      <w:r>
        <w:rPr/>
        <w:t>Badania przed przystąpieniem do</w:t>
      </w:r>
      <w:r>
        <w:rPr>
          <w:spacing w:val="-3"/>
        </w:rPr>
        <w:t>robót</w:t>
      </w:r>
    </w:p>
    <w:p>
      <w:pPr>
        <w:pStyle w:val="Tretekstu"/>
        <w:spacing w:before="115" w:after="0"/>
        <w:ind w:left="1106" w:right="0" w:hanging="0"/>
        <w:rPr/>
      </w:pPr>
      <w:r>
        <w:rPr/>
        <w:t>Przed przystąpieniem do robót Wykonawca powinien:</w:t>
      </w:r>
    </w:p>
    <w:p>
      <w:pPr>
        <w:pStyle w:val="ListParagraph"/>
        <w:numPr>
          <w:ilvl w:val="0"/>
          <w:numId w:val="9"/>
        </w:numPr>
        <w:tabs>
          <w:tab w:val="left" w:pos="680" w:leader="none"/>
        </w:tabs>
        <w:spacing w:lineRule="auto" w:line="240" w:before="1" w:after="0"/>
        <w:ind w:left="679" w:right="1128" w:hanging="283"/>
        <w:jc w:val="both"/>
        <w:rPr>
          <w:sz w:val="20"/>
        </w:rPr>
      </w:pPr>
      <w:r>
        <w:rPr>
          <w:sz w:val="20"/>
        </w:rPr>
        <w:t>uzyskać wymagane dokumenty, dopuszczające wyroby budowlane do obrotu i powszechnego stosowania (np. stwierdzenie o oznakowaniu materiału znakiem</w:t>
      </w:r>
      <w:r>
        <w:rPr>
          <w:spacing w:val="-3"/>
          <w:sz w:val="20"/>
        </w:rPr>
        <w:t>CE</w:t>
      </w:r>
      <w:r>
        <w:rPr>
          <w:sz w:val="20"/>
        </w:rPr>
        <w:t>lub znakiem</w:t>
      </w:r>
      <w:r>
        <w:rPr>
          <w:spacing w:val="-3"/>
          <w:sz w:val="20"/>
        </w:rPr>
        <w:t>budowlanym B,</w:t>
      </w:r>
      <w:r>
        <w:rPr>
          <w:sz w:val="20"/>
        </w:rPr>
        <w:t>certyfikat  zgodności, deklarację zgodności, aprobatę techniczną,</w:t>
      </w:r>
      <w:r>
        <w:rPr>
          <w:spacing w:val="-4"/>
          <w:sz w:val="20"/>
        </w:rPr>
        <w:t>ew.</w:t>
      </w:r>
      <w:r>
        <w:rPr>
          <w:sz w:val="20"/>
        </w:rPr>
        <w:t>badania materiałów wykonane przez dostawców</w:t>
      </w:r>
      <w:r>
        <w:rPr>
          <w:spacing w:val="-11"/>
          <w:sz w:val="20"/>
        </w:rPr>
        <w:t>itp.),</w:t>
      </w:r>
    </w:p>
    <w:p>
      <w:pPr>
        <w:pStyle w:val="ListParagraph"/>
        <w:numPr>
          <w:ilvl w:val="0"/>
          <w:numId w:val="9"/>
        </w:numPr>
        <w:tabs>
          <w:tab w:val="left" w:pos="680" w:leader="none"/>
        </w:tabs>
        <w:spacing w:lineRule="auto" w:line="240" w:before="0" w:after="0"/>
        <w:ind w:left="679" w:right="1128" w:hanging="283"/>
        <w:jc w:val="left"/>
        <w:rPr>
          <w:sz w:val="20"/>
        </w:rPr>
      </w:pPr>
      <w:r>
        <w:rPr>
          <w:sz w:val="20"/>
        </w:rPr>
        <w:t>ew. wykonać własne badania właściwości materiałów przeznaczonych do wykonania robót, określone przez Inżyniera.</w:t>
      </w:r>
    </w:p>
    <w:p>
      <w:pPr>
        <w:pStyle w:val="Tretekstu"/>
        <w:ind w:left="1106" w:right="0" w:hanging="0"/>
        <w:rPr/>
      </w:pPr>
      <w:r>
        <w:rPr/>
        <w:t>Wszystkie dokumenty oraz wyniki badań Wykonawca przedstawia Inżynierowi do akceptacji.</w:t>
      </w:r>
    </w:p>
    <w:p>
      <w:pPr>
        <w:pStyle w:val="Tretekstu"/>
        <w:spacing w:before="11" w:after="0"/>
        <w:ind w:left="0" w:right="0" w:hanging="0"/>
        <w:rPr>
          <w:sz w:val="30"/>
        </w:rPr>
      </w:pPr>
      <w:r>
        <w:rPr>
          <w:sz w:val="30"/>
        </w:rPr>
      </w:r>
    </w:p>
    <w:p>
      <w:pPr>
        <w:pStyle w:val="Nagwek1"/>
        <w:numPr>
          <w:ilvl w:val="1"/>
          <w:numId w:val="17"/>
        </w:numPr>
        <w:tabs>
          <w:tab w:val="left" w:pos="747" w:leader="none"/>
        </w:tabs>
        <w:spacing w:lineRule="auto" w:line="240" w:before="0" w:after="0"/>
        <w:ind w:left="746" w:right="0" w:hanging="350"/>
        <w:jc w:val="left"/>
        <w:rPr/>
      </w:pPr>
      <w:r>
        <w:rPr/>
        <w:t>Badania w czasie</w:t>
      </w:r>
      <w:r>
        <w:rPr>
          <w:spacing w:val="-3"/>
        </w:rPr>
        <w:t>robót</w:t>
      </w:r>
    </w:p>
    <w:p>
      <w:pPr>
        <w:pStyle w:val="Tretekstu"/>
        <w:spacing w:lineRule="exact" w:line="228" w:before="116" w:after="0"/>
        <w:ind w:left="1106" w:right="0" w:hanging="0"/>
        <w:rPr/>
      </w:pPr>
      <w:r>
        <w:rPr/>
        <w:t>Badania dzielą się na:</w:t>
      </w:r>
    </w:p>
    <w:p>
      <w:pPr>
        <w:pStyle w:val="ListParagraph"/>
        <w:numPr>
          <w:ilvl w:val="0"/>
          <w:numId w:val="14"/>
        </w:numPr>
        <w:tabs>
          <w:tab w:val="left" w:pos="794" w:leader="none"/>
          <w:tab w:val="left" w:pos="795" w:leader="none"/>
        </w:tabs>
        <w:spacing w:lineRule="exact" w:line="228" w:before="0" w:after="0"/>
        <w:ind w:left="794" w:right="0" w:hanging="398"/>
        <w:jc w:val="left"/>
        <w:rPr>
          <w:sz w:val="20"/>
        </w:rPr>
      </w:pPr>
      <w:r>
        <w:rPr>
          <w:sz w:val="20"/>
        </w:rPr>
        <w:t>badania Wykonawcy (w ramach własnego</w:t>
      </w:r>
      <w:r>
        <w:rPr>
          <w:spacing w:val="-14"/>
          <w:sz w:val="20"/>
        </w:rPr>
        <w:t>nadzoru),</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badania kontrolne (w ramach nadzoru zleceniodawcy –</w:t>
      </w:r>
      <w:r>
        <w:rPr>
          <w:spacing w:val="-25"/>
          <w:sz w:val="20"/>
        </w:rPr>
        <w:t>Inżyniera):</w:t>
      </w:r>
    </w:p>
    <w:p>
      <w:pPr>
        <w:pStyle w:val="ListParagraph"/>
        <w:numPr>
          <w:ilvl w:val="1"/>
          <w:numId w:val="14"/>
        </w:numPr>
        <w:tabs>
          <w:tab w:val="left" w:pos="1106" w:leader="none"/>
          <w:tab w:val="left" w:pos="1107" w:leader="none"/>
        </w:tabs>
        <w:spacing w:lineRule="auto" w:line="240" w:before="0" w:after="0"/>
        <w:ind w:left="1106" w:right="0" w:hanging="350"/>
        <w:jc w:val="left"/>
        <w:rPr>
          <w:sz w:val="20"/>
        </w:rPr>
      </w:pPr>
      <w:r>
        <w:rPr>
          <w:sz w:val="20"/>
        </w:rPr>
        <w:t>dodatkowe,</w:t>
      </w:r>
    </w:p>
    <w:p>
      <w:pPr>
        <w:pStyle w:val="ListParagraph"/>
        <w:numPr>
          <w:ilvl w:val="1"/>
          <w:numId w:val="14"/>
        </w:numPr>
        <w:tabs>
          <w:tab w:val="left" w:pos="1106" w:leader="none"/>
          <w:tab w:val="left" w:pos="1107" w:leader="none"/>
        </w:tabs>
        <w:spacing w:lineRule="auto" w:line="240" w:before="1" w:after="0"/>
        <w:ind w:left="1106" w:right="0" w:hanging="350"/>
        <w:jc w:val="left"/>
        <w:rPr>
          <w:sz w:val="20"/>
        </w:rPr>
      </w:pPr>
      <w:r>
        <w:rPr>
          <w:sz w:val="20"/>
        </w:rPr>
        <w:t>arbitrażowe.</w:t>
      </w:r>
    </w:p>
    <w:p>
      <w:pPr>
        <w:pStyle w:val="Nagwek1"/>
        <w:numPr>
          <w:ilvl w:val="1"/>
          <w:numId w:val="17"/>
        </w:numPr>
        <w:tabs>
          <w:tab w:val="left" w:pos="747" w:leader="none"/>
        </w:tabs>
        <w:spacing w:lineRule="auto" w:line="240" w:before="125" w:after="0"/>
        <w:ind w:left="746" w:right="0" w:hanging="350"/>
        <w:jc w:val="left"/>
        <w:rPr/>
      </w:pPr>
      <w:r>
        <w:rPr/>
        <w:t>Badania</w:t>
      </w:r>
      <w:r>
        <w:rPr>
          <w:spacing w:val="-2"/>
        </w:rPr>
        <w:t>Wykonawcy</w:t>
      </w:r>
    </w:p>
    <w:p>
      <w:pPr>
        <w:pStyle w:val="Tretekstu"/>
        <w:spacing w:before="6" w:after="0"/>
        <w:ind w:left="0" w:right="0" w:hanging="0"/>
        <w:rPr>
          <w:b/>
          <w:b/>
        </w:rPr>
      </w:pPr>
      <w:r>
        <w:rPr>
          <w:b/>
        </w:rPr>
      </w:r>
    </w:p>
    <w:p>
      <w:pPr>
        <w:pStyle w:val="ListParagraph"/>
        <w:numPr>
          <w:ilvl w:val="2"/>
          <w:numId w:val="17"/>
        </w:numPr>
        <w:tabs>
          <w:tab w:val="left" w:pos="900" w:leader="none"/>
        </w:tabs>
        <w:spacing w:lineRule="auto" w:line="240" w:before="0" w:after="0"/>
        <w:ind w:left="900" w:right="0" w:hanging="504"/>
        <w:jc w:val="left"/>
        <w:rPr>
          <w:sz w:val="20"/>
        </w:rPr>
      </w:pPr>
      <w:r>
        <w:rPr>
          <w:sz w:val="20"/>
        </w:rPr>
        <w:t>Badania w czasie wykonywania warstwy asfaltowej i badania gotowej</w:t>
      </w:r>
      <w:r>
        <w:rPr>
          <w:spacing w:val="-11"/>
          <w:sz w:val="20"/>
        </w:rPr>
        <w:t>warstwy</w:t>
      </w:r>
    </w:p>
    <w:p>
      <w:pPr>
        <w:pStyle w:val="Tretekstu"/>
        <w:spacing w:before="120" w:after="0"/>
        <w:ind w:left="0" w:right="1122" w:firstLine="710"/>
        <w:jc w:val="both"/>
        <w:rPr/>
      </w:pPr>
      <w:r>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pPr>
        <w:pStyle w:val="Tretekstu"/>
        <w:spacing w:lineRule="auto" w:line="235" w:before="4" w:after="0"/>
        <w:ind w:left="0" w:right="1126" w:firstLine="710"/>
        <w:jc w:val="both"/>
        <w:rPr/>
      </w:pPr>
      <w:r>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pPr>
        <w:pStyle w:val="Tretekstu"/>
        <w:spacing w:before="1" w:after="0"/>
        <w:ind w:left="0" w:right="1123" w:firstLine="710"/>
        <w:jc w:val="both"/>
        <w:rPr/>
      </w:pPr>
      <w:r>
        <w:rPr/>
        <w:t>Wyniki badań Wykonawcy należy przekazywać Inżynierowi na jego żądanie. Inżynier może zdecydować o dokonaniu odbioru na podstawie badań Wykonawcy. W razie zastrzeżeń Inżynier może przeprowadzić badania kontrolne według pktu 6.5.</w:t>
      </w:r>
    </w:p>
    <w:p>
      <w:pPr>
        <w:pStyle w:val="Tretekstu"/>
        <w:spacing w:before="1" w:after="0"/>
        <w:ind w:left="1106" w:right="0" w:hanging="0"/>
        <w:rPr/>
      </w:pPr>
      <w:r>
        <w:rPr/>
        <w:t>Zakres badań Wykonawcy związany z wykonywaniem nawierzchni:</w:t>
      </w:r>
    </w:p>
    <w:p>
      <w:pPr>
        <w:pStyle w:val="ListParagraph"/>
        <w:numPr>
          <w:ilvl w:val="0"/>
          <w:numId w:val="14"/>
        </w:numPr>
        <w:tabs>
          <w:tab w:val="left" w:pos="794" w:leader="none"/>
          <w:tab w:val="left" w:pos="795" w:leader="none"/>
        </w:tabs>
        <w:spacing w:lineRule="auto" w:line="240" w:before="1" w:after="0"/>
        <w:ind w:left="794" w:right="0" w:hanging="398"/>
        <w:jc w:val="left"/>
        <w:rPr>
          <w:sz w:val="20"/>
        </w:rPr>
      </w:pPr>
      <w:r>
        <w:rPr>
          <w:sz w:val="20"/>
        </w:rPr>
        <w:t xml:space="preserve">pomiar temperatury </w:t>
      </w:r>
      <w:r>
        <w:rPr>
          <w:spacing w:val="-6"/>
          <w:sz w:val="20"/>
        </w:rPr>
        <w:t>powietrza,</w:t>
      </w:r>
    </w:p>
    <w:p>
      <w:pPr>
        <w:pStyle w:val="ListParagraph"/>
        <w:numPr>
          <w:ilvl w:val="0"/>
          <w:numId w:val="14"/>
        </w:numPr>
        <w:tabs>
          <w:tab w:val="left" w:pos="794" w:leader="none"/>
          <w:tab w:val="left" w:pos="795" w:leader="none"/>
        </w:tabs>
        <w:spacing w:lineRule="auto" w:line="240" w:before="0" w:after="0"/>
        <w:ind w:left="794" w:right="1122" w:hanging="398"/>
        <w:jc w:val="left"/>
        <w:rPr>
          <w:sz w:val="20"/>
        </w:rPr>
      </w:pPr>
      <w:r>
        <w:rPr>
          <w:sz w:val="20"/>
        </w:rPr>
        <w:t>pomiar temperatury mieszanki mineralno-asfaltowej podczas wykonywania nawierzchni</w:t>
      </w:r>
      <w:r>
        <w:rPr>
          <w:spacing w:val="-3"/>
          <w:sz w:val="20"/>
        </w:rPr>
        <w:t>(wg</w:t>
      </w:r>
      <w:r>
        <w:rPr>
          <w:sz w:val="20"/>
        </w:rPr>
        <w:t>PN-EN 12697-13 [38]),</w:t>
      </w:r>
    </w:p>
    <w:p>
      <w:pPr>
        <w:pStyle w:val="ListParagraph"/>
        <w:numPr>
          <w:ilvl w:val="0"/>
          <w:numId w:val="14"/>
        </w:numPr>
        <w:tabs>
          <w:tab w:val="left" w:pos="794" w:leader="none"/>
          <w:tab w:val="left" w:pos="795" w:leader="none"/>
        </w:tabs>
        <w:spacing w:lineRule="auto" w:line="240" w:before="1" w:after="0"/>
        <w:ind w:left="794" w:right="0" w:hanging="398"/>
        <w:jc w:val="left"/>
        <w:rPr>
          <w:sz w:val="20"/>
        </w:rPr>
      </w:pPr>
      <w:r>
        <w:rPr>
          <w:sz w:val="20"/>
        </w:rPr>
        <w:t>ocena wizualna mieszanki</w:t>
      </w:r>
      <w:r>
        <w:rPr>
          <w:spacing w:val="1"/>
          <w:sz w:val="20"/>
        </w:rPr>
        <w:t>mineralno-asfaltowej,</w:t>
      </w:r>
    </w:p>
    <w:p>
      <w:pPr>
        <w:pStyle w:val="ListParagraph"/>
        <w:numPr>
          <w:ilvl w:val="0"/>
          <w:numId w:val="14"/>
        </w:numPr>
        <w:tabs>
          <w:tab w:val="left" w:pos="794" w:leader="none"/>
          <w:tab w:val="left" w:pos="795" w:leader="none"/>
        </w:tabs>
        <w:spacing w:lineRule="auto" w:line="240" w:before="1" w:after="0"/>
        <w:ind w:left="794" w:right="0" w:hanging="398"/>
        <w:jc w:val="left"/>
        <w:rPr>
          <w:sz w:val="20"/>
        </w:rPr>
      </w:pPr>
      <w:r>
        <w:rPr>
          <w:sz w:val="20"/>
        </w:rPr>
        <w:t xml:space="preserve">ocena wizualna </w:t>
      </w:r>
      <w:r>
        <w:rPr>
          <w:spacing w:val="3"/>
          <w:sz w:val="20"/>
        </w:rPr>
        <w:t>posypki,</w:t>
      </w:r>
    </w:p>
    <w:p>
      <w:pPr>
        <w:pStyle w:val="ListParagraph"/>
        <w:numPr>
          <w:ilvl w:val="0"/>
          <w:numId w:val="14"/>
        </w:numPr>
        <w:tabs>
          <w:tab w:val="left" w:pos="794" w:leader="none"/>
          <w:tab w:val="left" w:pos="795" w:leader="none"/>
        </w:tabs>
        <w:spacing w:lineRule="exact" w:line="228" w:before="0" w:after="0"/>
        <w:ind w:left="794" w:right="0" w:hanging="398"/>
        <w:jc w:val="left"/>
        <w:rPr>
          <w:sz w:val="20"/>
        </w:rPr>
      </w:pPr>
      <w:r>
        <w:rPr>
          <w:sz w:val="20"/>
        </w:rPr>
        <w:t xml:space="preserve">wykaz </w:t>
      </w:r>
      <w:r>
        <w:rPr>
          <w:spacing w:val="-3"/>
          <w:sz w:val="20"/>
        </w:rPr>
        <w:t xml:space="preserve">ilości </w:t>
      </w:r>
      <w:r>
        <w:rPr>
          <w:sz w:val="20"/>
        </w:rPr>
        <w:t xml:space="preserve">materiałów lub grubości wykonanej </w:t>
      </w:r>
      <w:r>
        <w:rPr>
          <w:spacing w:val="6"/>
          <w:sz w:val="20"/>
        </w:rPr>
        <w:t>warstwy,</w:t>
      </w:r>
    </w:p>
    <w:p>
      <w:pPr>
        <w:pStyle w:val="ListParagraph"/>
        <w:numPr>
          <w:ilvl w:val="0"/>
          <w:numId w:val="14"/>
        </w:numPr>
        <w:tabs>
          <w:tab w:val="left" w:pos="794" w:leader="none"/>
          <w:tab w:val="left" w:pos="795" w:leader="none"/>
        </w:tabs>
        <w:spacing w:lineRule="exact" w:line="228" w:before="0" w:after="0"/>
        <w:ind w:left="794" w:right="0" w:hanging="398"/>
        <w:jc w:val="left"/>
        <w:rPr>
          <w:sz w:val="20"/>
        </w:rPr>
      </w:pPr>
      <w:r>
        <w:rPr>
          <w:sz w:val="20"/>
        </w:rPr>
        <w:t xml:space="preserve">pomiar spadku poprzecznego warstwy </w:t>
      </w:r>
      <w:r>
        <w:rPr>
          <w:spacing w:val="-7"/>
          <w:sz w:val="20"/>
        </w:rPr>
        <w:t>asfaltowej,</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pomiar równości warstwy asfaltowej (wg pktu</w:t>
      </w:r>
      <w:r>
        <w:rPr>
          <w:spacing w:val="-8"/>
          <w:sz w:val="20"/>
        </w:rPr>
        <w:t>6.5.4.4),</w:t>
      </w:r>
    </w:p>
    <w:p>
      <w:pPr>
        <w:pStyle w:val="ListParagraph"/>
        <w:numPr>
          <w:ilvl w:val="0"/>
          <w:numId w:val="14"/>
        </w:numPr>
        <w:tabs>
          <w:tab w:val="left" w:pos="794" w:leader="none"/>
          <w:tab w:val="left" w:pos="795" w:leader="none"/>
        </w:tabs>
        <w:spacing w:lineRule="auto" w:line="240" w:before="1" w:after="0"/>
        <w:ind w:left="794" w:right="0" w:hanging="398"/>
        <w:jc w:val="left"/>
        <w:rPr>
          <w:sz w:val="20"/>
        </w:rPr>
      </w:pPr>
      <w:r>
        <w:rPr>
          <w:sz w:val="20"/>
        </w:rPr>
        <w:t xml:space="preserve">dokumentacja działań </w:t>
      </w:r>
      <w:r>
        <w:rPr>
          <w:spacing w:val="-3"/>
          <w:sz w:val="20"/>
        </w:rPr>
        <w:t xml:space="preserve">podejmowanych </w:t>
      </w:r>
      <w:r>
        <w:rPr>
          <w:sz w:val="20"/>
        </w:rPr>
        <w:t xml:space="preserve">celem zapewnienia odpowiednich właściwości </w:t>
      </w:r>
      <w:r>
        <w:rPr>
          <w:spacing w:val="25"/>
          <w:sz w:val="20"/>
        </w:rPr>
        <w:t>przeciwpoślizgowych,</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 xml:space="preserve">pomiar parametrów geometrycznych </w:t>
      </w:r>
      <w:r>
        <w:rPr>
          <w:spacing w:val="-3"/>
          <w:sz w:val="20"/>
        </w:rPr>
        <w:t>poboczy,</w:t>
      </w:r>
    </w:p>
    <w:p>
      <w:pPr>
        <w:pStyle w:val="ListParagraph"/>
        <w:numPr>
          <w:ilvl w:val="0"/>
          <w:numId w:val="14"/>
        </w:numPr>
        <w:tabs>
          <w:tab w:val="left" w:pos="794" w:leader="none"/>
          <w:tab w:val="left" w:pos="795" w:leader="none"/>
        </w:tabs>
        <w:spacing w:lineRule="auto" w:line="240" w:before="1" w:after="0"/>
        <w:ind w:left="794" w:right="0" w:hanging="398"/>
        <w:jc w:val="left"/>
        <w:rPr>
          <w:sz w:val="20"/>
        </w:rPr>
      </w:pPr>
      <w:r>
        <w:rPr>
          <w:sz w:val="20"/>
        </w:rPr>
        <w:t xml:space="preserve">ocena wizualna jednorodności powierzchni </w:t>
      </w:r>
      <w:r>
        <w:rPr>
          <w:spacing w:val="-3"/>
          <w:sz w:val="20"/>
        </w:rPr>
        <w:t>warstwy,</w:t>
      </w:r>
    </w:p>
    <w:p>
      <w:pPr>
        <w:pStyle w:val="ListParagraph"/>
        <w:numPr>
          <w:ilvl w:val="0"/>
          <w:numId w:val="14"/>
        </w:numPr>
        <w:tabs>
          <w:tab w:val="left" w:pos="794" w:leader="none"/>
          <w:tab w:val="left" w:pos="795" w:leader="none"/>
        </w:tabs>
        <w:spacing w:lineRule="auto" w:line="240" w:before="0" w:after="0"/>
        <w:ind w:left="794" w:right="0" w:hanging="398"/>
        <w:jc w:val="left"/>
        <w:rPr>
          <w:sz w:val="20"/>
        </w:rPr>
      </w:pPr>
      <w:r>
        <w:rPr>
          <w:sz w:val="20"/>
        </w:rPr>
        <w:t>ocena wizualna jakości wykonania połączeń</w:t>
      </w:r>
      <w:r>
        <w:rPr>
          <w:spacing w:val="6"/>
          <w:sz w:val="20"/>
        </w:rPr>
        <w:t>technologicznych.</w:t>
      </w:r>
    </w:p>
    <w:p>
      <w:pPr>
        <w:pStyle w:val="Nagwek1"/>
        <w:numPr>
          <w:ilvl w:val="1"/>
          <w:numId w:val="8"/>
        </w:numPr>
        <w:tabs>
          <w:tab w:val="left" w:pos="747" w:leader="none"/>
        </w:tabs>
        <w:spacing w:lineRule="auto" w:line="240" w:before="125" w:after="0"/>
        <w:ind w:left="746" w:right="0" w:hanging="350"/>
        <w:jc w:val="left"/>
        <w:rPr/>
      </w:pPr>
      <w:r>
        <w:rPr/>
        <w:t xml:space="preserve">Badania kontrolne zamawiającego (w zależności </w:t>
      </w:r>
      <w:r>
        <w:rPr>
          <w:spacing w:val="-3"/>
        </w:rPr>
        <w:t xml:space="preserve">od </w:t>
      </w:r>
      <w:r>
        <w:rPr/>
        <w:t xml:space="preserve">warunków </w:t>
      </w:r>
      <w:r>
        <w:rPr>
          <w:spacing w:val="-6"/>
        </w:rPr>
        <w:t>kontraktu)</w:t>
      </w:r>
    </w:p>
    <w:p>
      <w:pPr>
        <w:sectPr>
          <w:type w:val="nextPage"/>
          <w:pgSz w:w="11906" w:h="16838"/>
          <w:pgMar w:left="1020" w:right="0" w:header="0" w:top="760" w:footer="0" w:bottom="280" w:gutter="0"/>
          <w:pgNumType w:fmt="decimal"/>
          <w:formProt w:val="false"/>
          <w:textDirection w:val="lrTb"/>
          <w:docGrid w:type="default" w:linePitch="100" w:charSpace="4096"/>
        </w:sectPr>
        <w:pStyle w:val="Tretekstu"/>
        <w:spacing w:before="116" w:after="0"/>
        <w:ind w:left="0" w:right="1125" w:firstLine="710"/>
        <w:jc w:val="both"/>
        <w:rPr/>
      </w:pPr>
      <w:r>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w:t>
      </w:r>
    </w:p>
    <w:p>
      <w:pPr>
        <w:pStyle w:val="Tretekstu"/>
        <w:spacing w:before="82" w:after="0"/>
        <w:ind w:left="0" w:right="1122" w:hanging="0"/>
        <w:jc w:val="both"/>
        <w:rPr/>
      </w:pPr>
      <w:r>
        <w:rPr/>
        <w:t>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pPr>
        <w:pStyle w:val="Tretekstu"/>
        <w:spacing w:before="1" w:after="0"/>
        <w:ind w:left="0" w:right="1122" w:firstLine="710"/>
        <w:jc w:val="both"/>
        <w:rPr/>
      </w:pPr>
      <w:r>
        <w:rPr/>
        <w:t>Rodzaj i zakres badań kontrolnych Zamawiającego mieszanki mineralno-asfaltowej i wykonanej warstwy</w:t>
      </w:r>
      <w:r>
        <w:rPr>
          <w:spacing w:val="-3"/>
        </w:rPr>
        <w:t>jest</w:t>
      </w:r>
      <w:r>
        <w:rPr>
          <w:spacing w:val="3"/>
        </w:rPr>
        <w:t>następujący:</w:t>
      </w:r>
    </w:p>
    <w:p>
      <w:pPr>
        <w:pStyle w:val="ListParagraph"/>
        <w:numPr>
          <w:ilvl w:val="0"/>
          <w:numId w:val="7"/>
        </w:numPr>
        <w:tabs>
          <w:tab w:val="left" w:pos="794" w:leader="none"/>
          <w:tab w:val="left" w:pos="795" w:leader="none"/>
          <w:tab w:val="left" w:pos="9696" w:leader="none"/>
        </w:tabs>
        <w:spacing w:lineRule="auto" w:line="240" w:before="1" w:after="0"/>
        <w:ind w:left="794" w:right="1125" w:hanging="398"/>
        <w:jc w:val="left"/>
        <w:rPr>
          <w:sz w:val="20"/>
        </w:rPr>
      </w:pPr>
      <w:r>
        <w:rPr>
          <w:sz w:val="20"/>
        </w:rPr>
        <w:t xml:space="preserve">badania  materiałów   wsadowych   do  mieszanki  mineralno-asfaltowej  (asfaltów, </w:t>
      </w:r>
      <w:r>
        <w:rPr>
          <w:spacing w:val="13"/>
          <w:sz w:val="20"/>
        </w:rPr>
        <w:t xml:space="preserve">kruszyw, </w:t>
      </w:r>
      <w:r>
        <w:rPr>
          <w:spacing w:val="20"/>
          <w:sz w:val="20"/>
        </w:rPr>
        <w:t>wypełniacza</w:t>
      </w:r>
      <w:r>
        <w:rPr>
          <w:sz w:val="20"/>
        </w:rPr>
        <w:tab/>
        <w:t>i dodatków).</w:t>
      </w:r>
    </w:p>
    <w:p>
      <w:pPr>
        <w:pStyle w:val="Tretekstu"/>
        <w:spacing w:before="1" w:after="0"/>
        <w:rPr/>
      </w:pPr>
      <w:r>
        <w:rPr/>
        <w:t>Mieszanka mineralno-asfaltowa:</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uziarnienie,</w:t>
      </w:r>
    </w:p>
    <w:p>
      <w:pPr>
        <w:pStyle w:val="ListParagraph"/>
        <w:numPr>
          <w:ilvl w:val="0"/>
          <w:numId w:val="7"/>
        </w:numPr>
        <w:tabs>
          <w:tab w:val="left" w:pos="755" w:leader="none"/>
          <w:tab w:val="left" w:pos="756" w:leader="none"/>
        </w:tabs>
        <w:spacing w:lineRule="exact" w:line="228" w:before="1" w:after="0"/>
        <w:ind w:left="756" w:right="0" w:hanging="360"/>
        <w:jc w:val="left"/>
        <w:rPr>
          <w:sz w:val="20"/>
        </w:rPr>
      </w:pPr>
      <w:r>
        <w:rPr>
          <w:sz w:val="20"/>
        </w:rPr>
        <w:t xml:space="preserve">zawartość </w:t>
      </w:r>
      <w:r>
        <w:rPr>
          <w:spacing w:val="-2"/>
          <w:sz w:val="20"/>
        </w:rPr>
        <w:t>lepiszcza,</w:t>
      </w:r>
    </w:p>
    <w:p>
      <w:pPr>
        <w:pStyle w:val="ListParagraph"/>
        <w:numPr>
          <w:ilvl w:val="0"/>
          <w:numId w:val="7"/>
        </w:numPr>
        <w:tabs>
          <w:tab w:val="left" w:pos="755" w:leader="none"/>
          <w:tab w:val="left" w:pos="756" w:leader="none"/>
        </w:tabs>
        <w:spacing w:lineRule="exact" w:line="228" w:before="0" w:after="0"/>
        <w:ind w:left="756" w:right="0" w:hanging="360"/>
        <w:jc w:val="left"/>
        <w:rPr>
          <w:sz w:val="20"/>
        </w:rPr>
      </w:pPr>
      <w:r>
        <w:rPr>
          <w:sz w:val="20"/>
        </w:rPr>
        <w:t xml:space="preserve">temperatura mięknienia odzyskanego </w:t>
      </w:r>
      <w:r>
        <w:rPr>
          <w:spacing w:val="-14"/>
          <w:sz w:val="20"/>
        </w:rPr>
        <w:t>lepiszcza,</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gęstość i zawartość wolnych przestrzeni </w:t>
      </w:r>
      <w:r>
        <w:rPr>
          <w:spacing w:val="-18"/>
          <w:sz w:val="20"/>
        </w:rPr>
        <w:t>próbki.</w:t>
      </w:r>
    </w:p>
    <w:p>
      <w:pPr>
        <w:pStyle w:val="Tretekstu"/>
        <w:rPr/>
      </w:pPr>
      <w:r>
        <w:rPr/>
        <w:t>Warunki technologiczne wbudowywania mieszanki mineralno-asfaltowej:</w:t>
      </w:r>
    </w:p>
    <w:p>
      <w:pPr>
        <w:pStyle w:val="ListParagraph"/>
        <w:numPr>
          <w:ilvl w:val="0"/>
          <w:numId w:val="7"/>
        </w:numPr>
        <w:tabs>
          <w:tab w:val="left" w:pos="794" w:leader="none"/>
          <w:tab w:val="left" w:pos="795" w:leader="none"/>
        </w:tabs>
        <w:spacing w:lineRule="auto" w:line="240" w:before="1" w:after="0"/>
        <w:ind w:left="794" w:right="0" w:hanging="398"/>
        <w:jc w:val="left"/>
        <w:rPr>
          <w:sz w:val="20"/>
        </w:rPr>
      </w:pPr>
      <w:r>
        <w:rPr>
          <w:sz w:val="20"/>
        </w:rPr>
        <w:t xml:space="preserve">pomiar temperatury powietrza podczas pobrania próby do </w:t>
      </w:r>
      <w:r>
        <w:rPr>
          <w:spacing w:val="-14"/>
          <w:sz w:val="20"/>
        </w:rPr>
        <w:t>badań,</w:t>
      </w:r>
    </w:p>
    <w:p>
      <w:pPr>
        <w:pStyle w:val="ListParagraph"/>
        <w:numPr>
          <w:ilvl w:val="0"/>
          <w:numId w:val="7"/>
        </w:numPr>
        <w:tabs>
          <w:tab w:val="left" w:pos="794" w:leader="none"/>
          <w:tab w:val="left" w:pos="795" w:leader="none"/>
        </w:tabs>
        <w:spacing w:lineRule="auto" w:line="240" w:before="0" w:after="0"/>
        <w:ind w:left="794" w:right="0" w:hanging="398"/>
        <w:jc w:val="left"/>
        <w:rPr>
          <w:sz w:val="20"/>
        </w:rPr>
      </w:pPr>
      <w:r>
        <w:rPr>
          <w:sz w:val="20"/>
        </w:rPr>
        <w:t xml:space="preserve">pomiar temperatury mieszanki </w:t>
      </w:r>
      <w:r>
        <w:rPr>
          <w:spacing w:val="-7"/>
          <w:sz w:val="20"/>
        </w:rPr>
        <w:t>mineralno-asfaltowej,</w:t>
      </w:r>
    </w:p>
    <w:p>
      <w:pPr>
        <w:pStyle w:val="ListParagraph"/>
        <w:numPr>
          <w:ilvl w:val="0"/>
          <w:numId w:val="7"/>
        </w:numPr>
        <w:tabs>
          <w:tab w:val="left" w:pos="794" w:leader="none"/>
          <w:tab w:val="left" w:pos="795" w:leader="none"/>
        </w:tabs>
        <w:spacing w:lineRule="auto" w:line="240" w:before="1" w:after="0"/>
        <w:ind w:left="396" w:right="5123" w:hanging="0"/>
        <w:jc w:val="left"/>
        <w:rPr>
          <w:sz w:val="20"/>
        </w:rPr>
      </w:pPr>
      <w:r>
        <w:rPr>
          <w:sz w:val="20"/>
        </w:rPr>
        <w:t xml:space="preserve">ocena wizualna dostarczonej mieszanki mineralno-asfaltowej. Wykonana </w:t>
      </w:r>
      <w:r>
        <w:rPr>
          <w:spacing w:val="3"/>
          <w:sz w:val="20"/>
        </w:rPr>
        <w:t>warstwa:</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wskaźnik </w:t>
      </w:r>
      <w:r>
        <w:rPr>
          <w:spacing w:val="-3"/>
          <w:sz w:val="20"/>
        </w:rPr>
        <w:t>zagęszczenia</w:t>
      </w:r>
    </w:p>
    <w:p>
      <w:pPr>
        <w:pStyle w:val="ListParagraph"/>
        <w:numPr>
          <w:ilvl w:val="0"/>
          <w:numId w:val="7"/>
        </w:numPr>
        <w:tabs>
          <w:tab w:val="left" w:pos="755" w:leader="none"/>
          <w:tab w:val="left" w:pos="756" w:leader="none"/>
        </w:tabs>
        <w:spacing w:lineRule="auto" w:line="240" w:before="1" w:after="0"/>
        <w:ind w:left="756" w:right="0" w:hanging="360"/>
        <w:jc w:val="left"/>
        <w:rPr>
          <w:sz w:val="20"/>
        </w:rPr>
      </w:pPr>
      <w:r>
        <w:rPr>
          <w:sz w:val="20"/>
        </w:rPr>
        <w:t xml:space="preserve">grubość warstwy lub ilość zużytego </w:t>
      </w:r>
      <w:r>
        <w:rPr>
          <w:spacing w:val="-16"/>
          <w:sz w:val="20"/>
        </w:rPr>
        <w:t>materiału,</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równość podłużna I </w:t>
      </w:r>
      <w:r>
        <w:rPr>
          <w:spacing w:val="1"/>
          <w:sz w:val="20"/>
        </w:rPr>
        <w:t>poprzeczna,</w:t>
      </w:r>
    </w:p>
    <w:p>
      <w:pPr>
        <w:pStyle w:val="ListParagraph"/>
        <w:numPr>
          <w:ilvl w:val="0"/>
          <w:numId w:val="7"/>
        </w:numPr>
        <w:tabs>
          <w:tab w:val="left" w:pos="755" w:leader="none"/>
          <w:tab w:val="left" w:pos="756" w:leader="none"/>
        </w:tabs>
        <w:spacing w:lineRule="exact" w:line="228" w:before="1" w:after="0"/>
        <w:ind w:left="756" w:right="0" w:hanging="360"/>
        <w:jc w:val="left"/>
        <w:rPr>
          <w:sz w:val="20"/>
        </w:rPr>
      </w:pPr>
      <w:r>
        <w:rPr>
          <w:sz w:val="20"/>
        </w:rPr>
        <w:t xml:space="preserve">spadki </w:t>
      </w:r>
      <w:r>
        <w:rPr>
          <w:spacing w:val="-1"/>
          <w:sz w:val="20"/>
        </w:rPr>
        <w:t>poprzeczne,</w:t>
      </w:r>
    </w:p>
    <w:p>
      <w:pPr>
        <w:pStyle w:val="ListParagraph"/>
        <w:numPr>
          <w:ilvl w:val="0"/>
          <w:numId w:val="7"/>
        </w:numPr>
        <w:tabs>
          <w:tab w:val="left" w:pos="755" w:leader="none"/>
          <w:tab w:val="left" w:pos="756" w:leader="none"/>
        </w:tabs>
        <w:spacing w:lineRule="exact" w:line="228" w:before="0" w:after="0"/>
        <w:ind w:left="756" w:right="0" w:hanging="360"/>
        <w:jc w:val="left"/>
        <w:rPr>
          <w:sz w:val="20"/>
        </w:rPr>
      </w:pPr>
      <w:r>
        <w:rPr>
          <w:sz w:val="20"/>
        </w:rPr>
        <w:t xml:space="preserve">zawartość wolnych </w:t>
      </w:r>
      <w:r>
        <w:rPr>
          <w:spacing w:val="5"/>
          <w:sz w:val="20"/>
        </w:rPr>
        <w:t>przestrzeni,</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złącza </w:t>
      </w:r>
      <w:r>
        <w:rPr>
          <w:spacing w:val="-2"/>
          <w:sz w:val="20"/>
        </w:rPr>
        <w:t>technologiczne,</w:t>
      </w:r>
    </w:p>
    <w:p>
      <w:pPr>
        <w:pStyle w:val="ListParagraph"/>
        <w:numPr>
          <w:ilvl w:val="0"/>
          <w:numId w:val="7"/>
        </w:numPr>
        <w:tabs>
          <w:tab w:val="left" w:pos="755" w:leader="none"/>
          <w:tab w:val="left" w:pos="756" w:leader="none"/>
        </w:tabs>
        <w:spacing w:lineRule="auto" w:line="240" w:before="1" w:after="0"/>
        <w:ind w:left="756" w:right="0" w:hanging="360"/>
        <w:jc w:val="left"/>
        <w:rPr>
          <w:sz w:val="20"/>
        </w:rPr>
      </w:pPr>
      <w:r>
        <w:rPr>
          <w:sz w:val="20"/>
        </w:rPr>
        <w:t xml:space="preserve">szerokość </w:t>
      </w:r>
      <w:r>
        <w:rPr>
          <w:spacing w:val="3"/>
          <w:sz w:val="20"/>
        </w:rPr>
        <w:t>warstwy,</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rzędne </w:t>
      </w:r>
      <w:r>
        <w:rPr>
          <w:spacing w:val="-7"/>
          <w:sz w:val="20"/>
        </w:rPr>
        <w:t>wysokościowe,</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ukształtowanie </w:t>
      </w:r>
      <w:r>
        <w:rPr>
          <w:spacing w:val="-3"/>
          <w:sz w:val="20"/>
        </w:rPr>
        <w:t xml:space="preserve">osi </w:t>
      </w:r>
      <w:r>
        <w:rPr>
          <w:sz w:val="20"/>
        </w:rPr>
        <w:t xml:space="preserve">w </w:t>
      </w:r>
      <w:r>
        <w:rPr>
          <w:spacing w:val="2"/>
          <w:sz w:val="20"/>
        </w:rPr>
        <w:t>planie,</w:t>
      </w:r>
    </w:p>
    <w:p>
      <w:pPr>
        <w:pStyle w:val="ListParagraph"/>
        <w:numPr>
          <w:ilvl w:val="0"/>
          <w:numId w:val="7"/>
        </w:numPr>
        <w:tabs>
          <w:tab w:val="left" w:pos="755" w:leader="none"/>
          <w:tab w:val="left" w:pos="756" w:leader="none"/>
        </w:tabs>
        <w:spacing w:lineRule="auto" w:line="240" w:before="1" w:after="0"/>
        <w:ind w:left="756" w:right="0" w:hanging="360"/>
        <w:jc w:val="left"/>
        <w:rPr>
          <w:sz w:val="20"/>
        </w:rPr>
      </w:pPr>
      <w:r>
        <w:rPr>
          <w:sz w:val="20"/>
        </w:rPr>
        <w:t xml:space="preserve">ocena wizualna </w:t>
      </w:r>
      <w:r>
        <w:rPr>
          <w:spacing w:val="-3"/>
          <w:sz w:val="20"/>
        </w:rPr>
        <w:t>warstwy,</w:t>
      </w:r>
    </w:p>
    <w:p>
      <w:pPr>
        <w:pStyle w:val="ListParagraph"/>
        <w:numPr>
          <w:ilvl w:val="0"/>
          <w:numId w:val="7"/>
        </w:numPr>
        <w:tabs>
          <w:tab w:val="left" w:pos="755" w:leader="none"/>
          <w:tab w:val="left" w:pos="756" w:leader="none"/>
        </w:tabs>
        <w:spacing w:lineRule="auto" w:line="240" w:before="0" w:after="0"/>
        <w:ind w:left="756" w:right="0" w:hanging="360"/>
        <w:jc w:val="left"/>
        <w:rPr>
          <w:sz w:val="20"/>
        </w:rPr>
      </w:pPr>
      <w:r>
        <w:rPr>
          <w:sz w:val="20"/>
        </w:rPr>
        <w:t xml:space="preserve">właściwości przeciwpoślizgowe warstwy </w:t>
      </w:r>
      <w:r>
        <w:rPr>
          <w:spacing w:val="-5"/>
          <w:sz w:val="20"/>
        </w:rPr>
        <w:t>ścieralnej.</w:t>
      </w:r>
    </w:p>
    <w:p>
      <w:pPr>
        <w:pStyle w:val="ListParagraph"/>
        <w:numPr>
          <w:ilvl w:val="2"/>
          <w:numId w:val="8"/>
        </w:numPr>
        <w:tabs>
          <w:tab w:val="left" w:pos="900" w:leader="none"/>
        </w:tabs>
        <w:spacing w:lineRule="auto" w:line="240" w:before="121" w:after="0"/>
        <w:ind w:left="900" w:right="0" w:hanging="504"/>
        <w:jc w:val="left"/>
        <w:rPr>
          <w:sz w:val="20"/>
        </w:rPr>
      </w:pPr>
      <w:r>
        <w:rPr>
          <w:sz w:val="20"/>
        </w:rPr>
        <w:t>Warunki technologiczne wbudowywania mieszanki</w:t>
      </w:r>
      <w:r>
        <w:rPr>
          <w:spacing w:val="-6"/>
          <w:sz w:val="20"/>
        </w:rPr>
        <w:t>mineralno-asfaltowej</w:t>
      </w:r>
    </w:p>
    <w:p>
      <w:pPr>
        <w:pStyle w:val="Tretekstu"/>
        <w:spacing w:before="120" w:after="0"/>
        <w:ind w:left="0" w:right="1126" w:firstLine="710"/>
        <w:jc w:val="both"/>
        <w:rPr/>
      </w:pPr>
      <w:r>
        <w:rPr/>
        <w:t>Temperatura powietrza powinna</w:t>
      </w:r>
      <w:r>
        <w:rPr>
          <w:spacing w:val="-4"/>
        </w:rPr>
        <w:t>być</w:t>
      </w:r>
      <w:r>
        <w:rPr/>
        <w:t>mierzona przed i w czasie robót; nie powinna</w:t>
      </w:r>
      <w:r>
        <w:rPr>
          <w:spacing w:val="-4"/>
        </w:rPr>
        <w:t>być</w:t>
      </w:r>
      <w:r>
        <w:rPr/>
        <w:t>mniejsza niż  podano w tablicy</w:t>
      </w:r>
      <w:r>
        <w:rPr>
          <w:spacing w:val="-14"/>
        </w:rPr>
        <w:t>17.</w:t>
      </w:r>
    </w:p>
    <w:p>
      <w:pPr>
        <w:pStyle w:val="Tretekstu"/>
        <w:spacing w:before="1" w:after="0"/>
        <w:ind w:left="0" w:right="1123" w:firstLine="710"/>
        <w:jc w:val="both"/>
        <w:rPr/>
      </w:pPr>
      <w:r>
        <w:rPr/>
        <w:t>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w:t>
      </w:r>
    </w:p>
    <w:p>
      <w:pPr>
        <w:pStyle w:val="Tretekstu"/>
        <w:ind w:left="0" w:right="1131" w:firstLine="710"/>
        <w:jc w:val="both"/>
        <w:rPr/>
      </w:pPr>
      <w:r>
        <w:rPr/>
        <w:t>Pomiar temperatury mieszanki mineralno-asfaltowej należy wykonać zgodnie z wymaganiami normy PN- EN 12697-13 [38].</w:t>
      </w:r>
    </w:p>
    <w:p>
      <w:pPr>
        <w:pStyle w:val="Tretekstu"/>
        <w:ind w:left="0" w:right="1123" w:firstLine="710"/>
        <w:jc w:val="both"/>
        <w:rPr/>
      </w:pPr>
      <w:r>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pPr>
        <w:pStyle w:val="ListParagraph"/>
        <w:numPr>
          <w:ilvl w:val="2"/>
          <w:numId w:val="8"/>
        </w:numPr>
        <w:tabs>
          <w:tab w:val="left" w:pos="900" w:leader="none"/>
        </w:tabs>
        <w:spacing w:lineRule="auto" w:line="240" w:before="120" w:after="0"/>
        <w:ind w:left="900" w:right="0" w:hanging="504"/>
        <w:jc w:val="left"/>
        <w:rPr>
          <w:sz w:val="20"/>
        </w:rPr>
      </w:pPr>
      <w:r>
        <w:rPr>
          <w:sz w:val="20"/>
        </w:rPr>
        <w:t>Wykonania</w:t>
      </w:r>
      <w:r>
        <w:rPr>
          <w:spacing w:val="3"/>
          <w:sz w:val="20"/>
        </w:rPr>
        <w:t>warstwa</w:t>
      </w:r>
    </w:p>
    <w:p>
      <w:pPr>
        <w:pStyle w:val="ListParagraph"/>
        <w:numPr>
          <w:ilvl w:val="3"/>
          <w:numId w:val="8"/>
        </w:numPr>
        <w:tabs>
          <w:tab w:val="left" w:pos="1049" w:leader="none"/>
        </w:tabs>
        <w:spacing w:lineRule="auto" w:line="240" w:before="120" w:after="0"/>
        <w:ind w:left="1048" w:right="0" w:hanging="652"/>
        <w:jc w:val="left"/>
        <w:rPr>
          <w:sz w:val="20"/>
        </w:rPr>
      </w:pPr>
      <w:r>
        <w:rPr>
          <w:sz w:val="20"/>
        </w:rPr>
        <w:t xml:space="preserve">Wskaźnik zagęszczenia i zawartość wolnych </w:t>
      </w:r>
      <w:r>
        <w:rPr>
          <w:spacing w:val="-1"/>
          <w:sz w:val="20"/>
        </w:rPr>
        <w:t>przestrzeni</w:t>
      </w:r>
    </w:p>
    <w:p>
      <w:pPr>
        <w:pStyle w:val="Tretekstu"/>
        <w:spacing w:before="116" w:after="0"/>
        <w:ind w:left="0" w:right="1126" w:firstLine="710"/>
        <w:jc w:val="both"/>
        <w:rPr/>
      </w:pPr>
      <w:r>
        <w:rPr/>
        <w:t>Zagęszczenie wykonanej warstwy wyrażone wskaźnikiem zagęszczenia oraz zawartością wolnych przestrzeni nie może przekroczyć wartości dopuszczalnych podanych w tablicy 23. Dotyczy to każdego pojedynczego oznaczenia danej właściwości.</w:t>
      </w:r>
    </w:p>
    <w:p>
      <w:pPr>
        <w:pStyle w:val="Tretekstu"/>
        <w:spacing w:before="1" w:after="0"/>
        <w:ind w:left="1106" w:right="0" w:hanging="0"/>
        <w:rPr/>
      </w:pPr>
      <w:r>
        <w:rPr/>
        <w:t>Określenie gęstości objętościowej należy wykonywać według PN-EN 12697-6 [34].</w:t>
      </w:r>
    </w:p>
    <w:p>
      <w:pPr>
        <w:pStyle w:val="Tretekstu"/>
        <w:spacing w:before="120" w:after="0"/>
        <w:rPr/>
      </w:pPr>
      <w:r>
        <w:rPr/>
        <w:t>Tablica 23. Właściwości warstwy AC</w:t>
      </w:r>
    </w:p>
    <w:p>
      <w:pPr>
        <w:pStyle w:val="Tretekstu"/>
        <w:spacing w:before="3" w:after="1"/>
        <w:ind w:left="0" w:right="0" w:hanging="0"/>
        <w:rPr>
          <w:sz w:val="11"/>
        </w:rPr>
      </w:pPr>
      <w:r>
        <w:rPr>
          <w:sz w:val="11"/>
        </w:rPr>
      </w:r>
    </w:p>
    <w:tbl>
      <w:tblPr>
        <w:tblW w:w="6830" w:type="dxa"/>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2750"/>
        <w:gridCol w:w="1680"/>
        <w:gridCol w:w="2400"/>
      </w:tblGrid>
      <w:tr>
        <w:trPr>
          <w:trHeight w:val="810" w:hRule="atLeast"/>
        </w:trPr>
        <w:tc>
          <w:tcPr>
            <w:tcW w:w="27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rPr>
                <w:sz w:val="19"/>
              </w:rPr>
            </w:pPr>
            <w:r>
              <w:rPr>
                <w:sz w:val="19"/>
              </w:rPr>
            </w:r>
          </w:p>
          <w:p>
            <w:pPr>
              <w:pStyle w:val="TableParagraph"/>
              <w:ind w:left="403" w:right="0" w:hanging="0"/>
              <w:rPr>
                <w:sz w:val="20"/>
              </w:rPr>
            </w:pPr>
            <w:r>
              <w:rPr>
                <w:sz w:val="20"/>
              </w:rPr>
              <w:t>Typ i wymiar mieszanki</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321" w:right="285" w:firstLine="120"/>
              <w:rPr>
                <w:sz w:val="20"/>
              </w:rPr>
            </w:pPr>
            <w:r>
              <w:rPr>
                <w:sz w:val="20"/>
              </w:rPr>
              <w:t>Wskaźnik zagęszczenia</w:t>
            </w:r>
          </w:p>
          <w:p>
            <w:pPr>
              <w:pStyle w:val="TableParagraph"/>
              <w:spacing w:lineRule="exact" w:line="219" w:before="1" w:after="0"/>
              <w:ind w:left="388" w:right="625" w:hanging="0"/>
              <w:jc w:val="center"/>
              <w:rPr>
                <w:sz w:val="20"/>
              </w:rPr>
            </w:pPr>
            <w:r>
              <w:rPr>
                <w:sz w:val="20"/>
              </w:rPr>
              <w:t>[%]</w:t>
            </w:r>
          </w:p>
        </w:tc>
        <w:tc>
          <w:tcPr>
            <w:tcW w:w="2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278" w:right="263" w:hanging="8"/>
              <w:jc w:val="center"/>
              <w:rPr>
                <w:sz w:val="20"/>
              </w:rPr>
            </w:pPr>
            <w:r>
              <w:rPr>
                <w:sz w:val="20"/>
              </w:rPr>
              <w:t>Zawartość wolnych przestrzeni w warstwie [%(v/v)]</w:t>
            </w:r>
          </w:p>
        </w:tc>
      </w:tr>
      <w:tr>
        <w:trPr>
          <w:trHeight w:val="311" w:hRule="atLeast"/>
        </w:trPr>
        <w:tc>
          <w:tcPr>
            <w:tcW w:w="27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110" w:right="0" w:hanging="0"/>
              <w:rPr>
                <w:sz w:val="20"/>
              </w:rPr>
            </w:pPr>
            <w:r>
              <w:rPr>
                <w:sz w:val="20"/>
              </w:rPr>
              <w:t>AC11S, KR3-KR4</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546" w:right="527" w:hanging="0"/>
              <w:jc w:val="center"/>
              <w:rPr>
                <w:sz w:val="20"/>
              </w:rPr>
            </w:pPr>
            <w:r>
              <w:rPr>
                <w:sz w:val="20"/>
              </w:rPr>
              <w:t xml:space="preserve">≥ </w:t>
            </w:r>
            <w:r>
              <w:rPr>
                <w:sz w:val="20"/>
              </w:rPr>
              <w:t>98</w:t>
            </w:r>
          </w:p>
        </w:tc>
        <w:tc>
          <w:tcPr>
            <w:tcW w:w="2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4" w:after="0"/>
              <w:ind w:left="879" w:right="860" w:hanging="0"/>
              <w:jc w:val="center"/>
              <w:rPr>
                <w:sz w:val="20"/>
              </w:rPr>
            </w:pPr>
            <w:r>
              <w:rPr>
                <w:sz w:val="20"/>
              </w:rPr>
              <w:t>1,5÷5,0</w:t>
            </w:r>
          </w:p>
        </w:tc>
      </w:tr>
    </w:tbl>
    <w:p>
      <w:pPr>
        <w:pStyle w:val="Tretekstu"/>
        <w:spacing w:before="3" w:after="0"/>
        <w:ind w:left="0" w:right="0" w:hanging="0"/>
        <w:rPr>
          <w:sz w:val="29"/>
        </w:rPr>
      </w:pPr>
      <w:r>
        <w:rPr>
          <w:sz w:val="29"/>
        </w:rPr>
      </w:r>
    </w:p>
    <w:p>
      <w:pPr>
        <w:sectPr>
          <w:type w:val="nextPage"/>
          <w:pgSz w:w="11906" w:h="16838"/>
          <w:pgMar w:left="1020" w:right="0" w:header="0" w:top="760" w:footer="0" w:bottom="280" w:gutter="0"/>
          <w:pgNumType w:fmt="decimal"/>
          <w:formProt w:val="false"/>
          <w:textDirection w:val="lrTb"/>
          <w:docGrid w:type="default" w:linePitch="100" w:charSpace="4096"/>
        </w:sectPr>
        <w:pStyle w:val="Tretekstu"/>
        <w:ind w:left="0" w:right="1072" w:firstLine="710"/>
        <w:jc w:val="both"/>
        <w:rPr/>
      </w:pPr>
      <w:r>
        <w:rPr/>
        <w:t xml:space="preserve">Wskaźnik zagęszczenia i zawartość </w:t>
      </w:r>
      <w:r>
        <w:rPr>
          <w:spacing w:val="-3"/>
        </w:rPr>
        <w:t xml:space="preserve">wolnych </w:t>
      </w:r>
      <w:r>
        <w:rPr/>
        <w:t>przestrzeni należy badać dla każdej  warstwy nawierzchni jedna próbka; w razie potrzeby liczba próbek może zostać zwiększona (np. nawierzchnie dróg w terenie zabudowy, nawierzchnie</w:t>
      </w:r>
      <w:r>
        <w:rPr>
          <w:spacing w:val="-7"/>
        </w:rPr>
        <w:t>mostowe).</w:t>
      </w:r>
    </w:p>
    <w:p>
      <w:pPr>
        <w:pStyle w:val="ListParagraph"/>
        <w:numPr>
          <w:ilvl w:val="3"/>
          <w:numId w:val="8"/>
        </w:numPr>
        <w:tabs>
          <w:tab w:val="left" w:pos="1102" w:leader="none"/>
        </w:tabs>
        <w:spacing w:lineRule="auto" w:line="240" w:before="82" w:after="0"/>
        <w:ind w:left="1101" w:right="0" w:hanging="653"/>
        <w:jc w:val="left"/>
        <w:rPr/>
      </w:pPr>
      <w:r>
        <w:rPr>
          <w:spacing w:val="-3"/>
          <w:sz w:val="20"/>
        </w:rPr>
        <w:t xml:space="preserve">Grubość </w:t>
      </w:r>
      <w:r>
        <w:rPr>
          <w:sz w:val="20"/>
        </w:rPr>
        <w:t xml:space="preserve">warstwy lub ilość zużytego </w:t>
      </w:r>
      <w:r>
        <w:rPr>
          <w:spacing w:val="-12"/>
          <w:sz w:val="20"/>
        </w:rPr>
        <w:t>materiału</w:t>
      </w:r>
    </w:p>
    <w:p>
      <w:pPr>
        <w:pStyle w:val="Tretekstu"/>
        <w:spacing w:before="120" w:after="0"/>
        <w:ind w:left="0" w:right="1123" w:firstLine="710"/>
        <w:jc w:val="both"/>
        <w:rPr/>
      </w:pPr>
      <w:r>
        <w:rPr/>
        <w:t>Grubość wykonanej warstwy oznaczana według PN-EN 12697-36 [44] oraz ilość wbudowanego materiału na określoną powierzchnię (dotyczy przede wszystkim cienkich warstw) mogą odbiegać od projektu o wartości podane w tablicy 24.</w:t>
      </w:r>
    </w:p>
    <w:p>
      <w:pPr>
        <w:pStyle w:val="Tretekstu"/>
        <w:spacing w:before="1" w:after="0"/>
        <w:ind w:left="0" w:right="1122" w:firstLine="710"/>
        <w:jc w:val="both"/>
        <w:rPr/>
      </w:pPr>
      <w:r>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pPr>
        <w:pStyle w:val="Tretekstu"/>
        <w:spacing w:before="2" w:after="0"/>
        <w:ind w:left="0" w:right="1127" w:firstLine="710"/>
        <w:jc w:val="both"/>
        <w:rPr/>
      </w:pPr>
      <w:r>
        <w:rPr/>
        <w:t>Za grubość warstwy lub warstw przyjmuje się średnią arytmetyczną wszystkich pojedynczych oznaczeń grubości warstwy na całym odcinku budowy lub odcinku częściowym.</w:t>
      </w:r>
    </w:p>
    <w:p>
      <w:pPr>
        <w:pStyle w:val="Tretekstu"/>
        <w:spacing w:before="116" w:after="0"/>
        <w:rPr/>
      </w:pPr>
      <w:r>
        <w:rPr/>
        <w:t>Tablica 24. Dopuszczalne odchyłki grubości warstwy oraz ilości materiału na określonej powierzchni, [%]</w:t>
      </w:r>
    </w:p>
    <w:p>
      <w:pPr>
        <w:pStyle w:val="Tretekstu"/>
        <w:spacing w:before="3" w:after="0"/>
        <w:ind w:left="0" w:right="0" w:hanging="0"/>
        <w:rPr>
          <w:sz w:val="11"/>
        </w:rPr>
      </w:pPr>
      <w:r>
        <w:rPr>
          <w:sz w:val="11"/>
        </w:rPr>
      </w:r>
    </w:p>
    <w:tbl>
      <w:tblPr>
        <w:tblW w:w="7991" w:type="dxa"/>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349"/>
        <w:gridCol w:w="1641"/>
      </w:tblGrid>
      <w:tr>
        <w:trPr>
          <w:trHeight w:val="580" w:hRule="atLeast"/>
        </w:trPr>
        <w:tc>
          <w:tcPr>
            <w:tcW w:w="6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rPr>
                <w:sz w:val="20"/>
              </w:rPr>
            </w:pPr>
            <w:r>
              <w:rPr>
                <w:sz w:val="20"/>
              </w:rPr>
            </w:r>
          </w:p>
          <w:p>
            <w:pPr>
              <w:pStyle w:val="TableParagraph"/>
              <w:ind w:left="2545" w:right="2526" w:hanging="0"/>
              <w:jc w:val="center"/>
              <w:rPr>
                <w:sz w:val="20"/>
              </w:rPr>
            </w:pPr>
            <w:r>
              <w:rPr>
                <w:sz w:val="20"/>
              </w:rPr>
              <w:t>Warunki oceny</w:t>
            </w:r>
          </w:p>
        </w:tc>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3" w:after="0"/>
              <w:ind w:left="225" w:right="190" w:firstLine="240"/>
              <w:rPr>
                <w:sz w:val="20"/>
              </w:rPr>
            </w:pPr>
            <w:r>
              <w:rPr>
                <w:sz w:val="20"/>
              </w:rPr>
              <w:t>Warstwa asfaltowa AC</w:t>
            </w:r>
            <w:r>
              <w:rPr>
                <w:sz w:val="20"/>
                <w:vertAlign w:val="superscript"/>
              </w:rPr>
              <w:t>a)</w:t>
            </w:r>
          </w:p>
        </w:tc>
      </w:tr>
      <w:tr>
        <w:trPr>
          <w:trHeight w:val="1842" w:hRule="atLeast"/>
        </w:trPr>
        <w:tc>
          <w:tcPr>
            <w:tcW w:w="6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110" w:right="0" w:hanging="0"/>
              <w:rPr>
                <w:sz w:val="20"/>
              </w:rPr>
            </w:pPr>
            <w:r>
              <w:rPr>
                <w:sz w:val="20"/>
              </w:rPr>
              <w:t>A – Średnia z wielu oznaczeń grubości oraz ilości</w:t>
            </w:r>
          </w:p>
          <w:p>
            <w:pPr>
              <w:pStyle w:val="TableParagraph"/>
              <w:numPr>
                <w:ilvl w:val="0"/>
                <w:numId w:val="6"/>
              </w:numPr>
              <w:tabs>
                <w:tab w:val="left" w:pos="312" w:leader="none"/>
              </w:tabs>
              <w:spacing w:lineRule="auto" w:line="240" w:before="0" w:after="0"/>
              <w:ind w:left="311" w:right="0" w:hanging="201"/>
              <w:jc w:val="left"/>
              <w:rPr>
                <w:sz w:val="20"/>
              </w:rPr>
            </w:pPr>
            <w:r>
              <w:rPr>
                <w:sz w:val="20"/>
              </w:rPr>
              <w:t xml:space="preserve">– </w:t>
            </w:r>
            <w:r>
              <w:rPr>
                <w:sz w:val="20"/>
              </w:rPr>
              <w:t xml:space="preserve">duży odcinek </w:t>
            </w:r>
            <w:r>
              <w:rPr>
                <w:spacing w:val="-3"/>
                <w:sz w:val="20"/>
              </w:rPr>
              <w:t xml:space="preserve">budowy, </w:t>
            </w:r>
            <w:r>
              <w:rPr>
                <w:sz w:val="20"/>
              </w:rPr>
              <w:t>powierzchnia większa niż 6000 m</w:t>
            </w:r>
            <w:r>
              <w:rPr>
                <w:sz w:val="20"/>
                <w:vertAlign w:val="superscript"/>
              </w:rPr>
              <w:t>2</w:t>
            </w:r>
            <w:r>
              <w:rPr>
                <w:spacing w:val="9"/>
                <w:position w:val="0"/>
                <w:sz w:val="20"/>
                <w:sz w:val="20"/>
                <w:vertAlign w:val="baseline"/>
              </w:rPr>
              <w:t>lub</w:t>
            </w:r>
          </w:p>
          <w:p>
            <w:pPr>
              <w:pStyle w:val="TableParagraph"/>
              <w:numPr>
                <w:ilvl w:val="1"/>
                <w:numId w:val="6"/>
              </w:numPr>
              <w:tabs>
                <w:tab w:val="left" w:pos="519" w:leader="none"/>
              </w:tabs>
              <w:spacing w:lineRule="auto" w:line="240" w:before="1" w:after="0"/>
              <w:ind w:left="710" w:right="95" w:hanging="355"/>
              <w:jc w:val="left"/>
              <w:rPr>
                <w:sz w:val="20"/>
              </w:rPr>
            </w:pPr>
            <w:r>
              <w:rPr>
                <w:sz w:val="20"/>
              </w:rPr>
              <w:t>droga ograniczona krawężnikami, powierzchnia większa niż 1000 m</w:t>
            </w:r>
            <w:r>
              <w:rPr>
                <w:sz w:val="20"/>
                <w:vertAlign w:val="superscript"/>
              </w:rPr>
              <w:t>2</w:t>
            </w:r>
            <w:r>
              <w:rPr>
                <w:position w:val="0"/>
                <w:sz w:val="20"/>
                <w:sz w:val="20"/>
                <w:vertAlign w:val="baseline"/>
              </w:rPr>
              <w:t>lub</w:t>
            </w:r>
          </w:p>
          <w:p>
            <w:pPr>
              <w:pStyle w:val="TableParagraph"/>
              <w:numPr>
                <w:ilvl w:val="1"/>
                <w:numId w:val="6"/>
              </w:numPr>
              <w:tabs>
                <w:tab w:val="left" w:pos="567" w:leader="none"/>
              </w:tabs>
              <w:spacing w:lineRule="auto" w:line="240" w:before="0" w:after="0"/>
              <w:ind w:left="566" w:right="0" w:hanging="202"/>
              <w:jc w:val="left"/>
              <w:rPr>
                <w:sz w:val="20"/>
              </w:rPr>
            </w:pPr>
            <w:r>
              <w:rPr>
                <w:sz w:val="20"/>
              </w:rPr>
              <w:t>warstwa ścieralna, ilość większa niż</w:t>
            </w:r>
            <w:r>
              <w:rPr>
                <w:spacing w:val="-3"/>
                <w:sz w:val="20"/>
              </w:rPr>
              <w:t>50</w:t>
            </w:r>
            <w:r>
              <w:rPr>
                <w:spacing w:val="5"/>
                <w:sz w:val="20"/>
              </w:rPr>
              <w:t>kg/m</w:t>
            </w:r>
            <w:r>
              <w:rPr>
                <w:sz w:val="20"/>
                <w:vertAlign w:val="superscript"/>
              </w:rPr>
              <w:t>2</w:t>
            </w:r>
          </w:p>
          <w:p>
            <w:pPr>
              <w:pStyle w:val="TableParagraph"/>
              <w:numPr>
                <w:ilvl w:val="0"/>
                <w:numId w:val="6"/>
              </w:numPr>
              <w:tabs>
                <w:tab w:val="left" w:pos="365" w:leader="none"/>
              </w:tabs>
              <w:spacing w:lineRule="auto" w:line="240" w:before="178" w:after="0"/>
              <w:ind w:left="364" w:right="0" w:hanging="254"/>
              <w:jc w:val="left"/>
              <w:rPr>
                <w:sz w:val="20"/>
              </w:rPr>
            </w:pPr>
            <w:r>
              <w:rPr>
                <w:sz w:val="20"/>
              </w:rPr>
              <w:t xml:space="preserve">– </w:t>
            </w:r>
            <w:r>
              <w:rPr>
                <w:sz w:val="20"/>
              </w:rPr>
              <w:t>mały odcinek budowy</w:t>
            </w:r>
            <w:r>
              <w:rPr>
                <w:spacing w:val="-16"/>
                <w:sz w:val="20"/>
              </w:rPr>
              <w:t>lub</w:t>
            </w:r>
          </w:p>
          <w:p>
            <w:pPr>
              <w:pStyle w:val="TableParagraph"/>
              <w:numPr>
                <w:ilvl w:val="1"/>
                <w:numId w:val="6"/>
              </w:numPr>
              <w:tabs>
                <w:tab w:val="left" w:pos="567" w:leader="none"/>
              </w:tabs>
              <w:spacing w:lineRule="auto" w:line="240" w:before="1" w:after="0"/>
              <w:ind w:left="566" w:right="0" w:hanging="202"/>
              <w:jc w:val="left"/>
              <w:rPr>
                <w:sz w:val="20"/>
              </w:rPr>
            </w:pPr>
            <w:r>
              <w:rPr>
                <w:sz w:val="20"/>
              </w:rPr>
              <w:t>warstwa ścieralna, ilość większa niż</w:t>
            </w:r>
            <w:r>
              <w:rPr>
                <w:spacing w:val="-3"/>
                <w:sz w:val="20"/>
              </w:rPr>
              <w:t>50</w:t>
            </w:r>
            <w:r>
              <w:rPr>
                <w:spacing w:val="5"/>
                <w:sz w:val="20"/>
              </w:rPr>
              <w:t>kg/m</w:t>
            </w:r>
            <w:r>
              <w:rPr>
                <w:sz w:val="20"/>
                <w:vertAlign w:val="superscript"/>
              </w:rPr>
              <w:t>2</w:t>
            </w:r>
          </w:p>
        </w:tc>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rPr>
                <w:sz w:val="22"/>
              </w:rPr>
            </w:pPr>
            <w:r>
              <w:rPr>
                <w:sz w:val="22"/>
              </w:rPr>
            </w:r>
          </w:p>
          <w:p>
            <w:pPr>
              <w:pStyle w:val="TableParagraph"/>
              <w:rPr>
                <w:sz w:val="22"/>
              </w:rPr>
            </w:pPr>
            <w:r>
              <w:rPr>
                <w:sz w:val="22"/>
              </w:rPr>
            </w:r>
          </w:p>
          <w:p>
            <w:pPr>
              <w:pStyle w:val="TableParagraph"/>
              <w:spacing w:before="176" w:after="0"/>
              <w:ind w:left="623" w:right="603" w:hanging="0"/>
              <w:jc w:val="center"/>
              <w:rPr>
                <w:sz w:val="20"/>
              </w:rPr>
            </w:pPr>
            <w:r>
              <w:rPr>
                <w:sz w:val="20"/>
              </w:rPr>
              <w:t>≤</w:t>
            </w:r>
            <w:r>
              <w:rPr>
                <w:spacing w:val="4"/>
                <w:sz w:val="20"/>
              </w:rPr>
              <w:t>10</w:t>
            </w:r>
          </w:p>
          <w:p>
            <w:pPr>
              <w:pStyle w:val="TableParagraph"/>
              <w:rPr>
                <w:sz w:val="22"/>
              </w:rPr>
            </w:pPr>
            <w:r>
              <w:rPr>
                <w:sz w:val="22"/>
              </w:rPr>
            </w:r>
          </w:p>
          <w:p>
            <w:pPr>
              <w:pStyle w:val="TableParagraph"/>
              <w:spacing w:before="10" w:after="0"/>
              <w:rPr>
                <w:sz w:val="23"/>
              </w:rPr>
            </w:pPr>
            <w:r>
              <w:rPr>
                <w:sz w:val="23"/>
              </w:rPr>
            </w:r>
          </w:p>
          <w:p>
            <w:pPr>
              <w:pStyle w:val="TableParagraph"/>
              <w:spacing w:before="1" w:after="0"/>
              <w:ind w:left="623" w:right="603" w:hanging="0"/>
              <w:jc w:val="center"/>
              <w:rPr>
                <w:sz w:val="20"/>
              </w:rPr>
            </w:pPr>
            <w:r>
              <w:rPr>
                <w:sz w:val="20"/>
              </w:rPr>
              <w:t>≤</w:t>
            </w:r>
            <w:r>
              <w:rPr>
                <w:spacing w:val="4"/>
                <w:sz w:val="20"/>
              </w:rPr>
              <w:t>15</w:t>
            </w:r>
          </w:p>
        </w:tc>
      </w:tr>
      <w:tr>
        <w:trPr>
          <w:trHeight w:val="350" w:hRule="atLeast"/>
        </w:trPr>
        <w:tc>
          <w:tcPr>
            <w:tcW w:w="6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110" w:right="0" w:hanging="0"/>
              <w:rPr>
                <w:sz w:val="20"/>
              </w:rPr>
            </w:pPr>
            <w:r>
              <w:rPr>
                <w:sz w:val="20"/>
              </w:rPr>
              <w:t>B – Pojedyncze oznaczenie grubości</w:t>
            </w:r>
          </w:p>
        </w:tc>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8" w:after="0"/>
              <w:ind w:left="623" w:right="603" w:hanging="0"/>
              <w:jc w:val="center"/>
              <w:rPr>
                <w:sz w:val="20"/>
              </w:rPr>
            </w:pPr>
            <w:r>
              <w:rPr>
                <w:sz w:val="20"/>
              </w:rPr>
              <w:t xml:space="preserve">≤ </w:t>
            </w:r>
            <w:r>
              <w:rPr>
                <w:sz w:val="20"/>
              </w:rPr>
              <w:t>25</w:t>
            </w:r>
          </w:p>
        </w:tc>
      </w:tr>
      <w:tr>
        <w:trPr>
          <w:trHeight w:val="690" w:hRule="atLeast"/>
        </w:trPr>
        <w:tc>
          <w:tcPr>
            <w:tcW w:w="79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21"/>
              <w:ind w:left="110" w:right="0" w:hanging="0"/>
              <w:rPr>
                <w:sz w:val="20"/>
              </w:rPr>
            </w:pPr>
            <w:r>
              <w:rPr>
                <w:position w:val="9"/>
                <w:sz w:val="13"/>
              </w:rPr>
              <w:t>a)</w:t>
            </w:r>
            <w:r>
              <w:rPr>
                <w:sz w:val="20"/>
              </w:rPr>
              <w:t>w wypadku budowy dwuetapowej, tzn. gdy warstwa ścieralna jest układana z opóźnieniem,</w:t>
            </w:r>
          </w:p>
          <w:p>
            <w:pPr>
              <w:pStyle w:val="TableParagraph"/>
              <w:spacing w:lineRule="atLeast" w:line="230"/>
              <w:ind w:left="393" w:right="48" w:hanging="0"/>
              <w:rPr>
                <w:sz w:val="20"/>
              </w:rPr>
            </w:pPr>
            <w:r>
              <w:rPr>
                <w:sz w:val="20"/>
              </w:rPr>
              <w:t>wartość z wiersza B odpowiednio obowiązuje; w pierwszym etapie budowy do górnej warstwy nawierzchni obowiązuje wartość 25%, a do łącznej grubości warstw etapu 1 ÷ 15%</w:t>
            </w:r>
          </w:p>
        </w:tc>
      </w:tr>
    </w:tbl>
    <w:p>
      <w:pPr>
        <w:pStyle w:val="ListParagraph"/>
        <w:numPr>
          <w:ilvl w:val="3"/>
          <w:numId w:val="8"/>
        </w:numPr>
        <w:tabs>
          <w:tab w:val="left" w:pos="1049" w:leader="none"/>
        </w:tabs>
        <w:spacing w:lineRule="auto" w:line="240" w:before="111" w:after="0"/>
        <w:ind w:left="1048" w:right="0" w:hanging="652"/>
        <w:jc w:val="left"/>
        <w:rPr>
          <w:sz w:val="20"/>
        </w:rPr>
      </w:pPr>
      <w:r>
        <w:rPr>
          <w:sz w:val="20"/>
        </w:rPr>
        <w:t>Spadki poprzeczne (na</w:t>
      </w:r>
      <w:r>
        <w:rPr>
          <w:spacing w:val="-3"/>
          <w:sz w:val="20"/>
        </w:rPr>
        <w:t>całym</w:t>
      </w:r>
      <w:r>
        <w:rPr>
          <w:sz w:val="20"/>
        </w:rPr>
        <w:t>zadaniu)</w:t>
      </w:r>
    </w:p>
    <w:p>
      <w:pPr>
        <w:pStyle w:val="Tretekstu"/>
        <w:spacing w:before="115" w:after="0"/>
        <w:ind w:left="0" w:right="1129" w:firstLine="710"/>
        <w:jc w:val="both"/>
        <w:rPr/>
      </w:pPr>
      <w:r>
        <w:rPr/>
        <w:t>Spadki poprzeczne nawierzchni należy badać nie rzadziej niż co 20 m oraz w punktach głównych łuków poziomych.</w:t>
      </w:r>
    </w:p>
    <w:p>
      <w:pPr>
        <w:pStyle w:val="Tretekstu"/>
        <w:tabs>
          <w:tab w:val="left" w:pos="7979" w:leader="none"/>
        </w:tabs>
        <w:spacing w:before="6" w:after="0"/>
        <w:ind w:left="1106" w:right="0" w:hanging="0"/>
        <w:rPr/>
      </w:pPr>
      <w:r>
        <w:rPr/>
        <w:t>Spadki poprzeczne powinny być zgodne z dokumentacją</w:t>
      </w:r>
      <w:r>
        <w:rPr>
          <w:spacing w:val="-3"/>
        </w:rPr>
        <w:t>projektową,</w:t>
      </w:r>
      <w:r>
        <w:rPr>
          <w:spacing w:val="3"/>
        </w:rPr>
        <w:t>z tolerancją</w:t>
      </w:r>
      <w:r>
        <w:rPr/>
        <w:tab/>
      </w:r>
      <w:r>
        <w:rPr>
          <w:rFonts w:ascii="Symbol" w:hAnsi="Symbol"/>
        </w:rPr>
        <w:t></w:t>
      </w:r>
      <w:r>
        <w:rPr>
          <w:spacing w:val="-4"/>
        </w:rPr>
        <w:t>0,5%.</w:t>
      </w:r>
    </w:p>
    <w:p>
      <w:pPr>
        <w:pStyle w:val="ListParagraph"/>
        <w:numPr>
          <w:ilvl w:val="3"/>
          <w:numId w:val="8"/>
        </w:numPr>
        <w:tabs>
          <w:tab w:val="left" w:pos="1049" w:leader="none"/>
        </w:tabs>
        <w:spacing w:lineRule="auto" w:line="240" w:before="115" w:after="0"/>
        <w:ind w:left="1048" w:right="0" w:hanging="652"/>
        <w:jc w:val="left"/>
        <w:rPr>
          <w:sz w:val="20"/>
        </w:rPr>
      </w:pPr>
      <w:r>
        <w:rPr>
          <w:spacing w:val="-3"/>
          <w:sz w:val="20"/>
        </w:rPr>
        <w:t>Równość</w:t>
      </w:r>
      <w:r>
        <w:rPr>
          <w:sz w:val="20"/>
        </w:rPr>
        <w:t>podłużna i poprzeczna</w:t>
      </w:r>
    </w:p>
    <w:p>
      <w:pPr>
        <w:pStyle w:val="Tretekstu"/>
        <w:spacing w:before="120" w:after="0"/>
        <w:ind w:left="1106" w:right="0" w:hanging="0"/>
        <w:rPr/>
      </w:pPr>
      <w:r>
        <w:rPr/>
        <w:t>Pomiary równości podłużnej należy wykonywać w środku każdego ocenianego pasa ruchu.</w:t>
      </w:r>
    </w:p>
    <w:p>
      <w:pPr>
        <w:pStyle w:val="Tretekstu"/>
        <w:spacing w:before="1" w:after="0"/>
        <w:ind w:left="0" w:right="1123" w:firstLine="710"/>
        <w:jc w:val="both"/>
        <w:rPr/>
      </w:pPr>
      <w:r>
        <w:rPr/>
        <w:t>Do oceny równości podłużnej warstwy ścieralnej nawierzchni drogi klasy Z, L i D oraz placów i parkingów należy stosować metodę pomiaru ciągłego równoważną użyciu łaty i klina z wykorzystaniem planografu (w miejscach niedostępnych dla planografu pomiar ciągły z użyciem łaty 4-metrowej i klina). Zasady wyznaczania oraz dopuszczalne odbiorcze wartości odchyleń równości podłużnej warstwy określono w rozporządzeniu w sprawie warunków technicznych jakim powinny odpowiadać drogi i ich usytuowanie [73].</w:t>
      </w:r>
    </w:p>
    <w:p>
      <w:pPr>
        <w:pStyle w:val="Tretekstu"/>
        <w:spacing w:before="2" w:after="0"/>
        <w:ind w:left="0" w:right="1124" w:firstLine="710"/>
        <w:jc w:val="both"/>
        <w:rPr/>
      </w:pPr>
      <w:r>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pPr>
        <w:pStyle w:val="ListParagraph"/>
        <w:numPr>
          <w:ilvl w:val="3"/>
          <w:numId w:val="8"/>
        </w:numPr>
        <w:tabs>
          <w:tab w:val="left" w:pos="1049" w:leader="none"/>
        </w:tabs>
        <w:spacing w:lineRule="auto" w:line="240" w:before="116" w:after="0"/>
        <w:ind w:left="1048" w:right="0" w:hanging="652"/>
        <w:jc w:val="left"/>
        <w:rPr>
          <w:sz w:val="20"/>
        </w:rPr>
      </w:pPr>
      <w:r>
        <w:rPr>
          <w:sz w:val="20"/>
        </w:rPr>
        <w:t xml:space="preserve">Złącza </w:t>
      </w:r>
      <w:r>
        <w:rPr>
          <w:spacing w:val="-2"/>
          <w:sz w:val="20"/>
        </w:rPr>
        <w:t>technologiczne</w:t>
      </w:r>
    </w:p>
    <w:p>
      <w:pPr>
        <w:pStyle w:val="Tretekstu"/>
        <w:spacing w:before="121" w:after="0"/>
        <w:ind w:left="0" w:right="1126" w:firstLine="710"/>
        <w:jc w:val="both"/>
        <w:rPr/>
      </w:pPr>
      <w:r>
        <w:rPr/>
        <w:t>Złącza podłużne i poprzeczne, sprawdzone wizualnie, powinny być równe i związane, wykonane w linii prostej, równolegle lub prostopadle do osi drogi. Przylegające warstwy powinny być w jednym poziomie.</w:t>
      </w:r>
    </w:p>
    <w:p>
      <w:pPr>
        <w:pStyle w:val="ListParagraph"/>
        <w:numPr>
          <w:ilvl w:val="3"/>
          <w:numId w:val="8"/>
        </w:numPr>
        <w:tabs>
          <w:tab w:val="left" w:pos="1049" w:leader="none"/>
        </w:tabs>
        <w:spacing w:lineRule="auto" w:line="240" w:before="120" w:after="0"/>
        <w:ind w:left="1048" w:right="0" w:hanging="652"/>
        <w:jc w:val="left"/>
        <w:rPr>
          <w:sz w:val="20"/>
        </w:rPr>
      </w:pPr>
      <w:r>
        <w:rPr>
          <w:sz w:val="20"/>
        </w:rPr>
        <w:t>Szerokość warstwy (nie</w:t>
      </w:r>
      <w:r>
        <w:rPr>
          <w:spacing w:val="-10"/>
          <w:sz w:val="20"/>
        </w:rPr>
        <w:t>dotyczy)</w:t>
      </w:r>
    </w:p>
    <w:p>
      <w:pPr>
        <w:pStyle w:val="Tretekstu"/>
        <w:spacing w:before="121" w:after="0"/>
        <w:ind w:left="0" w:right="1128" w:firstLine="710"/>
        <w:jc w:val="both"/>
        <w:rPr/>
      </w:pPr>
      <w:r>
        <w:rPr/>
        <w:t>Szerokość warstwy, mierzona 10 razy na 1 km każdej jezdni powinna być zgodna z dokumentacją projektową, z tolerancją w zakresie od 0 do +5 cm, przy czym szerokość warstwy wiążącej powinna być odpowiednio szersza, tak aby stanowiła odsadzkę dla warstwy ścieralnej. W przypadku wyprofilowanej ukośnej krawędzi szerokość należy mierzyć w środku linii skosu.</w:t>
      </w:r>
    </w:p>
    <w:p>
      <w:pPr>
        <w:pStyle w:val="ListParagraph"/>
        <w:numPr>
          <w:ilvl w:val="3"/>
          <w:numId w:val="8"/>
        </w:numPr>
        <w:tabs>
          <w:tab w:val="left" w:pos="1049" w:leader="none"/>
        </w:tabs>
        <w:spacing w:lineRule="auto" w:line="240" w:before="122" w:after="0"/>
        <w:ind w:left="1048" w:right="0" w:hanging="652"/>
        <w:jc w:val="left"/>
        <w:rPr>
          <w:sz w:val="20"/>
        </w:rPr>
      </w:pPr>
      <w:r>
        <w:rPr>
          <w:sz w:val="20"/>
        </w:rPr>
        <w:t xml:space="preserve">Rzędne wysokościowe (mierzone na </w:t>
      </w:r>
      <w:r>
        <w:rPr>
          <w:spacing w:val="-3"/>
          <w:sz w:val="20"/>
        </w:rPr>
        <w:t xml:space="preserve">całym </w:t>
      </w:r>
      <w:r>
        <w:rPr>
          <w:spacing w:val="-4"/>
          <w:sz w:val="20"/>
        </w:rPr>
        <w:t>zadaniu)</w:t>
      </w:r>
    </w:p>
    <w:p>
      <w:pPr>
        <w:pStyle w:val="Tretekstu"/>
        <w:tabs>
          <w:tab w:val="left" w:pos="6562" w:leader="none"/>
        </w:tabs>
        <w:spacing w:before="120" w:after="0"/>
        <w:ind w:left="0" w:right="1124" w:firstLine="710"/>
        <w:jc w:val="both"/>
        <w:rPr/>
      </w:pPr>
      <w:r>
        <w:rPr/>
        <w:t xml:space="preserve">Rzędne wysokościowe, mierzone co 10 m na prostych i co 10 m na </w:t>
      </w:r>
      <w:r>
        <w:rPr>
          <w:spacing w:val="-3"/>
        </w:rPr>
        <w:t xml:space="preserve">osi </w:t>
      </w:r>
      <w:r>
        <w:rPr/>
        <w:t xml:space="preserve">podłużnej i krawędziach, powinny być  zgodne  z  dokumentacją  projektową,  z </w:t>
      </w:r>
      <w:r>
        <w:rPr>
          <w:spacing w:val="-20"/>
        </w:rPr>
        <w:t xml:space="preserve">dopuszczalną </w:t>
      </w:r>
      <w:r>
        <w:rPr>
          <w:spacing w:val="39"/>
        </w:rPr>
        <w:t>tolerancją</w:t>
      </w:r>
      <w:r>
        <w:rPr/>
        <w:t>± 1 cm, przy czym co najmniej 95% wykonanych pomiarów nie może przekraczać przedziału dopuszczalnych odchyleń.</w:t>
      </w:r>
    </w:p>
    <w:p>
      <w:pPr>
        <w:pStyle w:val="ListParagraph"/>
        <w:numPr>
          <w:ilvl w:val="3"/>
          <w:numId w:val="8"/>
        </w:numPr>
        <w:tabs>
          <w:tab w:val="left" w:pos="1049" w:leader="none"/>
        </w:tabs>
        <w:spacing w:lineRule="auto" w:line="240" w:before="116" w:after="0"/>
        <w:ind w:left="1048" w:right="0" w:hanging="652"/>
        <w:jc w:val="left"/>
        <w:rPr>
          <w:sz w:val="20"/>
        </w:rPr>
      </w:pPr>
      <w:r>
        <w:rPr>
          <w:sz w:val="20"/>
        </w:rPr>
        <w:t xml:space="preserve">Ukształtowanie </w:t>
      </w:r>
      <w:r>
        <w:rPr>
          <w:spacing w:val="-3"/>
          <w:sz w:val="20"/>
        </w:rPr>
        <w:t xml:space="preserve">osi </w:t>
      </w:r>
      <w:r>
        <w:rPr>
          <w:sz w:val="20"/>
        </w:rPr>
        <w:t>w planie (nie</w:t>
      </w:r>
      <w:r>
        <w:rPr>
          <w:spacing w:val="1"/>
          <w:sz w:val="20"/>
        </w:rPr>
        <w:t>dotyczy)</w:t>
      </w:r>
    </w:p>
    <w:p>
      <w:pPr>
        <w:sectPr>
          <w:type w:val="nextPage"/>
          <w:pgSz w:w="11906" w:h="16838"/>
          <w:pgMar w:left="1020" w:right="0" w:header="0" w:top="760" w:footer="0" w:bottom="280" w:gutter="0"/>
          <w:pgNumType w:fmt="decimal"/>
          <w:formProt w:val="false"/>
          <w:textDirection w:val="lrTb"/>
          <w:docGrid w:type="default" w:linePitch="100" w:charSpace="4096"/>
        </w:sectPr>
        <w:pStyle w:val="Tretekstu"/>
        <w:spacing w:before="121" w:after="0"/>
        <w:ind w:left="0" w:right="1130" w:firstLine="710"/>
        <w:jc w:val="both"/>
        <w:rPr/>
      </w:pPr>
      <w:r>
        <w:rPr/>
        <w:t>Ukształtowanie osi w planie, mierzone co 100 m, nie powinno różnić się od dokumentacji projektowej o więcej niż ± 5 cm.</w:t>
      </w:r>
    </w:p>
    <w:p>
      <w:pPr>
        <w:pStyle w:val="ListParagraph"/>
        <w:numPr>
          <w:ilvl w:val="3"/>
          <w:numId w:val="8"/>
        </w:numPr>
        <w:tabs>
          <w:tab w:val="left" w:pos="1049" w:leader="none"/>
        </w:tabs>
        <w:spacing w:lineRule="auto" w:line="240" w:before="82" w:after="0"/>
        <w:ind w:left="1048" w:right="0" w:hanging="652"/>
        <w:jc w:val="left"/>
        <w:rPr>
          <w:sz w:val="20"/>
        </w:rPr>
      </w:pPr>
      <w:r>
        <w:rPr>
          <w:sz w:val="20"/>
        </w:rPr>
        <w:t>Ocena wizualna</w:t>
      </w:r>
      <w:r>
        <w:rPr>
          <w:spacing w:val="-3"/>
          <w:sz w:val="20"/>
        </w:rPr>
        <w:t>warstwy</w:t>
      </w:r>
    </w:p>
    <w:p>
      <w:pPr>
        <w:pStyle w:val="Tretekstu"/>
        <w:spacing w:before="120" w:after="0"/>
        <w:ind w:left="0" w:right="1124" w:firstLine="710"/>
        <w:rPr/>
      </w:pPr>
      <w:r>
        <w:rPr/>
        <w:t>Wygląd zewnętrzny warstwy, sprawdzony wizualnie, powinien być jednorodny, bez spękań, deformacji, plam i wykruszeń.</w:t>
      </w:r>
    </w:p>
    <w:p>
      <w:pPr>
        <w:pStyle w:val="ListParagraph"/>
        <w:numPr>
          <w:ilvl w:val="2"/>
          <w:numId w:val="5"/>
        </w:numPr>
        <w:tabs>
          <w:tab w:val="left" w:pos="900" w:leader="none"/>
        </w:tabs>
        <w:spacing w:lineRule="auto" w:line="240" w:before="121" w:after="0"/>
        <w:ind w:left="900" w:right="0" w:hanging="504"/>
        <w:jc w:val="left"/>
        <w:rPr>
          <w:sz w:val="20"/>
        </w:rPr>
      </w:pPr>
      <w:r>
        <w:rPr>
          <w:sz w:val="20"/>
        </w:rPr>
        <w:t xml:space="preserve">Badania kontrolne </w:t>
      </w:r>
      <w:r>
        <w:rPr>
          <w:spacing w:val="-3"/>
          <w:sz w:val="20"/>
        </w:rPr>
        <w:t>dodatkowe</w:t>
      </w:r>
    </w:p>
    <w:p>
      <w:pPr>
        <w:pStyle w:val="Tretekstu"/>
        <w:spacing w:before="120" w:after="0"/>
        <w:ind w:left="0" w:right="1124" w:firstLine="710"/>
        <w:rPr/>
      </w:pPr>
      <w:r>
        <w:rPr/>
        <w:t>W wypadku uznania, że jeden z wyników badań kontrolnych nie jest reprezentatywny dla ocenianego odcinka budowy, Wykonawca ma prawo żądać przeprowadzenia badań kontrolnych dodatkowych.</w:t>
      </w:r>
    </w:p>
    <w:p>
      <w:pPr>
        <w:pStyle w:val="Tretekstu"/>
        <w:spacing w:before="1" w:after="0"/>
        <w:ind w:left="0" w:right="1124" w:firstLine="710"/>
        <w:jc w:val="both"/>
        <w:rPr/>
      </w:pPr>
      <w:r>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pPr>
        <w:pStyle w:val="Tretekstu"/>
        <w:ind w:left="0" w:right="1900" w:firstLine="710"/>
        <w:rPr/>
      </w:pPr>
      <w:r>
        <w:rPr/>
        <w:t>Do odbioru uwzględniane są wyniki</w:t>
      </w:r>
      <w:r>
        <w:rPr>
          <w:spacing w:val="-3"/>
        </w:rPr>
        <w:t>badań</w:t>
      </w:r>
      <w:r>
        <w:rPr/>
        <w:t>kontrolnych i badań kontrolnych dodatkowych do wyznaczonych odcinków</w:t>
      </w:r>
      <w:r>
        <w:rPr>
          <w:spacing w:val="2"/>
        </w:rPr>
        <w:t>częściowych.</w:t>
      </w:r>
    </w:p>
    <w:p>
      <w:pPr>
        <w:pStyle w:val="Tretekstu"/>
        <w:ind w:left="1106" w:right="0" w:hanging="0"/>
        <w:rPr/>
      </w:pPr>
      <w:r>
        <w:rPr/>
        <w:t>Koszty badań kontrolnych dodatkowych zażądanych przez Wykonawcę ponosi Wykonawca.</w:t>
      </w:r>
    </w:p>
    <w:p>
      <w:pPr>
        <w:pStyle w:val="ListParagraph"/>
        <w:numPr>
          <w:ilvl w:val="2"/>
          <w:numId w:val="5"/>
        </w:numPr>
        <w:tabs>
          <w:tab w:val="left" w:pos="900" w:leader="none"/>
        </w:tabs>
        <w:spacing w:lineRule="auto" w:line="240" w:before="118" w:after="0"/>
        <w:ind w:left="900" w:right="0" w:hanging="504"/>
        <w:jc w:val="left"/>
        <w:rPr>
          <w:sz w:val="20"/>
        </w:rPr>
      </w:pPr>
      <w:r>
        <w:rPr>
          <w:sz w:val="20"/>
        </w:rPr>
        <w:t>Badania</w:t>
      </w:r>
      <w:r>
        <w:rPr>
          <w:spacing w:val="-2"/>
          <w:sz w:val="20"/>
        </w:rPr>
        <w:t>arbitrażowe</w:t>
      </w:r>
    </w:p>
    <w:p>
      <w:pPr>
        <w:pStyle w:val="Tretekstu"/>
        <w:spacing w:before="121" w:after="0"/>
        <w:ind w:left="0" w:right="1131" w:firstLine="710"/>
        <w:rPr/>
      </w:pPr>
      <w:r>
        <w:rPr/>
        <w:t>Badania arbitrażowe są powtórzeniem badań kontrolnych, co do których istnieją uzasadnione wątpliwości ze strony Inżyniera lub Wykonawcy (np. na podstawie własnych badań).</w:t>
      </w:r>
    </w:p>
    <w:p>
      <w:pPr>
        <w:pStyle w:val="Tretekstu"/>
        <w:spacing w:before="1" w:after="0"/>
        <w:ind w:left="0" w:right="1900" w:firstLine="710"/>
        <w:rPr/>
      </w:pPr>
      <w:r>
        <w:rPr/>
        <w:t>Badania arbitrażowe wykonuje na wniosek strony kontraktu niezależne laboratorium, które nie wykonywało badań</w:t>
      </w:r>
      <w:r>
        <w:rPr>
          <w:spacing w:val="-2"/>
        </w:rPr>
        <w:t>kontrolnych.</w:t>
      </w:r>
    </w:p>
    <w:p>
      <w:pPr>
        <w:pStyle w:val="Tretekstu"/>
        <w:spacing w:before="1" w:after="0"/>
        <w:ind w:left="0" w:right="1124" w:firstLine="710"/>
        <w:rPr/>
      </w:pPr>
      <w:r>
        <w:rPr/>
        <w:t>Koszty badań arbitrażowych wraz ze wszystkimi kosztami ubocznymi ponosi strona, na której niekorzyść przemawia wynik badania.</w:t>
      </w:r>
    </w:p>
    <w:p>
      <w:pPr>
        <w:pStyle w:val="Tretekstu"/>
        <w:spacing w:before="4"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OBMIAR ROBÓT</w:t>
      </w:r>
    </w:p>
    <w:p>
      <w:pPr>
        <w:pStyle w:val="Tretekstu"/>
        <w:spacing w:before="5" w:after="0"/>
        <w:ind w:left="0" w:right="0" w:hanging="0"/>
        <w:rPr>
          <w:b/>
          <w:b/>
        </w:rPr>
      </w:pPr>
      <w:r>
        <w:rPr>
          <w:b/>
        </w:rPr>
      </w:r>
    </w:p>
    <w:p>
      <w:pPr>
        <w:pStyle w:val="ListParagraph"/>
        <w:numPr>
          <w:ilvl w:val="1"/>
          <w:numId w:val="17"/>
        </w:numPr>
        <w:tabs>
          <w:tab w:val="left" w:pos="747" w:leader="none"/>
        </w:tabs>
        <w:spacing w:lineRule="auto" w:line="240" w:before="0" w:after="0"/>
        <w:ind w:left="746" w:right="0" w:hanging="350"/>
        <w:jc w:val="left"/>
        <w:rPr>
          <w:b/>
          <w:b/>
          <w:sz w:val="20"/>
        </w:rPr>
      </w:pPr>
      <w:r>
        <w:rPr>
          <w:b/>
          <w:sz w:val="20"/>
        </w:rPr>
        <w:t>Ogólne zasady obmiaru</w:t>
      </w:r>
      <w:r>
        <w:rPr>
          <w:b/>
          <w:spacing w:val="-9"/>
          <w:sz w:val="20"/>
        </w:rPr>
        <w:t>robót</w:t>
      </w:r>
    </w:p>
    <w:p>
      <w:pPr>
        <w:pStyle w:val="Tretekstu"/>
        <w:spacing w:before="116" w:after="0"/>
        <w:ind w:left="1106" w:right="0" w:hanging="0"/>
        <w:rPr/>
      </w:pPr>
      <w:r>
        <w:rPr/>
        <w:t>Ogólne zasady obmiaru robót podano w ST D-00.00.00 „Wymagania ogólne” [1] pkt 7.</w:t>
      </w:r>
    </w:p>
    <w:p>
      <w:pPr>
        <w:pStyle w:val="Nagwek1"/>
        <w:numPr>
          <w:ilvl w:val="1"/>
          <w:numId w:val="17"/>
        </w:numPr>
        <w:tabs>
          <w:tab w:val="left" w:pos="751" w:leader="none"/>
        </w:tabs>
        <w:spacing w:lineRule="auto" w:line="240" w:before="125" w:after="0"/>
        <w:ind w:left="750" w:right="0" w:hanging="354"/>
        <w:jc w:val="left"/>
        <w:rPr/>
      </w:pPr>
      <w:r>
        <w:rPr/>
        <w:t>Jednostka</w:t>
      </w:r>
      <w:r>
        <w:rPr>
          <w:spacing w:val="1"/>
        </w:rPr>
        <w:t>obmiarowa</w:t>
      </w:r>
    </w:p>
    <w:p>
      <w:pPr>
        <w:pStyle w:val="Tretekstu"/>
        <w:spacing w:before="116" w:after="0"/>
        <w:ind w:left="1106" w:right="0" w:hanging="0"/>
        <w:rPr/>
      </w:pPr>
      <w:r>
        <w:rPr/>
        <w:t>Jednostką obmiarową jest m</w:t>
      </w:r>
      <w:r>
        <w:rPr>
          <w:vertAlign w:val="superscript"/>
        </w:rPr>
        <w:t>2</w:t>
      </w:r>
      <w:r>
        <w:rPr>
          <w:position w:val="0"/>
          <w:sz w:val="20"/>
          <w:sz w:val="20"/>
          <w:vertAlign w:val="baseline"/>
        </w:rPr>
        <w:t>(metr kwadratowy) wykonanej warstwy ścieralnej z betonu asfaltowego</w:t>
      </w:r>
    </w:p>
    <w:p>
      <w:pPr>
        <w:pStyle w:val="Tretekstu"/>
        <w:rPr/>
      </w:pPr>
      <w:r>
        <w:rPr/>
        <w:t>(AC).</w:t>
      </w:r>
    </w:p>
    <w:p>
      <w:pPr>
        <w:pStyle w:val="Tretekstu"/>
        <w:spacing w:before="4" w:after="0"/>
        <w:ind w:left="0" w:right="0" w:hanging="0"/>
        <w:rPr>
          <w:sz w:val="21"/>
        </w:rPr>
      </w:pPr>
      <w:r>
        <w:rPr>
          <w:sz w:val="21"/>
        </w:rPr>
      </w:r>
    </w:p>
    <w:p>
      <w:pPr>
        <w:pStyle w:val="Nagwek1"/>
        <w:numPr>
          <w:ilvl w:val="0"/>
          <w:numId w:val="17"/>
        </w:numPr>
        <w:tabs>
          <w:tab w:val="left" w:pos="598" w:leader="none"/>
        </w:tabs>
        <w:spacing w:lineRule="auto" w:line="240" w:before="0" w:after="0"/>
        <w:ind w:left="597" w:right="0" w:hanging="201"/>
        <w:jc w:val="left"/>
        <w:rPr/>
      </w:pPr>
      <w:r>
        <w:rPr/>
        <w:t>ODBIÓR</w:t>
      </w:r>
      <w:r>
        <w:rPr>
          <w:spacing w:val="-4"/>
        </w:rPr>
        <w:t>ROBÓT</w:t>
      </w:r>
    </w:p>
    <w:p>
      <w:pPr>
        <w:pStyle w:val="Tretekstu"/>
        <w:spacing w:before="116" w:after="0"/>
        <w:ind w:left="1106" w:right="0" w:hanging="0"/>
        <w:rPr/>
      </w:pPr>
      <w:r>
        <w:rPr/>
        <w:t>Ogólne zasady odbioru robót podano w ST D-00.00.00 „Wymagania ogólne” [1] pkt 8.</w:t>
      </w:r>
    </w:p>
    <w:p>
      <w:pPr>
        <w:pStyle w:val="Tretekstu"/>
        <w:tabs>
          <w:tab w:val="left" w:pos="8492" w:leader="none"/>
        </w:tabs>
        <w:ind w:left="0" w:right="1124" w:firstLine="710"/>
        <w:rPr/>
      </w:pPr>
      <w:r>
        <w:rPr/>
        <w:t>Roboty uznaje się za  wykonane zgodnie z</w:t>
      </w:r>
      <w:r>
        <w:rPr>
          <w:spacing w:val="27"/>
        </w:rPr>
        <w:t>dokumentacją  projektową,</w:t>
      </w:r>
      <w:r>
        <w:rPr>
          <w:spacing w:val="28"/>
        </w:rPr>
        <w:t>ST</w:t>
      </w:r>
      <w:r>
        <w:rPr/>
        <w:t xml:space="preserve">i wymaganiami Inżyniera, jeżeli wszystkie pomiary i badania z zachowaniem tolerancji według pktu 6 dały wyniki </w:t>
      </w:r>
      <w:r>
        <w:rPr>
          <w:spacing w:val="-24"/>
        </w:rPr>
        <w:t>pozytywne.</w:t>
      </w:r>
    </w:p>
    <w:p>
      <w:pPr>
        <w:pStyle w:val="Tretekstu"/>
        <w:spacing w:before="4" w:after="0"/>
        <w:ind w:left="0" w:right="0" w:hanging="0"/>
        <w:rPr>
          <w:sz w:val="21"/>
        </w:rPr>
      </w:pPr>
      <w:r>
        <w:rPr>
          <w:sz w:val="21"/>
        </w:rPr>
      </w:r>
    </w:p>
    <w:p>
      <w:pPr>
        <w:pStyle w:val="Nagwek1"/>
        <w:numPr>
          <w:ilvl w:val="0"/>
          <w:numId w:val="17"/>
        </w:numPr>
        <w:tabs>
          <w:tab w:val="left" w:pos="602" w:leader="none"/>
        </w:tabs>
        <w:spacing w:lineRule="auto" w:line="240" w:before="0" w:after="0"/>
        <w:ind w:left="602" w:right="0" w:hanging="206"/>
        <w:jc w:val="left"/>
        <w:rPr/>
      </w:pPr>
      <w:r>
        <w:rPr/>
        <w:t>PODSTAWA PŁATNOŚCI</w:t>
      </w:r>
    </w:p>
    <w:p>
      <w:pPr>
        <w:pStyle w:val="Tretekstu"/>
        <w:spacing w:before="10" w:after="0"/>
        <w:ind w:left="0" w:right="0" w:hanging="0"/>
        <w:rPr>
          <w:b/>
          <w:b/>
        </w:rPr>
      </w:pPr>
      <w:r>
        <w:rPr>
          <w:b/>
        </w:rPr>
      </w:r>
    </w:p>
    <w:p>
      <w:pPr>
        <w:pStyle w:val="ListParagraph"/>
        <w:numPr>
          <w:ilvl w:val="1"/>
          <w:numId w:val="17"/>
        </w:numPr>
        <w:tabs>
          <w:tab w:val="left" w:pos="747" w:leader="none"/>
        </w:tabs>
        <w:spacing w:lineRule="auto" w:line="240" w:before="1" w:after="0"/>
        <w:ind w:left="746" w:right="0" w:hanging="350"/>
        <w:jc w:val="left"/>
        <w:rPr>
          <w:b/>
          <w:b/>
          <w:sz w:val="20"/>
        </w:rPr>
      </w:pPr>
      <w:r>
        <w:rPr>
          <w:b/>
          <w:sz w:val="20"/>
        </w:rPr>
        <w:t>Ogólne ustalenia dotyczące podstawy</w:t>
      </w:r>
      <w:r>
        <w:rPr>
          <w:b/>
          <w:spacing w:val="11"/>
          <w:sz w:val="20"/>
        </w:rPr>
        <w:t>płatności</w:t>
      </w:r>
    </w:p>
    <w:p>
      <w:pPr>
        <w:pStyle w:val="Tretekstu"/>
        <w:spacing w:before="110" w:after="0"/>
        <w:ind w:left="1106" w:right="0" w:hanging="0"/>
        <w:rPr/>
      </w:pPr>
      <w:r>
        <w:rPr/>
        <w:t>Ogólne ustalenia dotyczące podstawy płatności podano w ST D-00.00.00 „Wymagania ogólne” [1] pkt 9.</w:t>
      </w:r>
    </w:p>
    <w:p>
      <w:pPr>
        <w:pStyle w:val="Nagwek1"/>
        <w:numPr>
          <w:ilvl w:val="1"/>
          <w:numId w:val="17"/>
        </w:numPr>
        <w:tabs>
          <w:tab w:val="left" w:pos="751" w:leader="none"/>
        </w:tabs>
        <w:spacing w:lineRule="auto" w:line="240" w:before="126" w:after="0"/>
        <w:ind w:left="750" w:right="0" w:hanging="354"/>
        <w:jc w:val="left"/>
        <w:rPr/>
      </w:pPr>
      <w:r>
        <w:rPr/>
        <w:t>Cena jednostki</w:t>
      </w:r>
      <w:r>
        <w:rPr>
          <w:spacing w:val="5"/>
        </w:rPr>
        <w:t>obmiarowej</w:t>
      </w:r>
    </w:p>
    <w:p>
      <w:pPr>
        <w:pStyle w:val="Tretekstu"/>
        <w:spacing w:before="115" w:after="0"/>
        <w:ind w:left="1106" w:right="0" w:hanging="0"/>
        <w:rPr/>
      </w:pPr>
      <w:r>
        <w:rPr/>
        <w:t>Cena wykonania 1 m</w:t>
      </w:r>
      <w:r>
        <w:rPr>
          <w:vertAlign w:val="superscript"/>
        </w:rPr>
        <w:t>2</w:t>
      </w:r>
      <w:r>
        <w:rPr>
          <w:position w:val="0"/>
          <w:sz w:val="20"/>
          <w:sz w:val="20"/>
          <w:vertAlign w:val="baseline"/>
        </w:rPr>
        <w:t>warstwy ścieralnej z betonu asfaltowego (AC) obejmuje:</w:t>
      </w:r>
    </w:p>
    <w:p>
      <w:pPr>
        <w:pStyle w:val="ListParagraph"/>
        <w:numPr>
          <w:ilvl w:val="0"/>
          <w:numId w:val="9"/>
        </w:numPr>
        <w:tabs>
          <w:tab w:val="left" w:pos="680" w:leader="none"/>
        </w:tabs>
        <w:spacing w:lineRule="exact" w:line="245" w:before="1" w:after="0"/>
        <w:ind w:left="679" w:right="0" w:hanging="283"/>
        <w:jc w:val="left"/>
        <w:rPr>
          <w:sz w:val="20"/>
        </w:rPr>
      </w:pPr>
      <w:r>
        <w:rPr>
          <w:sz w:val="20"/>
        </w:rPr>
        <w:t xml:space="preserve">prace pomiarowe i roboty </w:t>
      </w:r>
      <w:r>
        <w:rPr>
          <w:spacing w:val="-11"/>
          <w:sz w:val="20"/>
        </w:rPr>
        <w:t>przygotowawcze,</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oznakowanie </w:t>
      </w:r>
      <w:r>
        <w:rPr>
          <w:spacing w:val="-6"/>
          <w:sz w:val="20"/>
        </w:rPr>
        <w:t>robót,</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oczyszczenie i skropienie </w:t>
      </w:r>
      <w:r>
        <w:rPr>
          <w:spacing w:val="-4"/>
          <w:sz w:val="20"/>
        </w:rPr>
        <w:t>podłoża,</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dostarczenie materiałów I </w:t>
      </w:r>
      <w:r>
        <w:rPr>
          <w:spacing w:val="-6"/>
          <w:sz w:val="20"/>
        </w:rPr>
        <w:t>sprzętu,</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opracowanie recepty </w:t>
      </w:r>
      <w:r>
        <w:rPr>
          <w:spacing w:val="-13"/>
          <w:sz w:val="20"/>
        </w:rPr>
        <w:t>laboratoryjnej,</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wykonanie próby technologicznej i odcinka </w:t>
      </w:r>
      <w:r>
        <w:rPr>
          <w:spacing w:val="-7"/>
          <w:sz w:val="20"/>
        </w:rPr>
        <w:t>próbnego,</w:t>
      </w:r>
    </w:p>
    <w:p>
      <w:pPr>
        <w:pStyle w:val="ListParagraph"/>
        <w:numPr>
          <w:ilvl w:val="0"/>
          <w:numId w:val="9"/>
        </w:numPr>
        <w:tabs>
          <w:tab w:val="left" w:pos="680" w:leader="none"/>
        </w:tabs>
        <w:spacing w:lineRule="exact" w:line="245" w:before="0" w:after="0"/>
        <w:ind w:left="679" w:right="0" w:hanging="283"/>
        <w:jc w:val="left"/>
        <w:rPr/>
      </w:pPr>
      <w:r>
        <w:rPr>
          <w:sz w:val="20"/>
        </w:rPr>
        <w:t xml:space="preserve">wyprodukowanie mieszanki betonu asfaltowego i </w:t>
      </w:r>
      <w:r>
        <w:rPr>
          <w:spacing w:val="-3"/>
          <w:sz w:val="20"/>
        </w:rPr>
        <w:t xml:space="preserve">jej </w:t>
      </w:r>
      <w:r>
        <w:rPr>
          <w:sz w:val="20"/>
        </w:rPr>
        <w:t xml:space="preserve">transport na miejsce </w:t>
      </w:r>
      <w:r>
        <w:rPr>
          <w:spacing w:val="-9"/>
          <w:sz w:val="20"/>
        </w:rPr>
        <w:t>wbudowania,</w:t>
      </w:r>
    </w:p>
    <w:p>
      <w:pPr>
        <w:pStyle w:val="ListParagraph"/>
        <w:numPr>
          <w:ilvl w:val="0"/>
          <w:numId w:val="9"/>
        </w:numPr>
        <w:tabs>
          <w:tab w:val="left" w:pos="680" w:leader="none"/>
        </w:tabs>
        <w:spacing w:lineRule="exact" w:line="242" w:before="0" w:after="0"/>
        <w:ind w:left="679" w:right="0" w:hanging="283"/>
        <w:jc w:val="left"/>
        <w:rPr/>
      </w:pPr>
      <w:r>
        <w:rPr>
          <w:sz w:val="20"/>
        </w:rPr>
        <w:t xml:space="preserve">posmarowanie lepiszczem lub pokrycie taśmą </w:t>
      </w:r>
      <w:r>
        <w:rPr>
          <w:spacing w:val="-3"/>
          <w:sz w:val="20"/>
        </w:rPr>
        <w:t xml:space="preserve">asfaltową </w:t>
      </w:r>
      <w:r>
        <w:rPr>
          <w:sz w:val="20"/>
        </w:rPr>
        <w:t xml:space="preserve">krawędzi urządzeń </w:t>
      </w:r>
      <w:r>
        <w:rPr>
          <w:spacing w:val="-3"/>
          <w:sz w:val="20"/>
        </w:rPr>
        <w:t>obcych i</w:t>
      </w:r>
      <w:r>
        <w:rPr>
          <w:sz w:val="20"/>
        </w:rPr>
        <w:t xml:space="preserve"> </w:t>
      </w:r>
      <w:r>
        <w:rPr>
          <w:spacing w:val="18"/>
          <w:sz w:val="20"/>
        </w:rPr>
        <w:t>krawężników,</w:t>
      </w:r>
    </w:p>
    <w:p>
      <w:pPr>
        <w:pStyle w:val="ListParagraph"/>
        <w:numPr>
          <w:ilvl w:val="0"/>
          <w:numId w:val="9"/>
        </w:numPr>
        <w:tabs>
          <w:tab w:val="left" w:pos="680" w:leader="none"/>
        </w:tabs>
        <w:spacing w:lineRule="exact" w:line="242" w:before="0" w:after="0"/>
        <w:ind w:left="679" w:right="0" w:hanging="283"/>
        <w:jc w:val="left"/>
        <w:rPr>
          <w:sz w:val="20"/>
        </w:rPr>
      </w:pPr>
      <w:r>
        <w:rPr>
          <w:sz w:val="20"/>
        </w:rPr>
        <w:t xml:space="preserve">rozłożenie i zagęszczenie mieszanki betonu </w:t>
      </w:r>
      <w:r>
        <w:rPr>
          <w:spacing w:val="-15"/>
          <w:sz w:val="20"/>
        </w:rPr>
        <w:t>asfaltowego,</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obcięcie krawędzi i posmarowanie </w:t>
      </w:r>
      <w:r>
        <w:rPr>
          <w:spacing w:val="-4"/>
          <w:sz w:val="20"/>
        </w:rPr>
        <w:t>lepiszczem,</w:t>
      </w:r>
    </w:p>
    <w:p>
      <w:pPr>
        <w:pStyle w:val="ListParagraph"/>
        <w:numPr>
          <w:ilvl w:val="0"/>
          <w:numId w:val="9"/>
        </w:numPr>
        <w:tabs>
          <w:tab w:val="left" w:pos="680" w:leader="none"/>
        </w:tabs>
        <w:spacing w:lineRule="exact" w:line="245" w:before="0" w:after="0"/>
        <w:ind w:left="679" w:right="0" w:hanging="283"/>
        <w:jc w:val="left"/>
        <w:rPr>
          <w:sz w:val="20"/>
        </w:rPr>
      </w:pPr>
      <w:r>
        <w:rPr>
          <w:sz w:val="20"/>
        </w:rPr>
        <w:t xml:space="preserve">przeprowadzenie pomiarów i badań </w:t>
      </w:r>
      <w:r>
        <w:rPr>
          <w:spacing w:val="-3"/>
          <w:sz w:val="20"/>
        </w:rPr>
        <w:t xml:space="preserve">wymaganych </w:t>
      </w:r>
      <w:r>
        <w:rPr>
          <w:sz w:val="20"/>
        </w:rPr>
        <w:t xml:space="preserve">w specyfikacji </w:t>
      </w:r>
      <w:r>
        <w:rPr>
          <w:spacing w:val="13"/>
          <w:sz w:val="20"/>
        </w:rPr>
        <w:t>technicznej,</w:t>
      </w:r>
    </w:p>
    <w:p>
      <w:pPr>
        <w:pStyle w:val="ListParagraph"/>
        <w:numPr>
          <w:ilvl w:val="0"/>
          <w:numId w:val="9"/>
        </w:numPr>
        <w:tabs>
          <w:tab w:val="left" w:pos="680" w:leader="none"/>
        </w:tabs>
        <w:spacing w:lineRule="auto" w:line="240" w:before="0" w:after="0"/>
        <w:ind w:left="679" w:right="0" w:hanging="283"/>
        <w:jc w:val="left"/>
        <w:rPr>
          <w:sz w:val="20"/>
        </w:rPr>
      </w:pPr>
      <w:r>
        <w:rPr>
          <w:sz w:val="20"/>
        </w:rPr>
        <w:t xml:space="preserve">odwiezienie </w:t>
      </w:r>
      <w:r>
        <w:rPr>
          <w:spacing w:val="-2"/>
          <w:sz w:val="20"/>
        </w:rPr>
        <w:t>sprzętu.</w:t>
      </w:r>
    </w:p>
    <w:p>
      <w:pPr>
        <w:pStyle w:val="Nagwek1"/>
        <w:numPr>
          <w:ilvl w:val="1"/>
          <w:numId w:val="17"/>
        </w:numPr>
        <w:tabs>
          <w:tab w:val="left" w:pos="751" w:leader="none"/>
        </w:tabs>
        <w:spacing w:lineRule="auto" w:line="240" w:before="124" w:after="0"/>
        <w:ind w:left="750" w:right="0" w:hanging="354"/>
        <w:jc w:val="left"/>
        <w:rPr/>
      </w:pPr>
      <w:r>
        <w:rPr>
          <w:spacing w:val="-3"/>
        </w:rPr>
        <w:t>Sposób</w:t>
      </w:r>
      <w:r>
        <w:rPr/>
        <w:t>rozliczenia</w:t>
      </w:r>
      <w:r>
        <w:rPr>
          <w:spacing w:val="-3"/>
        </w:rPr>
        <w:t>robót</w:t>
      </w:r>
      <w:r>
        <w:rPr/>
        <w:t>tymczasowych i prac</w:t>
      </w:r>
      <w:r>
        <w:rPr>
          <w:spacing w:val="3"/>
        </w:rPr>
        <w:t>towarzyszących</w:t>
      </w:r>
    </w:p>
    <w:p>
      <w:pPr>
        <w:pStyle w:val="Tretekstu"/>
        <w:spacing w:before="116" w:after="0"/>
        <w:ind w:left="1106" w:right="0" w:hanging="0"/>
        <w:rPr/>
      </w:pPr>
      <w:r>
        <w:rPr/>
        <w:t>Cena wykonania robót określonych niniejszą ST obejmuje:</w:t>
      </w:r>
    </w:p>
    <w:p>
      <w:pPr>
        <w:sectPr>
          <w:type w:val="nextPage"/>
          <w:pgSz w:w="11906" w:h="16838"/>
          <w:pgMar w:left="1020" w:right="0" w:header="0" w:top="760" w:footer="0" w:bottom="280" w:gutter="0"/>
          <w:pgNumType w:fmt="decimal"/>
          <w:formProt w:val="false"/>
          <w:textDirection w:val="lrTb"/>
          <w:docGrid w:type="default" w:linePitch="100" w:charSpace="4096"/>
        </w:sectPr>
        <w:pStyle w:val="ListParagraph"/>
        <w:numPr>
          <w:ilvl w:val="0"/>
          <w:numId w:val="9"/>
        </w:numPr>
        <w:tabs>
          <w:tab w:val="left" w:pos="680" w:leader="none"/>
        </w:tabs>
        <w:spacing w:lineRule="auto" w:line="240" w:before="0" w:after="0"/>
        <w:ind w:left="679" w:right="1125" w:hanging="283"/>
        <w:jc w:val="left"/>
        <w:rPr/>
      </w:pPr>
      <w:r>
        <w:rPr>
          <w:sz w:val="20"/>
        </w:rPr>
        <w:t xml:space="preserve">roboty tymczasowe, które są potrzebne do wykonania </w:t>
      </w:r>
      <w:r>
        <w:rPr>
          <w:spacing w:val="-3"/>
          <w:sz w:val="20"/>
        </w:rPr>
        <w:t xml:space="preserve">robót </w:t>
      </w:r>
      <w:r>
        <w:rPr>
          <w:sz w:val="20"/>
        </w:rPr>
        <w:t xml:space="preserve">podstawowych, ale nie są przekazywane Zamawiającemu i </w:t>
      </w:r>
      <w:r>
        <w:rPr>
          <w:spacing w:val="-4"/>
          <w:sz w:val="20"/>
        </w:rPr>
        <w:t xml:space="preserve">są </w:t>
      </w:r>
      <w:r>
        <w:rPr>
          <w:sz w:val="20"/>
        </w:rPr>
        <w:t xml:space="preserve">usuwane po wykonaniu </w:t>
      </w:r>
      <w:r>
        <w:rPr>
          <w:spacing w:val="-3"/>
          <w:sz w:val="20"/>
        </w:rPr>
        <w:t xml:space="preserve">robót </w:t>
      </w:r>
      <w:r>
        <w:rPr>
          <w:spacing w:val="7"/>
          <w:sz w:val="20"/>
        </w:rPr>
        <w:t>podstawowych,</w:t>
      </w:r>
    </w:p>
    <w:p>
      <w:pPr>
        <w:pStyle w:val="ListParagraph"/>
        <w:numPr>
          <w:ilvl w:val="0"/>
          <w:numId w:val="9"/>
        </w:numPr>
        <w:tabs>
          <w:tab w:val="left" w:pos="680" w:leader="none"/>
        </w:tabs>
        <w:spacing w:lineRule="auto" w:line="240" w:before="82" w:after="0"/>
        <w:ind w:left="679" w:right="1134" w:hanging="283"/>
        <w:jc w:val="left"/>
        <w:rPr>
          <w:sz w:val="20"/>
        </w:rPr>
      </w:pPr>
      <w:r>
        <w:rPr>
          <w:sz w:val="20"/>
        </w:rPr>
        <w:t xml:space="preserve">prace towarzyszące, które są niezbędne do wykonania </w:t>
      </w:r>
      <w:r>
        <w:rPr>
          <w:spacing w:val="-3"/>
          <w:sz w:val="20"/>
        </w:rPr>
        <w:t xml:space="preserve">robót </w:t>
      </w:r>
      <w:r>
        <w:rPr>
          <w:sz w:val="20"/>
        </w:rPr>
        <w:t xml:space="preserve">podstawowych, niezaliczane do robót tymczasowych, jak geodezyjne wytyczenie </w:t>
      </w:r>
      <w:r>
        <w:rPr>
          <w:spacing w:val="-3"/>
          <w:sz w:val="20"/>
        </w:rPr>
        <w:t xml:space="preserve">robót </w:t>
      </w:r>
      <w:r>
        <w:rPr>
          <w:spacing w:val="3"/>
          <w:sz w:val="20"/>
        </w:rPr>
        <w:t>itd.</w:t>
      </w:r>
    </w:p>
    <w:p>
      <w:pPr>
        <w:pStyle w:val="Tretekstu"/>
        <w:spacing w:before="3" w:after="0"/>
        <w:ind w:left="0" w:right="0" w:hanging="0"/>
        <w:rPr>
          <w:sz w:val="21"/>
        </w:rPr>
      </w:pPr>
      <w:r>
        <w:rPr>
          <w:sz w:val="21"/>
        </w:rPr>
      </w:r>
    </w:p>
    <w:p>
      <w:pPr>
        <w:pStyle w:val="Nagwek1"/>
        <w:numPr>
          <w:ilvl w:val="0"/>
          <w:numId w:val="17"/>
        </w:numPr>
        <w:tabs>
          <w:tab w:val="left" w:pos="699" w:leader="none"/>
        </w:tabs>
        <w:spacing w:lineRule="auto" w:line="240" w:before="0" w:after="0"/>
        <w:ind w:left="698" w:right="0" w:hanging="302"/>
        <w:jc w:val="left"/>
        <w:rPr/>
      </w:pPr>
      <w:r>
        <w:rPr/>
        <w:t>PRZEPISY</w:t>
      </w:r>
      <w:r>
        <w:rPr>
          <w:spacing w:val="4"/>
        </w:rPr>
        <w:t>ZWIĄZANE</w:t>
      </w:r>
    </w:p>
    <w:p>
      <w:pPr>
        <w:pStyle w:val="Tretekstu"/>
        <w:spacing w:before="11" w:after="0"/>
        <w:ind w:left="0" w:right="0" w:hanging="0"/>
        <w:rPr>
          <w:b/>
          <w:b/>
        </w:rPr>
      </w:pPr>
      <w:r>
        <w:rPr>
          <w:b/>
        </w:rPr>
      </w:r>
    </w:p>
    <w:p>
      <w:pPr>
        <w:pStyle w:val="ListParagraph"/>
        <w:numPr>
          <w:ilvl w:val="1"/>
          <w:numId w:val="17"/>
        </w:numPr>
        <w:tabs>
          <w:tab w:val="left" w:pos="848" w:leader="none"/>
        </w:tabs>
        <w:spacing w:lineRule="auto" w:line="240" w:before="0" w:after="0"/>
        <w:ind w:left="847" w:right="0" w:hanging="451"/>
        <w:jc w:val="left"/>
        <w:rPr>
          <w:b/>
          <w:b/>
          <w:sz w:val="20"/>
        </w:rPr>
      </w:pPr>
      <w:r>
        <w:rPr>
          <w:b/>
          <w:sz w:val="20"/>
        </w:rPr>
        <w:t>Ogólne specyfikacje techniczne</w:t>
      </w:r>
      <w:r>
        <w:rPr>
          <w:b/>
          <w:spacing w:val="-4"/>
          <w:sz w:val="20"/>
        </w:rPr>
        <w:t>(ST)</w:t>
      </w:r>
    </w:p>
    <w:p>
      <w:pPr>
        <w:pStyle w:val="Tretekstu"/>
        <w:tabs>
          <w:tab w:val="left" w:pos="1120" w:leader="none"/>
          <w:tab w:val="left" w:pos="2767" w:leader="none"/>
        </w:tabs>
        <w:spacing w:before="115" w:after="0"/>
        <w:ind w:left="583" w:right="0" w:hanging="0"/>
        <w:rPr/>
      </w:pPr>
      <w:r>
        <w:rPr/>
        <w:t>1.</w:t>
        <w:tab/>
        <w:t>D-00.00.00</w:t>
        <w:tab/>
        <w:t>Wymagania</w:t>
      </w:r>
      <w:r>
        <w:rPr>
          <w:spacing w:val="3"/>
        </w:rPr>
        <w:t>ogólne</w:t>
      </w:r>
    </w:p>
    <w:p>
      <w:pPr>
        <w:pStyle w:val="Nagwek1"/>
        <w:numPr>
          <w:ilvl w:val="1"/>
          <w:numId w:val="17"/>
        </w:numPr>
        <w:tabs>
          <w:tab w:val="left" w:pos="852" w:leader="none"/>
        </w:tabs>
        <w:spacing w:lineRule="auto" w:line="240" w:before="126" w:after="0"/>
        <w:ind w:left="851" w:right="0" w:hanging="455"/>
        <w:jc w:val="left"/>
        <w:rPr/>
      </w:pPr>
      <w:r>
        <w:rPr>
          <w:spacing w:val="-3"/>
        </w:rPr>
        <w:t>Normy</w:t>
      </w:r>
    </w:p>
    <w:p>
      <w:pPr>
        <w:pStyle w:val="Tretekstu"/>
        <w:spacing w:before="115" w:after="0"/>
        <w:rPr/>
      </w:pPr>
      <w:r>
        <w:rPr/>
        <w:t>(Zestawienie zawiera dodatkowo normy PN-EN związane z badaniami materiałów występujących w niniejszej ST)</w:t>
      </w:r>
    </w:p>
    <w:p>
      <w:pPr>
        <w:pStyle w:val="ListParagraph"/>
        <w:numPr>
          <w:ilvl w:val="0"/>
          <w:numId w:val="4"/>
        </w:numPr>
        <w:tabs>
          <w:tab w:val="left" w:pos="1106" w:leader="none"/>
          <w:tab w:val="left" w:pos="1107" w:leader="none"/>
          <w:tab w:val="left" w:pos="3386" w:leader="none"/>
        </w:tabs>
        <w:spacing w:lineRule="auto" w:line="240" w:before="121" w:after="0"/>
        <w:ind w:left="3386" w:right="0" w:hanging="2818"/>
        <w:jc w:val="left"/>
        <w:rPr>
          <w:sz w:val="20"/>
        </w:rPr>
      </w:pPr>
      <w:r>
        <w:rPr>
          <w:sz w:val="20"/>
        </w:rPr>
        <w:t>PN-EN</w:t>
      </w:r>
      <w:r>
        <w:rPr>
          <w:spacing w:val="1"/>
          <w:sz w:val="20"/>
        </w:rPr>
        <w:t>196-2</w:t>
      </w:r>
      <w:r>
        <w:rPr>
          <w:sz w:val="20"/>
        </w:rPr>
        <w:tab/>
        <w:t>Metody badania cementu – Część 2: Analiza chemiczna</w:t>
      </w:r>
      <w:r>
        <w:rPr>
          <w:spacing w:val="-5"/>
          <w:sz w:val="20"/>
        </w:rPr>
        <w:t>cementu</w:t>
      </w:r>
    </w:p>
    <w:p>
      <w:pPr>
        <w:pStyle w:val="ListParagraph"/>
        <w:numPr>
          <w:ilvl w:val="0"/>
          <w:numId w:val="4"/>
        </w:numPr>
        <w:tabs>
          <w:tab w:val="left" w:pos="1106" w:leader="none"/>
          <w:tab w:val="left" w:pos="1107" w:leader="none"/>
          <w:tab w:val="left" w:pos="3386" w:leader="none"/>
        </w:tabs>
        <w:spacing w:lineRule="exact" w:line="228" w:before="0" w:after="0"/>
        <w:ind w:left="3386" w:right="0" w:hanging="2818"/>
        <w:jc w:val="left"/>
        <w:rPr>
          <w:sz w:val="20"/>
        </w:rPr>
      </w:pPr>
      <w:r>
        <w:rPr>
          <w:sz w:val="20"/>
        </w:rPr>
        <w:t>PN-EN</w:t>
      </w:r>
      <w:r>
        <w:rPr>
          <w:spacing w:val="1"/>
          <w:sz w:val="20"/>
        </w:rPr>
        <w:t>459-2</w:t>
      </w:r>
      <w:r>
        <w:rPr>
          <w:sz w:val="20"/>
        </w:rPr>
        <w:tab/>
        <w:t>Wapno budowlane – Część 2: Metody</w:t>
      </w:r>
      <w:r>
        <w:rPr>
          <w:spacing w:val="-6"/>
          <w:sz w:val="20"/>
        </w:rPr>
        <w:t>badań</w:t>
      </w:r>
    </w:p>
    <w:p>
      <w:pPr>
        <w:pStyle w:val="ListParagraph"/>
        <w:numPr>
          <w:ilvl w:val="0"/>
          <w:numId w:val="4"/>
        </w:numPr>
        <w:tabs>
          <w:tab w:val="left" w:pos="1106" w:leader="none"/>
          <w:tab w:val="left" w:pos="1107" w:leader="none"/>
          <w:tab w:val="left" w:pos="3386" w:leader="none"/>
          <w:tab w:val="left" w:pos="4259" w:leader="none"/>
          <w:tab w:val="left" w:pos="5675" w:leader="none"/>
          <w:tab w:val="left" w:pos="6866" w:leader="none"/>
          <w:tab w:val="left" w:pos="7763" w:leader="none"/>
          <w:tab w:val="left" w:pos="8080" w:leader="none"/>
          <w:tab w:val="left" w:pos="9117" w:leader="none"/>
        </w:tabs>
        <w:spacing w:lineRule="exact" w:line="228" w:before="0" w:after="0"/>
        <w:ind w:left="3386" w:right="0" w:hanging="2818"/>
        <w:jc w:val="left"/>
        <w:rPr>
          <w:sz w:val="20"/>
        </w:rPr>
      </w:pPr>
      <w:r>
        <w:rPr>
          <w:sz w:val="20"/>
        </w:rPr>
        <w:t>PN-EN</w:t>
      </w:r>
      <w:r>
        <w:rPr>
          <w:spacing w:val="1"/>
          <w:sz w:val="20"/>
        </w:rPr>
        <w:t>932-3</w:t>
      </w:r>
      <w:r>
        <w:rPr>
          <w:sz w:val="20"/>
        </w:rPr>
        <w:tab/>
        <w:t>Badania</w:t>
        <w:tab/>
        <w:t>podstawowych</w:t>
        <w:tab/>
        <w:t>właściwości</w:t>
        <w:tab/>
        <w:t>kruszyw</w:t>
        <w:tab/>
        <w:t>–</w:t>
        <w:tab/>
        <w:t>Procedura</w:t>
        <w:tab/>
        <w:t>i</w:t>
      </w:r>
    </w:p>
    <w:p>
      <w:pPr>
        <w:pStyle w:val="Tretekstu"/>
        <w:ind w:left="3386" w:right="0" w:hanging="0"/>
        <w:rPr/>
      </w:pPr>
      <w:r>
        <w:rPr/>
        <w:t>terminologia uproszczonego opisu petrograficznego</w:t>
      </w:r>
    </w:p>
    <w:p>
      <w:pPr>
        <w:pStyle w:val="ListParagraph"/>
        <w:numPr>
          <w:ilvl w:val="0"/>
          <w:numId w:val="4"/>
        </w:numPr>
        <w:tabs>
          <w:tab w:val="left" w:pos="1106" w:leader="none"/>
          <w:tab w:val="left" w:pos="1107" w:leader="none"/>
          <w:tab w:val="left" w:pos="3386" w:leader="none"/>
        </w:tabs>
        <w:spacing w:lineRule="auto" w:line="240" w:before="1" w:after="0"/>
        <w:ind w:left="3386" w:right="0" w:hanging="2818"/>
        <w:jc w:val="left"/>
        <w:rPr>
          <w:sz w:val="20"/>
        </w:rPr>
      </w:pPr>
      <w:r>
        <w:rPr>
          <w:sz w:val="20"/>
        </w:rPr>
        <w:t>PN-EN</w:t>
      </w:r>
      <w:r>
        <w:rPr>
          <w:spacing w:val="1"/>
          <w:sz w:val="20"/>
        </w:rPr>
        <w:t>933-1</w:t>
      </w:r>
      <w:r>
        <w:rPr>
          <w:sz w:val="20"/>
        </w:rPr>
        <w:tab/>
        <w:t>Badania geometrycznych właściwości kruszyw – Część 1:</w:t>
      </w:r>
      <w:r>
        <w:rPr>
          <w:spacing w:val="32"/>
          <w:sz w:val="20"/>
        </w:rPr>
        <w:t>Oznaczanie</w:t>
      </w:r>
    </w:p>
    <w:p>
      <w:pPr>
        <w:pStyle w:val="Tretekstu"/>
        <w:ind w:left="3386" w:right="0" w:hanging="0"/>
        <w:rPr/>
      </w:pPr>
      <w:r>
        <w:rPr/>
        <w:t>składu ziarnowego – Metoda przesiewania</w:t>
      </w:r>
    </w:p>
    <w:p>
      <w:pPr>
        <w:pStyle w:val="ListParagraph"/>
        <w:numPr>
          <w:ilvl w:val="0"/>
          <w:numId w:val="4"/>
        </w:numPr>
        <w:tabs>
          <w:tab w:val="left" w:pos="1106" w:leader="none"/>
          <w:tab w:val="left" w:pos="1107" w:leader="none"/>
          <w:tab w:val="left" w:pos="3386" w:leader="none"/>
        </w:tabs>
        <w:spacing w:lineRule="auto" w:line="240" w:before="1" w:after="0"/>
        <w:ind w:left="3386" w:right="0" w:hanging="2818"/>
        <w:jc w:val="left"/>
        <w:rPr>
          <w:sz w:val="20"/>
        </w:rPr>
      </w:pPr>
      <w:r>
        <w:rPr>
          <w:sz w:val="20"/>
        </w:rPr>
        <w:t>PN-EN</w:t>
      </w:r>
      <w:r>
        <w:rPr>
          <w:spacing w:val="1"/>
          <w:sz w:val="20"/>
        </w:rPr>
        <w:t>933-3</w:t>
      </w:r>
      <w:r>
        <w:rPr>
          <w:sz w:val="20"/>
        </w:rPr>
        <w:tab/>
        <w:t>Badania geometrycznych właściwości kruszyw – Część 3:</w:t>
      </w:r>
      <w:r>
        <w:rPr>
          <w:spacing w:val="32"/>
          <w:sz w:val="20"/>
        </w:rPr>
        <w:t>Oznaczanie</w:t>
      </w:r>
    </w:p>
    <w:p>
      <w:pPr>
        <w:pStyle w:val="Tretekstu"/>
        <w:ind w:left="3386" w:right="0" w:hanging="0"/>
        <w:rPr/>
      </w:pPr>
      <w:r>
        <w:rPr/>
        <w:t>kształtu ziarn za pomocą wskaźnika płaskości</w:t>
      </w:r>
    </w:p>
    <w:p>
      <w:pPr>
        <w:pStyle w:val="ListParagraph"/>
        <w:numPr>
          <w:ilvl w:val="0"/>
          <w:numId w:val="4"/>
        </w:numPr>
        <w:tabs>
          <w:tab w:val="left" w:pos="1106" w:leader="none"/>
          <w:tab w:val="left" w:pos="1107" w:leader="none"/>
          <w:tab w:val="left" w:pos="3386" w:leader="none"/>
        </w:tabs>
        <w:spacing w:lineRule="auto" w:line="240" w:before="1" w:after="0"/>
        <w:ind w:left="3386" w:right="0" w:hanging="2818"/>
        <w:jc w:val="left"/>
        <w:rPr>
          <w:sz w:val="20"/>
        </w:rPr>
      </w:pPr>
      <w:r>
        <w:rPr>
          <w:sz w:val="20"/>
        </w:rPr>
        <w:t>PN-EN</w:t>
      </w:r>
      <w:r>
        <w:rPr>
          <w:spacing w:val="1"/>
          <w:sz w:val="20"/>
        </w:rPr>
        <w:t>933-4</w:t>
      </w:r>
      <w:r>
        <w:rPr>
          <w:sz w:val="20"/>
        </w:rPr>
        <w:tab/>
        <w:t>Badania geometrycznych właściwości kruszyw – Część 4:</w:t>
      </w:r>
      <w:r>
        <w:rPr>
          <w:spacing w:val="32"/>
          <w:sz w:val="20"/>
        </w:rPr>
        <w:t>Oznaczanie</w:t>
      </w:r>
    </w:p>
    <w:p>
      <w:pPr>
        <w:pStyle w:val="Tretekstu"/>
        <w:ind w:left="3386" w:right="0" w:hanging="0"/>
        <w:rPr/>
      </w:pPr>
      <w:r>
        <w:rPr/>
        <w:t>kształtu ziarn – Wskaźnik kształtu</w:t>
      </w:r>
    </w:p>
    <w:p>
      <w:pPr>
        <w:pStyle w:val="ListParagraph"/>
        <w:numPr>
          <w:ilvl w:val="0"/>
          <w:numId w:val="4"/>
        </w:numPr>
        <w:tabs>
          <w:tab w:val="left" w:pos="1106" w:leader="none"/>
          <w:tab w:val="left" w:pos="1107" w:leader="none"/>
          <w:tab w:val="left" w:pos="3386" w:leader="none"/>
          <w:tab w:val="left" w:pos="4269" w:leader="none"/>
          <w:tab w:val="left" w:pos="5814" w:leader="none"/>
          <w:tab w:val="left" w:pos="7009" w:leader="none"/>
          <w:tab w:val="left" w:pos="7907" w:leader="none"/>
          <w:tab w:val="left" w:pos="8239" w:leader="none"/>
        </w:tabs>
        <w:spacing w:lineRule="auto" w:line="240" w:before="0" w:after="0"/>
        <w:ind w:left="3386" w:right="0" w:hanging="2818"/>
        <w:jc w:val="left"/>
        <w:rPr>
          <w:sz w:val="20"/>
        </w:rPr>
      </w:pPr>
      <w:r>
        <w:rPr>
          <w:sz w:val="20"/>
        </w:rPr>
        <w:t>PN-EN</w:t>
      </w:r>
      <w:r>
        <w:rPr>
          <w:spacing w:val="1"/>
          <w:sz w:val="20"/>
        </w:rPr>
        <w:t>933-5</w:t>
      </w:r>
      <w:r>
        <w:rPr>
          <w:sz w:val="20"/>
        </w:rPr>
        <w:tab/>
        <w:t>Badania</w:t>
        <w:tab/>
        <w:t>geometrycznych</w:t>
        <w:tab/>
        <w:t>właściwości</w:t>
        <w:tab/>
        <w:t>kruszyw</w:t>
        <w:tab/>
        <w:t>–</w:t>
        <w:tab/>
        <w:t>Oznaczanie</w:t>
      </w:r>
    </w:p>
    <w:p>
      <w:pPr>
        <w:pStyle w:val="Tretekstu"/>
        <w:spacing w:before="1" w:after="0"/>
        <w:ind w:left="3386" w:right="1124" w:hanging="0"/>
        <w:rPr/>
      </w:pPr>
      <w:r>
        <w:rPr/>
        <w:t>procentowej zawartości ziarn o powierzchniach powstałych w wyniku przekruszenia lub łamania kruszyw grubych</w:t>
      </w:r>
    </w:p>
    <w:p>
      <w:pPr>
        <w:pStyle w:val="ListParagraph"/>
        <w:numPr>
          <w:ilvl w:val="0"/>
          <w:numId w:val="4"/>
        </w:numPr>
        <w:tabs>
          <w:tab w:val="left" w:pos="1106" w:leader="none"/>
          <w:tab w:val="left" w:pos="1107" w:leader="none"/>
          <w:tab w:val="left" w:pos="3386" w:leader="none"/>
        </w:tabs>
        <w:spacing w:lineRule="exact" w:line="228" w:before="1" w:after="0"/>
        <w:ind w:left="3386" w:right="0" w:hanging="2818"/>
        <w:jc w:val="left"/>
        <w:rPr>
          <w:sz w:val="20"/>
        </w:rPr>
      </w:pPr>
      <w:r>
        <w:rPr>
          <w:sz w:val="20"/>
        </w:rPr>
        <w:t>PN-EN</w:t>
      </w:r>
      <w:r>
        <w:rPr>
          <w:spacing w:val="1"/>
          <w:sz w:val="20"/>
        </w:rPr>
        <w:t>933-6</w:t>
      </w:r>
      <w:r>
        <w:rPr>
          <w:sz w:val="20"/>
        </w:rPr>
        <w:tab/>
        <w:t>Badania geometrycznych właściwości kruszyw – Część 6:</w:t>
      </w:r>
      <w:r>
        <w:rPr>
          <w:spacing w:val="2"/>
          <w:sz w:val="20"/>
        </w:rPr>
        <w:t>Ocena</w:t>
      </w:r>
    </w:p>
    <w:p>
      <w:pPr>
        <w:pStyle w:val="Tretekstu"/>
        <w:spacing w:lineRule="exact" w:line="228"/>
        <w:ind w:left="3386" w:right="0" w:hanging="0"/>
        <w:rPr/>
      </w:pPr>
      <w:r>
        <w:rPr/>
        <w:t>właściwości powierzchni – Wskaźnik przepływu kruszyw</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933-9</w:t>
      </w:r>
      <w:r>
        <w:rPr>
          <w:sz w:val="20"/>
        </w:rPr>
        <w:tab/>
        <w:t>Badania geometrycznych właściwości kruszyw – Część 9:</w:t>
      </w:r>
      <w:r>
        <w:rPr>
          <w:spacing w:val="2"/>
          <w:sz w:val="20"/>
        </w:rPr>
        <w:t>Ocena</w:t>
      </w:r>
    </w:p>
    <w:p>
      <w:pPr>
        <w:pStyle w:val="Tretekstu"/>
        <w:ind w:left="3386" w:right="0" w:hanging="0"/>
        <w:rPr/>
      </w:pPr>
      <w:r>
        <w:rPr/>
        <w:t>zawartości drobnych cząstek – Badania błękitem metylenowym</w:t>
      </w:r>
    </w:p>
    <w:p>
      <w:pPr>
        <w:pStyle w:val="ListParagraph"/>
        <w:numPr>
          <w:ilvl w:val="0"/>
          <w:numId w:val="4"/>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933-10</w:t>
      </w:r>
      <w:r>
        <w:rPr>
          <w:sz w:val="20"/>
        </w:rPr>
        <w:tab/>
        <w:t>Badania geometrycznych właściwości kruszyw – Część 10:</w:t>
      </w:r>
      <w:r>
        <w:rPr>
          <w:spacing w:val="11"/>
          <w:sz w:val="20"/>
        </w:rPr>
        <w:t>Ocena</w:t>
      </w:r>
    </w:p>
    <w:p>
      <w:pPr>
        <w:pStyle w:val="Tretekstu"/>
        <w:ind w:left="3386" w:right="1696" w:hanging="0"/>
        <w:rPr/>
      </w:pPr>
      <w:r>
        <w:rPr/>
        <w:t>zawartości drobnych cząstek – Uziarnienie wypełniaczy (przesiewanie w strumieniu</w:t>
      </w:r>
      <w:r>
        <w:rPr>
          <w:spacing w:val="-7"/>
        </w:rPr>
        <w:t>powietrza)</w:t>
      </w:r>
    </w:p>
    <w:p>
      <w:pPr>
        <w:pStyle w:val="ListParagraph"/>
        <w:numPr>
          <w:ilvl w:val="0"/>
          <w:numId w:val="4"/>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1097-2</w:t>
      </w:r>
      <w:r>
        <w:rPr>
          <w:sz w:val="20"/>
        </w:rPr>
        <w:tab/>
        <w:t>Badania mechanicznych i fizycznych właściwości</w:t>
      </w:r>
      <w:r>
        <w:rPr>
          <w:spacing w:val="17"/>
          <w:sz w:val="20"/>
        </w:rPr>
        <w:t>kruszyw – Część 2:</w:t>
      </w:r>
    </w:p>
    <w:p>
      <w:pPr>
        <w:pStyle w:val="Tretekstu"/>
        <w:spacing w:before="1" w:after="0"/>
        <w:ind w:left="3386" w:right="0" w:hanging="0"/>
        <w:rPr/>
      </w:pPr>
      <w:r>
        <w:rPr/>
        <w:t>Metody oznaczania odporności na rozdrabnianie</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1097-4</w:t>
      </w:r>
      <w:r>
        <w:rPr>
          <w:sz w:val="20"/>
        </w:rPr>
        <w:tab/>
        <w:t>Badania mechanicznych i fizycznych właściwości</w:t>
      </w:r>
      <w:r>
        <w:rPr>
          <w:spacing w:val="17"/>
          <w:sz w:val="20"/>
        </w:rPr>
        <w:t>kruszyw – Część 4:</w:t>
      </w:r>
    </w:p>
    <w:p>
      <w:pPr>
        <w:pStyle w:val="Tretekstu"/>
        <w:ind w:left="3386" w:right="0" w:hanging="0"/>
        <w:rPr/>
      </w:pPr>
      <w:r>
        <w:rPr/>
        <w:t>Oznaczanie pustych przestrzeni suchego, zagęszczonego wypełniacza</w:t>
      </w:r>
    </w:p>
    <w:p>
      <w:pPr>
        <w:pStyle w:val="ListParagraph"/>
        <w:numPr>
          <w:ilvl w:val="0"/>
          <w:numId w:val="4"/>
        </w:numPr>
        <w:tabs>
          <w:tab w:val="left" w:pos="1106" w:leader="none"/>
          <w:tab w:val="left" w:pos="1107" w:leader="none"/>
          <w:tab w:val="left" w:pos="3386" w:leader="none"/>
        </w:tabs>
        <w:spacing w:lineRule="exact" w:line="228" w:before="1" w:after="0"/>
        <w:ind w:left="1106" w:right="0" w:hanging="590"/>
        <w:jc w:val="left"/>
        <w:rPr>
          <w:sz w:val="20"/>
        </w:rPr>
      </w:pPr>
      <w:r>
        <w:rPr>
          <w:sz w:val="20"/>
        </w:rPr>
        <w:t>PN-EN</w:t>
      </w:r>
      <w:r>
        <w:rPr>
          <w:spacing w:val="1"/>
          <w:sz w:val="20"/>
        </w:rPr>
        <w:t>1097-5</w:t>
      </w:r>
      <w:r>
        <w:rPr>
          <w:sz w:val="20"/>
        </w:rPr>
        <w:tab/>
        <w:t>Badania mechanicznych i fizycznych właściwości</w:t>
      </w:r>
      <w:r>
        <w:rPr>
          <w:spacing w:val="17"/>
          <w:sz w:val="20"/>
        </w:rPr>
        <w:t>kruszyw – Część 5:</w:t>
      </w:r>
    </w:p>
    <w:p>
      <w:pPr>
        <w:pStyle w:val="Tretekstu"/>
        <w:spacing w:lineRule="exact" w:line="228"/>
        <w:ind w:left="3386" w:right="0" w:hanging="0"/>
        <w:rPr/>
      </w:pPr>
      <w:r>
        <w:rPr/>
        <w:t>Oznaczanie zawartości wody przez suszenie w suszarce z wentylacją</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1097-6</w:t>
      </w:r>
      <w:r>
        <w:rPr>
          <w:sz w:val="20"/>
        </w:rPr>
        <w:tab/>
        <w:t>Badania mechanicznych i fizycznych właściwości</w:t>
      </w:r>
      <w:r>
        <w:rPr>
          <w:spacing w:val="16"/>
          <w:sz w:val="20"/>
        </w:rPr>
        <w:t>kruszyw – Część 6:</w:t>
      </w:r>
    </w:p>
    <w:p>
      <w:pPr>
        <w:pStyle w:val="Tretekstu"/>
        <w:spacing w:before="1" w:after="0"/>
        <w:ind w:left="3386" w:right="0" w:hanging="0"/>
        <w:rPr/>
      </w:pPr>
      <w:r>
        <w:rPr/>
        <w:t>Oznaczanie gęstości ziarn i nasiąkliwości</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1097-7</w:t>
      </w:r>
      <w:r>
        <w:rPr>
          <w:sz w:val="20"/>
        </w:rPr>
        <w:tab/>
        <w:t>Badania mechanicznych i fizycznych właściwości</w:t>
      </w:r>
      <w:r>
        <w:rPr>
          <w:spacing w:val="17"/>
          <w:sz w:val="20"/>
        </w:rPr>
        <w:t>kruszyw – Część 7:</w:t>
      </w:r>
    </w:p>
    <w:p>
      <w:pPr>
        <w:pStyle w:val="Tretekstu"/>
        <w:spacing w:before="1" w:after="0"/>
        <w:ind w:left="3386" w:right="0" w:hanging="0"/>
        <w:rPr/>
      </w:pPr>
      <w:r>
        <w:rPr/>
        <w:t>Oznaczanie gęstości wypełniacza – Metoda piknometryczna</w:t>
      </w:r>
    </w:p>
    <w:p>
      <w:pPr>
        <w:pStyle w:val="Tretekstu"/>
        <w:ind w:left="0" w:right="0" w:hanging="0"/>
        <w:rPr/>
      </w:pPr>
      <w:r>
        <w:rPr/>
      </w:r>
    </w:p>
    <w:p>
      <w:pPr>
        <w:pStyle w:val="ListParagraph"/>
        <w:numPr>
          <w:ilvl w:val="0"/>
          <w:numId w:val="4"/>
        </w:numPr>
        <w:tabs>
          <w:tab w:val="left" w:pos="1106" w:leader="none"/>
          <w:tab w:val="left" w:pos="1107" w:leader="none"/>
          <w:tab w:val="left" w:pos="3386" w:leader="none"/>
        </w:tabs>
        <w:spacing w:lineRule="auto" w:line="240" w:before="0" w:after="0"/>
        <w:ind w:left="3386" w:right="1656" w:hanging="2870"/>
        <w:jc w:val="left"/>
        <w:rPr>
          <w:sz w:val="20"/>
        </w:rPr>
      </w:pPr>
      <w:r>
        <w:rPr>
          <w:sz w:val="20"/>
        </w:rPr>
        <w:t>PN-EN</w:t>
      </w:r>
      <w:r>
        <w:rPr>
          <w:spacing w:val="1"/>
          <w:sz w:val="20"/>
        </w:rPr>
        <w:t>1097-8</w:t>
      </w:r>
      <w:r>
        <w:rPr>
          <w:sz w:val="20"/>
        </w:rPr>
        <w:tab/>
        <w:t>Badania mechanicznych i fizycznych właściwości kruszyw – Część 8: Oznaczanie polerowalności</w:t>
      </w:r>
      <w:r>
        <w:rPr>
          <w:spacing w:val="2"/>
          <w:sz w:val="20"/>
        </w:rPr>
        <w:t>kamienia</w:t>
      </w:r>
    </w:p>
    <w:p>
      <w:pPr>
        <w:pStyle w:val="ListParagraph"/>
        <w:numPr>
          <w:ilvl w:val="0"/>
          <w:numId w:val="4"/>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1367-3</w:t>
      </w:r>
      <w:r>
        <w:rPr>
          <w:sz w:val="20"/>
        </w:rPr>
        <w:tab/>
        <w:t>Badania właściwości cieplnych i odporności kruszyw na</w:t>
      </w:r>
      <w:r>
        <w:rPr>
          <w:spacing w:val="-4"/>
          <w:sz w:val="20"/>
        </w:rPr>
        <w:t>działanie</w:t>
      </w:r>
    </w:p>
    <w:p>
      <w:pPr>
        <w:pStyle w:val="Tretekstu"/>
        <w:spacing w:before="1" w:after="0"/>
        <w:ind w:left="3386" w:right="1900" w:hanging="0"/>
        <w:rPr/>
      </w:pPr>
      <w:r>
        <w:rPr/>
        <w:t>czynników atmosferycznych – Część 3: Badanie bazaltowej zgorzeli słonecznej metodą gotowania</w:t>
      </w:r>
    </w:p>
    <w:p>
      <w:pPr>
        <w:pStyle w:val="ListParagraph"/>
        <w:numPr>
          <w:ilvl w:val="0"/>
          <w:numId w:val="4"/>
        </w:numPr>
        <w:tabs>
          <w:tab w:val="left" w:pos="1106" w:leader="none"/>
          <w:tab w:val="left" w:pos="1107" w:leader="none"/>
          <w:tab w:val="left" w:pos="3386" w:leader="none"/>
        </w:tabs>
        <w:spacing w:lineRule="exact" w:line="228" w:before="0" w:after="0"/>
        <w:ind w:left="1106" w:right="0" w:hanging="590"/>
        <w:jc w:val="left"/>
        <w:rPr>
          <w:sz w:val="20"/>
        </w:rPr>
      </w:pPr>
      <w:r>
        <w:rPr>
          <w:sz w:val="20"/>
        </w:rPr>
        <w:t>PN-EN</w:t>
      </w:r>
      <w:r>
        <w:rPr>
          <w:spacing w:val="1"/>
          <w:sz w:val="20"/>
        </w:rPr>
        <w:t>1367-6</w:t>
      </w:r>
      <w:r>
        <w:rPr>
          <w:sz w:val="20"/>
        </w:rPr>
        <w:tab/>
        <w:t>Badania właściwości cieplnych i odporności kruszyw na</w:t>
      </w:r>
      <w:r>
        <w:rPr>
          <w:spacing w:val="-3"/>
          <w:sz w:val="20"/>
        </w:rPr>
        <w:t>działanie</w:t>
      </w:r>
    </w:p>
    <w:p>
      <w:pPr>
        <w:pStyle w:val="Tretekstu"/>
        <w:ind w:left="3386" w:right="1696" w:hanging="0"/>
        <w:rPr/>
      </w:pPr>
      <w:r>
        <w:rPr/>
        <w:t>czynników atmosferycznych - Część 6: Mrozoodporność w obecności soli</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 1426</w:t>
        <w:tab/>
        <w:t>Asfalty i produkty asfaltowe – Oznaczanie penetracji</w:t>
      </w:r>
      <w:r>
        <w:rPr>
          <w:spacing w:val="-6"/>
          <w:sz w:val="20"/>
        </w:rPr>
        <w:t>igłą</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 1427</w:t>
        <w:tab/>
        <w:t>Asfalty i produkty asfaltowe – Oznaczanie temperatury mięknienia</w:t>
      </w:r>
      <w:r>
        <w:rPr>
          <w:spacing w:val="48"/>
          <w:sz w:val="20"/>
        </w:rPr>
        <w:t>–</w:t>
      </w:r>
    </w:p>
    <w:p>
      <w:pPr>
        <w:pStyle w:val="Tretekstu"/>
        <w:ind w:left="3386" w:right="0" w:hanging="0"/>
        <w:rPr/>
      </w:pPr>
      <w:r>
        <w:rPr/>
        <w:t>Metoda Pierścień i Kula</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1744-1</w:t>
      </w:r>
      <w:r>
        <w:rPr>
          <w:sz w:val="20"/>
        </w:rPr>
        <w:tab/>
        <w:t>Badania chemicznych właściwości kruszyw – Analiza</w:t>
      </w:r>
      <w:r>
        <w:rPr>
          <w:spacing w:val="13"/>
          <w:sz w:val="20"/>
        </w:rPr>
        <w:t>chemiczna</w:t>
      </w:r>
    </w:p>
    <w:p>
      <w:pPr>
        <w:pStyle w:val="ListParagraph"/>
        <w:numPr>
          <w:ilvl w:val="0"/>
          <w:numId w:val="4"/>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12591</w:t>
      </w:r>
      <w:r>
        <w:rPr>
          <w:sz w:val="20"/>
        </w:rPr>
        <w:tab/>
        <w:t>Asfalty i produkty asfaltowe – Wymagania dla asfaltów</w:t>
      </w:r>
      <w:r>
        <w:rPr>
          <w:spacing w:val="-12"/>
          <w:sz w:val="20"/>
        </w:rPr>
        <w:t>drogowych</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12592</w:t>
      </w:r>
      <w:r>
        <w:rPr>
          <w:sz w:val="20"/>
        </w:rPr>
        <w:tab/>
        <w:t>Asfalty i produkty asfaltowe – Oznaczanie</w:t>
      </w:r>
      <w:r>
        <w:rPr>
          <w:spacing w:val="-15"/>
          <w:sz w:val="20"/>
        </w:rPr>
        <w:t>rozpuszczalności</w:t>
      </w:r>
    </w:p>
    <w:p>
      <w:pPr>
        <w:pStyle w:val="ListParagraph"/>
        <w:numPr>
          <w:ilvl w:val="0"/>
          <w:numId w:val="4"/>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12593</w:t>
      </w:r>
      <w:r>
        <w:rPr>
          <w:sz w:val="20"/>
        </w:rPr>
        <w:tab/>
        <w:t>Asfalty i produkty asfaltowe – Oznaczanie temperatury</w:t>
      </w:r>
      <w:r>
        <w:rPr>
          <w:spacing w:val="7"/>
          <w:sz w:val="20"/>
        </w:rPr>
        <w:t>łamliwości</w:t>
      </w:r>
    </w:p>
    <w:p>
      <w:pPr>
        <w:pStyle w:val="Tretekstu"/>
        <w:ind w:left="3386" w:right="0" w:hanging="0"/>
        <w:rPr/>
      </w:pPr>
      <w:r>
        <w:rPr/>
        <w:t>Fraassa</w:t>
      </w:r>
    </w:p>
    <w:p>
      <w:pPr>
        <w:pStyle w:val="ListParagraph"/>
        <w:numPr>
          <w:ilvl w:val="0"/>
          <w:numId w:val="4"/>
        </w:numPr>
        <w:tabs>
          <w:tab w:val="left" w:pos="1106" w:leader="none"/>
          <w:tab w:val="left" w:pos="1107" w:leader="none"/>
          <w:tab w:val="left" w:pos="3386" w:leader="none"/>
        </w:tabs>
        <w:spacing w:lineRule="exact" w:line="228" w:before="0" w:after="0"/>
        <w:ind w:left="1106" w:right="0" w:hanging="590"/>
        <w:jc w:val="left"/>
        <w:rPr>
          <w:sz w:val="20"/>
        </w:rPr>
      </w:pPr>
      <w:r>
        <w:rPr>
          <w:sz w:val="20"/>
        </w:rPr>
        <w:t>PN-EN</w:t>
      </w:r>
      <w:r>
        <w:rPr>
          <w:spacing w:val="1"/>
          <w:sz w:val="20"/>
        </w:rPr>
        <w:t>12595</w:t>
      </w:r>
      <w:r>
        <w:rPr>
          <w:sz w:val="20"/>
        </w:rPr>
        <w:tab/>
        <w:t>Asfalty i lepiszcza asfaltowe - Oznaczanie lepkości</w:t>
      </w:r>
      <w:r>
        <w:rPr>
          <w:spacing w:val="-2"/>
          <w:sz w:val="20"/>
        </w:rPr>
        <w:t>kinematycznej</w:t>
      </w:r>
    </w:p>
    <w:p>
      <w:pPr>
        <w:pStyle w:val="ListParagraph"/>
        <w:numPr>
          <w:ilvl w:val="0"/>
          <w:numId w:val="4"/>
        </w:numPr>
        <w:tabs>
          <w:tab w:val="left" w:pos="1106" w:leader="none"/>
          <w:tab w:val="left" w:pos="1107" w:leader="none"/>
          <w:tab w:val="left" w:pos="3386" w:leader="none"/>
        </w:tabs>
        <w:spacing w:lineRule="exact" w:line="228" w:before="0" w:after="0"/>
        <w:ind w:left="1106" w:right="0" w:hanging="590"/>
        <w:jc w:val="left"/>
        <w:rPr>
          <w:sz w:val="20"/>
        </w:rPr>
      </w:pPr>
      <w:r>
        <w:rPr>
          <w:sz w:val="20"/>
        </w:rPr>
        <w:t>PN-EN</w:t>
      </w:r>
      <w:r>
        <w:rPr>
          <w:spacing w:val="1"/>
          <w:sz w:val="20"/>
        </w:rPr>
        <w:t>12596</w:t>
      </w:r>
      <w:r>
        <w:rPr>
          <w:sz w:val="20"/>
        </w:rPr>
        <w:tab/>
        <w:t>Asfalty i lepiszcza asfaltowe - Oznaczanie lepkości dynamicznej</w:t>
      </w:r>
      <w:r>
        <w:rPr>
          <w:spacing w:val="-2"/>
          <w:sz w:val="20"/>
        </w:rPr>
        <w:t>metodą</w:t>
      </w:r>
    </w:p>
    <w:p>
      <w:pPr>
        <w:pStyle w:val="Tretekstu"/>
        <w:spacing w:before="1" w:after="0"/>
        <w:ind w:left="3386" w:right="0" w:hanging="0"/>
        <w:rPr/>
      </w:pPr>
      <w:r>
        <w:rPr/>
        <w:t>próżniowej kapilary</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12606-1</w:t>
      </w:r>
      <w:r>
        <w:rPr>
          <w:sz w:val="20"/>
        </w:rPr>
        <w:tab/>
        <w:t>Asfalty</w:t>
      </w:r>
      <w:r>
        <w:rPr>
          <w:spacing w:val="2"/>
          <w:sz w:val="20"/>
        </w:rPr>
        <w:t>i</w:t>
      </w:r>
      <w:r>
        <w:rPr>
          <w:spacing w:val="13"/>
          <w:sz w:val="20"/>
        </w:rPr>
        <w:t>lepiszczaasfaltowe</w:t>
      </w:r>
      <w:r>
        <w:rPr>
          <w:spacing w:val="9"/>
          <w:sz w:val="20"/>
        </w:rPr>
        <w:t>–</w:t>
      </w:r>
      <w:r>
        <w:rPr>
          <w:spacing w:val="12"/>
          <w:sz w:val="20"/>
        </w:rPr>
        <w:t>Oznaczanie</w:t>
      </w:r>
      <w:r>
        <w:rPr>
          <w:spacing w:val="9"/>
          <w:sz w:val="20"/>
        </w:rPr>
        <w:t>zawartości</w:t>
      </w:r>
      <w:r>
        <w:rPr>
          <w:spacing w:val="13"/>
          <w:sz w:val="20"/>
        </w:rPr>
        <w:t>parafiny</w:t>
      </w:r>
      <w:r>
        <w:rPr>
          <w:spacing w:val="3"/>
          <w:sz w:val="20"/>
        </w:rPr>
        <w:t>–</w:t>
      </w:r>
      <w:r>
        <w:rPr>
          <w:spacing w:val="12"/>
          <w:sz w:val="20"/>
        </w:rPr>
        <w:t>Część</w:t>
      </w:r>
    </w:p>
    <w:p>
      <w:pPr>
        <w:pStyle w:val="Tretekstu"/>
        <w:spacing w:before="1" w:after="0"/>
        <w:ind w:left="3386" w:right="0" w:hanging="0"/>
        <w:rPr/>
      </w:pPr>
      <w:r>
        <w:rPr/>
        <w:t>1: Metoda destylacji</w:t>
      </w:r>
    </w:p>
    <w:p>
      <w:pPr>
        <w:pStyle w:val="ListParagraph"/>
        <w:numPr>
          <w:ilvl w:val="0"/>
          <w:numId w:val="4"/>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12607-1</w:t>
      </w:r>
      <w:r>
        <w:rPr>
          <w:sz w:val="20"/>
        </w:rPr>
        <w:tab/>
        <w:t>Asfalty</w:t>
      </w:r>
      <w:r>
        <w:rPr>
          <w:spacing w:val="2"/>
          <w:sz w:val="20"/>
        </w:rPr>
        <w:t>i</w:t>
      </w:r>
      <w:r>
        <w:rPr>
          <w:spacing w:val="13"/>
          <w:sz w:val="20"/>
        </w:rPr>
        <w:t>lepiszczaasfaltowe</w:t>
      </w:r>
      <w:r>
        <w:rPr>
          <w:spacing w:val="14"/>
          <w:sz w:val="20"/>
        </w:rPr>
        <w:t>–</w:t>
      </w:r>
      <w:r>
        <w:rPr>
          <w:spacing w:val="12"/>
          <w:sz w:val="20"/>
        </w:rPr>
        <w:t>Oznaczanie</w:t>
      </w:r>
      <w:r>
        <w:rPr>
          <w:spacing w:val="9"/>
          <w:sz w:val="20"/>
        </w:rPr>
        <w:t>odporności</w:t>
      </w:r>
      <w:r>
        <w:rPr>
          <w:spacing w:val="13"/>
          <w:sz w:val="20"/>
        </w:rPr>
        <w:t>na</w:t>
      </w:r>
      <w:r>
        <w:rPr>
          <w:spacing w:val="12"/>
          <w:sz w:val="20"/>
        </w:rPr>
        <w:t>starzenie</w:t>
      </w:r>
      <w:r>
        <w:rPr>
          <w:spacing w:val="9"/>
          <w:sz w:val="20"/>
        </w:rPr>
        <w:t>pod</w:t>
      </w:r>
    </w:p>
    <w:tbl>
      <w:tblPr>
        <w:tblW w:w="8811" w:type="dxa"/>
        <w:jc w:val="left"/>
        <w:tblInd w:w="465" w:type="dxa"/>
        <w:tblBorders/>
        <w:tblCellMar>
          <w:top w:w="0" w:type="dxa"/>
          <w:left w:w="0" w:type="dxa"/>
          <w:bottom w:w="0" w:type="dxa"/>
          <w:right w:w="0" w:type="dxa"/>
        </w:tblCellMar>
        <w:tblLook w:val="01e0"/>
      </w:tblPr>
      <w:tblGrid>
        <w:gridCol w:w="471"/>
        <w:gridCol w:w="1963"/>
        <w:gridCol w:w="1"/>
        <w:gridCol w:w="6376"/>
      </w:tblGrid>
      <w:tr>
        <w:trPr>
          <w:trHeight w:val="226" w:hRule="atLeast"/>
        </w:trPr>
        <w:tc>
          <w:tcPr>
            <w:tcW w:w="2434" w:type="dxa"/>
            <w:gridSpan w:val="2"/>
            <w:tcBorders/>
            <w:shd w:fill="auto" w:val="clear"/>
          </w:tcPr>
          <w:p>
            <w:pPr>
              <w:pStyle w:val="TableParagraph"/>
              <w:rPr>
                <w:sz w:val="16"/>
              </w:rPr>
            </w:pPr>
            <w:r>
              <w:rPr>
                <w:sz w:val="16"/>
              </w:rPr>
            </w:r>
          </w:p>
        </w:tc>
        <w:tc>
          <w:tcPr>
            <w:tcW w:w="6377" w:type="dxa"/>
            <w:gridSpan w:val="2"/>
            <w:tcBorders/>
            <w:shd w:fill="auto" w:val="clear"/>
          </w:tcPr>
          <w:p>
            <w:pPr>
              <w:pStyle w:val="TableParagraph"/>
              <w:spacing w:lineRule="exact" w:line="207"/>
              <w:ind w:left="485" w:right="0" w:hanging="0"/>
              <w:rPr>
                <w:sz w:val="20"/>
              </w:rPr>
            </w:pPr>
            <w:r>
              <w:rPr>
                <w:sz w:val="20"/>
              </w:rPr>
              <w:t>wpływem ciepła i powietrza – Część 1: Metoda RTFOT</w:t>
            </w:r>
          </w:p>
        </w:tc>
      </w:tr>
      <w:tr>
        <w:trPr>
          <w:trHeight w:val="230" w:hRule="atLeast"/>
        </w:trPr>
        <w:tc>
          <w:tcPr>
            <w:tcW w:w="471" w:type="dxa"/>
            <w:tcBorders/>
            <w:shd w:fill="auto" w:val="clear"/>
          </w:tcPr>
          <w:p>
            <w:pPr>
              <w:pStyle w:val="TableParagraph"/>
              <w:spacing w:lineRule="exact" w:line="210"/>
              <w:ind w:left="50" w:right="0" w:hanging="0"/>
              <w:rPr>
                <w:sz w:val="20"/>
              </w:rPr>
            </w:pPr>
            <w:r>
              <w:rPr>
                <w:sz w:val="20"/>
              </w:rPr>
              <w:t>30.</w:t>
            </w:r>
          </w:p>
        </w:tc>
        <w:tc>
          <w:tcPr>
            <w:tcW w:w="1964" w:type="dxa"/>
            <w:gridSpan w:val="2"/>
            <w:tcBorders/>
            <w:shd w:fill="auto" w:val="clear"/>
          </w:tcPr>
          <w:p>
            <w:pPr>
              <w:pStyle w:val="TableParagraph"/>
              <w:spacing w:lineRule="exact" w:line="210"/>
              <w:ind w:left="169" w:right="0" w:hanging="0"/>
              <w:rPr>
                <w:sz w:val="20"/>
              </w:rPr>
            </w:pPr>
            <w:r>
              <w:rPr>
                <w:sz w:val="20"/>
              </w:rPr>
              <w:t>PN-EN 12607-3</w:t>
            </w:r>
          </w:p>
        </w:tc>
        <w:tc>
          <w:tcPr>
            <w:tcW w:w="6376" w:type="dxa"/>
            <w:tcBorders/>
            <w:shd w:fill="auto" w:val="clear"/>
          </w:tcPr>
          <w:p>
            <w:pPr>
              <w:pStyle w:val="TableParagraph"/>
              <w:spacing w:lineRule="exact" w:line="210"/>
              <w:ind w:left="485" w:right="0" w:hanging="0"/>
              <w:rPr>
                <w:sz w:val="20"/>
              </w:rPr>
            </w:pPr>
            <w:r>
              <w:rPr>
                <w:sz w:val="20"/>
              </w:rPr>
              <w:t>Asfalty i lepiszcza asfaltowe – Oznaczanie odporności na starzenie pod</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wpływem ciepła i powietrza – Część 3: Metoda RFT</w:t>
            </w:r>
          </w:p>
        </w:tc>
      </w:tr>
      <w:tr>
        <w:trPr>
          <w:trHeight w:val="230" w:hRule="atLeast"/>
        </w:trPr>
        <w:tc>
          <w:tcPr>
            <w:tcW w:w="471" w:type="dxa"/>
            <w:tcBorders/>
            <w:shd w:fill="auto" w:val="clear"/>
          </w:tcPr>
          <w:p>
            <w:pPr>
              <w:pStyle w:val="TableParagraph"/>
              <w:spacing w:lineRule="exact" w:line="210"/>
              <w:ind w:left="50" w:right="0" w:hanging="0"/>
              <w:rPr>
                <w:sz w:val="20"/>
              </w:rPr>
            </w:pPr>
            <w:r>
              <w:rPr>
                <w:sz w:val="20"/>
              </w:rPr>
              <w:t>31.</w:t>
            </w:r>
          </w:p>
        </w:tc>
        <w:tc>
          <w:tcPr>
            <w:tcW w:w="1964" w:type="dxa"/>
            <w:gridSpan w:val="2"/>
            <w:tcBorders/>
            <w:shd w:fill="auto" w:val="clear"/>
          </w:tcPr>
          <w:p>
            <w:pPr>
              <w:pStyle w:val="TableParagraph"/>
              <w:spacing w:lineRule="exact" w:line="210"/>
              <w:ind w:left="169" w:right="0" w:hanging="0"/>
              <w:rPr>
                <w:sz w:val="20"/>
              </w:rPr>
            </w:pPr>
            <w:r>
              <w:rPr>
                <w:sz w:val="20"/>
              </w:rPr>
              <w:t>PN-EN 12697-1</w:t>
            </w:r>
          </w:p>
        </w:tc>
        <w:tc>
          <w:tcPr>
            <w:tcW w:w="6376" w:type="dxa"/>
            <w:tcBorders/>
            <w:shd w:fill="auto" w:val="clear"/>
          </w:tcPr>
          <w:p>
            <w:pPr>
              <w:pStyle w:val="TableParagraph"/>
              <w:spacing w:lineRule="exact" w:line="210"/>
              <w:ind w:left="485" w:right="0" w:hanging="0"/>
              <w:rPr>
                <w:sz w:val="20"/>
              </w:rPr>
            </w:pPr>
            <w:r>
              <w:rPr>
                <w:sz w:val="20"/>
              </w:rPr>
              <w:t>Mieszanki mineralno-asfaltowe - Metody badań mieszanek mineralno-</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asfaltowych na gorąco - Część 1: Zawartość lepiszcza rozpuszczalnego</w:t>
            </w:r>
          </w:p>
        </w:tc>
      </w:tr>
      <w:tr>
        <w:trPr>
          <w:trHeight w:val="230" w:hRule="atLeast"/>
        </w:trPr>
        <w:tc>
          <w:tcPr>
            <w:tcW w:w="471" w:type="dxa"/>
            <w:tcBorders/>
            <w:shd w:fill="auto" w:val="clear"/>
          </w:tcPr>
          <w:p>
            <w:pPr>
              <w:pStyle w:val="TableParagraph"/>
              <w:spacing w:lineRule="exact" w:line="210"/>
              <w:ind w:left="50" w:right="0" w:hanging="0"/>
              <w:rPr>
                <w:sz w:val="20"/>
              </w:rPr>
            </w:pPr>
            <w:r>
              <w:rPr>
                <w:sz w:val="20"/>
              </w:rPr>
              <w:t>32.</w:t>
            </w:r>
          </w:p>
        </w:tc>
        <w:tc>
          <w:tcPr>
            <w:tcW w:w="1964" w:type="dxa"/>
            <w:gridSpan w:val="2"/>
            <w:tcBorders/>
            <w:shd w:fill="auto" w:val="clear"/>
          </w:tcPr>
          <w:p>
            <w:pPr>
              <w:pStyle w:val="TableParagraph"/>
              <w:spacing w:lineRule="exact" w:line="210"/>
              <w:ind w:left="169" w:right="0" w:hanging="0"/>
              <w:rPr>
                <w:sz w:val="20"/>
              </w:rPr>
            </w:pPr>
            <w:r>
              <w:rPr>
                <w:sz w:val="20"/>
              </w:rPr>
              <w:t>PN-EN 12697-2</w:t>
            </w:r>
          </w:p>
        </w:tc>
        <w:tc>
          <w:tcPr>
            <w:tcW w:w="6376" w:type="dxa"/>
            <w:tcBorders/>
            <w:shd w:fill="auto" w:val="clear"/>
          </w:tcPr>
          <w:p>
            <w:pPr>
              <w:pStyle w:val="TableParagraph"/>
              <w:spacing w:lineRule="exact" w:line="210"/>
              <w:ind w:left="485" w:right="0" w:hanging="0"/>
              <w:rPr>
                <w:sz w:val="20"/>
              </w:rPr>
            </w:pPr>
            <w:r>
              <w:rPr>
                <w:sz w:val="20"/>
              </w:rPr>
              <w:t>Mieszanki mineralno-asfaltowe - Metody badań mieszanek mineralno-</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asfaltowych na gorąco - Część 2: Oznaczanie składu ziarnowego</w:t>
            </w:r>
          </w:p>
        </w:tc>
      </w:tr>
      <w:tr>
        <w:trPr>
          <w:trHeight w:val="230" w:hRule="atLeast"/>
        </w:trPr>
        <w:tc>
          <w:tcPr>
            <w:tcW w:w="471" w:type="dxa"/>
            <w:tcBorders/>
            <w:shd w:fill="auto" w:val="clear"/>
          </w:tcPr>
          <w:p>
            <w:pPr>
              <w:pStyle w:val="TableParagraph"/>
              <w:spacing w:lineRule="exact" w:line="210"/>
              <w:ind w:left="50" w:right="0" w:hanging="0"/>
              <w:rPr>
                <w:sz w:val="20"/>
              </w:rPr>
            </w:pPr>
            <w:r>
              <w:rPr>
                <w:sz w:val="20"/>
              </w:rPr>
              <w:t>33.</w:t>
            </w:r>
          </w:p>
        </w:tc>
        <w:tc>
          <w:tcPr>
            <w:tcW w:w="1964" w:type="dxa"/>
            <w:gridSpan w:val="2"/>
            <w:tcBorders/>
            <w:shd w:fill="auto" w:val="clear"/>
          </w:tcPr>
          <w:p>
            <w:pPr>
              <w:pStyle w:val="TableParagraph"/>
              <w:spacing w:lineRule="exact" w:line="210"/>
              <w:ind w:left="169" w:right="0" w:hanging="0"/>
              <w:rPr>
                <w:sz w:val="20"/>
              </w:rPr>
            </w:pPr>
            <w:r>
              <w:rPr>
                <w:sz w:val="20"/>
              </w:rPr>
              <w:t>PN-EN 12697-5</w:t>
            </w:r>
          </w:p>
        </w:tc>
        <w:tc>
          <w:tcPr>
            <w:tcW w:w="6376" w:type="dxa"/>
            <w:tcBorders/>
            <w:shd w:fill="auto" w:val="clear"/>
          </w:tcPr>
          <w:p>
            <w:pPr>
              <w:pStyle w:val="TableParagraph"/>
              <w:spacing w:lineRule="exact" w:line="210"/>
              <w:ind w:left="485" w:right="0" w:hanging="0"/>
              <w:rPr>
                <w:sz w:val="20"/>
              </w:rPr>
            </w:pPr>
            <w:r>
              <w:rPr>
                <w:sz w:val="20"/>
              </w:rPr>
              <w:t>Mieszanki mineralno-asfaltowe - Metody badań mieszanek mineralno-</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asfaltowych na gorąco - Część 5: Oznaczanie gęstości</w:t>
            </w:r>
          </w:p>
        </w:tc>
      </w:tr>
      <w:tr>
        <w:trPr>
          <w:trHeight w:val="455" w:hRule="atLeast"/>
        </w:trPr>
        <w:tc>
          <w:tcPr>
            <w:tcW w:w="471" w:type="dxa"/>
            <w:tcBorders/>
            <w:shd w:fill="auto" w:val="clear"/>
          </w:tcPr>
          <w:p>
            <w:pPr>
              <w:pStyle w:val="TableParagraph"/>
              <w:spacing w:lineRule="exact" w:line="226"/>
              <w:ind w:left="50" w:right="0" w:hanging="0"/>
              <w:rPr>
                <w:sz w:val="20"/>
              </w:rPr>
            </w:pPr>
            <w:r>
              <w:rPr>
                <w:sz w:val="20"/>
              </w:rPr>
              <w:t>34.</w:t>
            </w:r>
          </w:p>
        </w:tc>
        <w:tc>
          <w:tcPr>
            <w:tcW w:w="1964" w:type="dxa"/>
            <w:gridSpan w:val="2"/>
            <w:tcBorders/>
            <w:shd w:fill="auto" w:val="clear"/>
          </w:tcPr>
          <w:p>
            <w:pPr>
              <w:pStyle w:val="TableParagraph"/>
              <w:spacing w:lineRule="exact" w:line="226"/>
              <w:ind w:left="169" w:right="0" w:hanging="0"/>
              <w:rPr>
                <w:sz w:val="20"/>
              </w:rPr>
            </w:pPr>
            <w:r>
              <w:rPr>
                <w:sz w:val="20"/>
              </w:rPr>
              <w:t>PN-EN 12697-6</w:t>
            </w:r>
          </w:p>
        </w:tc>
        <w:tc>
          <w:tcPr>
            <w:tcW w:w="6376" w:type="dxa"/>
            <w:tcBorders/>
            <w:shd w:fill="auto" w:val="clear"/>
          </w:tcPr>
          <w:p>
            <w:pPr>
              <w:pStyle w:val="TableParagraph"/>
              <w:spacing w:lineRule="exact" w:line="226" w:before="2" w:after="0"/>
              <w:ind w:left="485" w:right="0" w:hanging="0"/>
              <w:rPr>
                <w:sz w:val="20"/>
              </w:rPr>
            </w:pPr>
            <w:r>
              <w:rPr>
                <w:sz w:val="20"/>
              </w:rPr>
              <w:t>Mieszanki mineralno-asfaltowe – Metody badań mieszanek mineralno- asfaltowych na gorąco – Część 6: Oznaczanie gęstości objętościowej</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próbek mieszanki mineralno-asfaltowej</w:t>
            </w:r>
          </w:p>
        </w:tc>
      </w:tr>
      <w:tr>
        <w:trPr>
          <w:trHeight w:val="230" w:hRule="atLeast"/>
        </w:trPr>
        <w:tc>
          <w:tcPr>
            <w:tcW w:w="471" w:type="dxa"/>
            <w:tcBorders/>
            <w:shd w:fill="auto" w:val="clear"/>
          </w:tcPr>
          <w:p>
            <w:pPr>
              <w:pStyle w:val="TableParagraph"/>
              <w:spacing w:lineRule="exact" w:line="210"/>
              <w:ind w:left="50" w:right="0" w:hanging="0"/>
              <w:rPr>
                <w:sz w:val="20"/>
              </w:rPr>
            </w:pPr>
            <w:r>
              <w:rPr>
                <w:sz w:val="20"/>
              </w:rPr>
              <w:t>35.</w:t>
            </w:r>
          </w:p>
        </w:tc>
        <w:tc>
          <w:tcPr>
            <w:tcW w:w="1964" w:type="dxa"/>
            <w:gridSpan w:val="2"/>
            <w:tcBorders/>
            <w:shd w:fill="auto" w:val="clear"/>
          </w:tcPr>
          <w:p>
            <w:pPr>
              <w:pStyle w:val="TableParagraph"/>
              <w:spacing w:lineRule="exact" w:line="210"/>
              <w:ind w:left="169" w:right="0" w:hanging="0"/>
              <w:rPr>
                <w:sz w:val="20"/>
              </w:rPr>
            </w:pPr>
            <w:r>
              <w:rPr>
                <w:sz w:val="20"/>
              </w:rPr>
              <w:t>PN-EN 12697-8</w:t>
            </w:r>
          </w:p>
        </w:tc>
        <w:tc>
          <w:tcPr>
            <w:tcW w:w="6376" w:type="dxa"/>
            <w:tcBorders/>
            <w:shd w:fill="auto" w:val="clear"/>
          </w:tcPr>
          <w:p>
            <w:pPr>
              <w:pStyle w:val="TableParagraph"/>
              <w:spacing w:lineRule="exact" w:line="210"/>
              <w:ind w:left="485" w:right="0" w:hanging="0"/>
              <w:rPr>
                <w:sz w:val="20"/>
              </w:rPr>
            </w:pPr>
            <w:r>
              <w:rPr>
                <w:sz w:val="20"/>
              </w:rPr>
              <w:t>Mieszanki mineralno-asfaltowe – Metody badań mieszanek mineralno-</w:t>
            </w:r>
          </w:p>
        </w:tc>
      </w:tr>
      <w:tr>
        <w:trPr>
          <w:trHeight w:val="230"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10"/>
              <w:ind w:left="485" w:right="0" w:hanging="0"/>
              <w:rPr>
                <w:sz w:val="20"/>
              </w:rPr>
            </w:pPr>
            <w:r>
              <w:rPr>
                <w:sz w:val="20"/>
              </w:rPr>
              <w:t>asfaltowych na gorąco – Część 8: Oznaczanie zawartości wolnej</w:t>
            </w:r>
          </w:p>
        </w:tc>
      </w:tr>
      <w:tr>
        <w:trPr>
          <w:trHeight w:val="226" w:hRule="atLeast"/>
        </w:trPr>
        <w:tc>
          <w:tcPr>
            <w:tcW w:w="471" w:type="dxa"/>
            <w:tcBorders/>
            <w:shd w:fill="auto" w:val="clear"/>
          </w:tcPr>
          <w:p>
            <w:pPr>
              <w:pStyle w:val="TableParagraph"/>
              <w:rPr>
                <w:sz w:val="16"/>
              </w:rPr>
            </w:pPr>
            <w:r>
              <w:rPr>
                <w:sz w:val="16"/>
              </w:rPr>
            </w:r>
          </w:p>
        </w:tc>
        <w:tc>
          <w:tcPr>
            <w:tcW w:w="1964" w:type="dxa"/>
            <w:gridSpan w:val="2"/>
            <w:tcBorders/>
            <w:shd w:fill="auto" w:val="clear"/>
          </w:tcPr>
          <w:p>
            <w:pPr>
              <w:pStyle w:val="TableParagraph"/>
              <w:rPr>
                <w:sz w:val="16"/>
              </w:rPr>
            </w:pPr>
            <w:r>
              <w:rPr>
                <w:sz w:val="16"/>
              </w:rPr>
            </w:r>
          </w:p>
        </w:tc>
        <w:tc>
          <w:tcPr>
            <w:tcW w:w="6376" w:type="dxa"/>
            <w:tcBorders/>
            <w:shd w:fill="auto" w:val="clear"/>
          </w:tcPr>
          <w:p>
            <w:pPr>
              <w:pStyle w:val="TableParagraph"/>
              <w:spacing w:lineRule="exact" w:line="207"/>
              <w:ind w:left="485" w:right="0" w:hanging="0"/>
              <w:rPr>
                <w:sz w:val="20"/>
              </w:rPr>
            </w:pPr>
            <w:r>
              <w:rPr>
                <w:sz w:val="20"/>
              </w:rPr>
              <w:t>przestrzeni</w:t>
            </w:r>
          </w:p>
        </w:tc>
      </w:tr>
    </w:tbl>
    <w:p>
      <w:pPr>
        <w:pStyle w:val="Tretekstu"/>
        <w:spacing w:before="8" w:after="0"/>
        <w:ind w:left="0" w:right="0" w:hanging="0"/>
        <w:rPr>
          <w:sz w:val="12"/>
        </w:rPr>
      </w:pPr>
      <w:r>
        <w:rPr>
          <w:sz w:val="12"/>
        </w:rPr>
      </w:r>
    </w:p>
    <w:p>
      <w:pPr>
        <w:pStyle w:val="Tretekstu"/>
        <w:tabs>
          <w:tab w:val="left" w:pos="1106" w:leader="none"/>
          <w:tab w:val="left" w:pos="3386" w:leader="none"/>
          <w:tab w:val="left" w:pos="4456" w:leader="none"/>
          <w:tab w:val="left" w:pos="6328" w:leader="none"/>
          <w:tab w:val="left" w:pos="6664" w:leader="none"/>
          <w:tab w:val="left" w:pos="7523" w:leader="none"/>
          <w:tab w:val="left" w:pos="8382" w:leader="none"/>
        </w:tabs>
        <w:spacing w:before="93" w:after="0"/>
        <w:ind w:left="515" w:right="0" w:hanging="0"/>
        <w:rPr/>
      </w:pPr>
      <w:r>
        <w:rPr/>
        <w:t>36.</w:t>
        <w:tab/>
        <w:t>PN-EN</w:t>
      </w:r>
      <w:r>
        <w:rPr>
          <w:spacing w:val="1"/>
        </w:rPr>
        <w:t>12697-11</w:t>
      </w:r>
      <w:r>
        <w:rPr/>
        <w:tab/>
        <w:t>Mieszanki</w:t>
        <w:tab/>
        <w:t>mineralno-asfaltowe</w:t>
        <w:tab/>
        <w:t>–</w:t>
        <w:tab/>
        <w:t>Metody</w:t>
        <w:tab/>
        <w:t>badania</w:t>
        <w:tab/>
        <w:t>mieszanek</w:t>
      </w:r>
    </w:p>
    <w:p>
      <w:pPr>
        <w:pStyle w:val="Tretekstu"/>
        <w:tabs>
          <w:tab w:val="left" w:pos="5479" w:leader="none"/>
          <w:tab w:val="left" w:pos="5920" w:leader="none"/>
          <w:tab w:val="left" w:pos="6707" w:leader="none"/>
          <w:tab w:val="left" w:pos="7058" w:leader="none"/>
          <w:tab w:val="left" w:pos="7783" w:leader="none"/>
          <w:tab w:val="left" w:pos="8291" w:leader="none"/>
        </w:tabs>
        <w:spacing w:before="1" w:after="8"/>
        <w:ind w:left="3386" w:right="0" w:hanging="0"/>
        <w:rPr/>
      </w:pPr>
      <w:r>
        <w:rPr/>
        <w:t>mineralno-asfaltowych</w:t>
        <w:tab/>
        <w:t>na</w:t>
        <w:tab/>
        <w:t>gorąco</w:t>
        <w:tab/>
        <w:t>–</w:t>
        <w:tab/>
        <w:t>Część</w:t>
        <w:tab/>
        <w:t>11:</w:t>
        <w:tab/>
        <w:t>Oznaczanie</w:t>
      </w:r>
    </w:p>
    <w:tbl>
      <w:tblPr>
        <w:tblW w:w="8816" w:type="dxa"/>
        <w:jc w:val="left"/>
        <w:tblInd w:w="465" w:type="dxa"/>
        <w:tblBorders/>
        <w:tblCellMar>
          <w:top w:w="0" w:type="dxa"/>
          <w:left w:w="0" w:type="dxa"/>
          <w:bottom w:w="0" w:type="dxa"/>
          <w:right w:w="0" w:type="dxa"/>
        </w:tblCellMar>
        <w:tblLook w:val="01e0"/>
      </w:tblPr>
      <w:tblGrid>
        <w:gridCol w:w="469"/>
        <w:gridCol w:w="2017"/>
        <w:gridCol w:w="6330"/>
      </w:tblGrid>
      <w:tr>
        <w:trPr>
          <w:trHeight w:val="226" w:hRule="atLeast"/>
        </w:trPr>
        <w:tc>
          <w:tcPr>
            <w:tcW w:w="2486" w:type="dxa"/>
            <w:gridSpan w:val="2"/>
            <w:tcBorders/>
            <w:shd w:fill="auto" w:val="clear"/>
          </w:tcPr>
          <w:p>
            <w:pPr>
              <w:pStyle w:val="TableParagraph"/>
              <w:rPr>
                <w:sz w:val="16"/>
              </w:rPr>
            </w:pPr>
            <w:r>
              <w:rPr>
                <w:sz w:val="16"/>
              </w:rPr>
            </w:r>
          </w:p>
        </w:tc>
        <w:tc>
          <w:tcPr>
            <w:tcW w:w="6330" w:type="dxa"/>
            <w:tcBorders/>
            <w:shd w:fill="auto" w:val="clear"/>
          </w:tcPr>
          <w:p>
            <w:pPr>
              <w:pStyle w:val="TableParagraph"/>
              <w:spacing w:lineRule="exact" w:line="207"/>
              <w:ind w:left="434" w:right="0" w:hanging="0"/>
              <w:rPr>
                <w:sz w:val="20"/>
              </w:rPr>
            </w:pPr>
            <w:r>
              <w:rPr>
                <w:sz w:val="20"/>
              </w:rPr>
              <w:t>powinowactwa pomiędzy kruszywem i asfaltem</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37.</w:t>
            </w:r>
          </w:p>
        </w:tc>
        <w:tc>
          <w:tcPr>
            <w:tcW w:w="2017" w:type="dxa"/>
            <w:tcBorders/>
            <w:shd w:fill="auto" w:val="clear"/>
          </w:tcPr>
          <w:p>
            <w:pPr>
              <w:pStyle w:val="TableParagraph"/>
              <w:spacing w:lineRule="exact" w:line="210"/>
              <w:ind w:left="169" w:right="0" w:hanging="0"/>
              <w:rPr>
                <w:sz w:val="20"/>
              </w:rPr>
            </w:pPr>
            <w:r>
              <w:rPr>
                <w:sz w:val="20"/>
              </w:rPr>
              <w:t>PN-EN 12697-12</w:t>
            </w:r>
          </w:p>
        </w:tc>
        <w:tc>
          <w:tcPr>
            <w:tcW w:w="6330" w:type="dxa"/>
            <w:tcBorders/>
            <w:shd w:fill="auto" w:val="clear"/>
          </w:tcPr>
          <w:p>
            <w:pPr>
              <w:pStyle w:val="TableParagraph"/>
              <w:tabs>
                <w:tab w:val="left" w:pos="1504" w:leader="none"/>
                <w:tab w:val="left" w:pos="3376" w:leader="none"/>
                <w:tab w:val="left" w:pos="3712" w:leader="none"/>
                <w:tab w:val="left" w:pos="4571" w:leader="none"/>
                <w:tab w:val="left" w:pos="5430" w:leader="none"/>
              </w:tabs>
              <w:spacing w:lineRule="exact" w:line="210"/>
              <w:ind w:left="434" w:right="0" w:hanging="0"/>
              <w:rPr>
                <w:sz w:val="20"/>
              </w:rPr>
            </w:pPr>
            <w:r>
              <w:rPr>
                <w:sz w:val="20"/>
              </w:rPr>
              <w:t>Mieszanki</w:t>
              <w:tab/>
              <w:t>mineralno-asfaltowe</w:t>
              <w:tab/>
              <w:t>–</w:t>
              <w:tab/>
              <w:t>Metody</w:t>
              <w:tab/>
              <w:t>badania</w:t>
              <w:tab/>
              <w:t>mieszanek</w:t>
            </w:r>
          </w:p>
        </w:tc>
      </w:tr>
      <w:tr>
        <w:trPr>
          <w:trHeight w:val="455" w:hRule="atLeast"/>
        </w:trPr>
        <w:tc>
          <w:tcPr>
            <w:tcW w:w="469" w:type="dxa"/>
            <w:tcBorders/>
            <w:shd w:fill="auto" w:val="clear"/>
          </w:tcPr>
          <w:p>
            <w:pPr>
              <w:pStyle w:val="TableParagraph"/>
              <w:rPr>
                <w:sz w:val="20"/>
              </w:rPr>
            </w:pPr>
            <w:r>
              <w:rPr>
                <w:sz w:val="20"/>
              </w:rPr>
            </w:r>
          </w:p>
        </w:tc>
        <w:tc>
          <w:tcPr>
            <w:tcW w:w="2017" w:type="dxa"/>
            <w:tcBorders/>
            <w:shd w:fill="auto" w:val="clear"/>
          </w:tcPr>
          <w:p>
            <w:pPr>
              <w:pStyle w:val="TableParagraph"/>
              <w:rPr>
                <w:sz w:val="20"/>
              </w:rPr>
            </w:pPr>
            <w:r>
              <w:rPr>
                <w:sz w:val="20"/>
              </w:rPr>
            </w:r>
          </w:p>
        </w:tc>
        <w:tc>
          <w:tcPr>
            <w:tcW w:w="6330" w:type="dxa"/>
            <w:tcBorders/>
            <w:shd w:fill="auto" w:val="clear"/>
          </w:tcPr>
          <w:p>
            <w:pPr>
              <w:pStyle w:val="TableParagraph"/>
              <w:spacing w:lineRule="exact" w:line="226" w:before="2" w:after="0"/>
              <w:ind w:left="434" w:right="0" w:hanging="0"/>
              <w:rPr>
                <w:sz w:val="20"/>
              </w:rPr>
            </w:pPr>
            <w:r>
              <w:rPr>
                <w:sz w:val="20"/>
              </w:rPr>
              <w:t>mineralno-asfaltowych na gorąco – Część 12: Określanie wrażliwości próbek asfaltowych na wodę</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38.</w:t>
            </w:r>
          </w:p>
        </w:tc>
        <w:tc>
          <w:tcPr>
            <w:tcW w:w="2017" w:type="dxa"/>
            <w:tcBorders/>
            <w:shd w:fill="auto" w:val="clear"/>
          </w:tcPr>
          <w:p>
            <w:pPr>
              <w:pStyle w:val="TableParagraph"/>
              <w:spacing w:lineRule="exact" w:line="210"/>
              <w:ind w:left="169" w:right="0" w:hanging="0"/>
              <w:rPr>
                <w:sz w:val="20"/>
              </w:rPr>
            </w:pPr>
            <w:r>
              <w:rPr>
                <w:sz w:val="20"/>
              </w:rPr>
              <w:t>PN-EN 12697-13</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13: Pomiar temperatury</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39.</w:t>
            </w:r>
          </w:p>
        </w:tc>
        <w:tc>
          <w:tcPr>
            <w:tcW w:w="2017" w:type="dxa"/>
            <w:tcBorders/>
            <w:shd w:fill="auto" w:val="clear"/>
          </w:tcPr>
          <w:p>
            <w:pPr>
              <w:pStyle w:val="TableParagraph"/>
              <w:spacing w:lineRule="exact" w:line="210"/>
              <w:ind w:left="169" w:right="0" w:hanging="0"/>
              <w:rPr>
                <w:sz w:val="20"/>
              </w:rPr>
            </w:pPr>
            <w:r>
              <w:rPr>
                <w:sz w:val="20"/>
              </w:rPr>
              <w:t>PN-EN 12697-22</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22: Koleinowanie</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40.</w:t>
            </w:r>
          </w:p>
        </w:tc>
        <w:tc>
          <w:tcPr>
            <w:tcW w:w="2017" w:type="dxa"/>
            <w:tcBorders/>
            <w:shd w:fill="auto" w:val="clear"/>
          </w:tcPr>
          <w:p>
            <w:pPr>
              <w:pStyle w:val="TableParagraph"/>
              <w:spacing w:lineRule="exact" w:line="210"/>
              <w:ind w:left="169" w:right="0" w:hanging="0"/>
              <w:rPr>
                <w:sz w:val="20"/>
              </w:rPr>
            </w:pPr>
            <w:r>
              <w:rPr>
                <w:sz w:val="20"/>
              </w:rPr>
              <w:t>PN-EN 12697-22</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22: Koleinowanie</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41.</w:t>
            </w:r>
          </w:p>
        </w:tc>
        <w:tc>
          <w:tcPr>
            <w:tcW w:w="2017" w:type="dxa"/>
            <w:tcBorders/>
            <w:shd w:fill="auto" w:val="clear"/>
          </w:tcPr>
          <w:p>
            <w:pPr>
              <w:pStyle w:val="TableParagraph"/>
              <w:spacing w:lineRule="exact" w:line="210"/>
              <w:ind w:left="169" w:right="0" w:hanging="0"/>
              <w:rPr>
                <w:sz w:val="20"/>
              </w:rPr>
            </w:pPr>
            <w:r>
              <w:rPr>
                <w:sz w:val="20"/>
              </w:rPr>
              <w:t>PN-EN 12697-24</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24: Odporność na zmęczenie</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42.</w:t>
            </w:r>
          </w:p>
        </w:tc>
        <w:tc>
          <w:tcPr>
            <w:tcW w:w="2017" w:type="dxa"/>
            <w:tcBorders/>
            <w:shd w:fill="auto" w:val="clear"/>
          </w:tcPr>
          <w:p>
            <w:pPr>
              <w:pStyle w:val="TableParagraph"/>
              <w:spacing w:lineRule="exact" w:line="210"/>
              <w:ind w:left="169" w:right="0" w:hanging="0"/>
              <w:rPr>
                <w:sz w:val="20"/>
              </w:rPr>
            </w:pPr>
            <w:r>
              <w:rPr>
                <w:sz w:val="20"/>
              </w:rPr>
              <w:t>PN-EN 12697-26</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456" w:hRule="atLeast"/>
        </w:trPr>
        <w:tc>
          <w:tcPr>
            <w:tcW w:w="469" w:type="dxa"/>
            <w:tcBorders/>
            <w:shd w:fill="auto" w:val="clear"/>
          </w:tcPr>
          <w:p>
            <w:pPr>
              <w:pStyle w:val="TableParagraph"/>
              <w:spacing w:before="3" w:after="0"/>
              <w:rPr>
                <w:sz w:val="19"/>
              </w:rPr>
            </w:pPr>
            <w:r>
              <w:rPr>
                <w:sz w:val="19"/>
              </w:rPr>
            </w:r>
          </w:p>
          <w:p>
            <w:pPr>
              <w:pStyle w:val="TableParagraph"/>
              <w:spacing w:lineRule="exact" w:line="214"/>
              <w:ind w:left="50" w:right="0" w:hanging="0"/>
              <w:rPr>
                <w:sz w:val="20"/>
              </w:rPr>
            </w:pPr>
            <w:r>
              <w:rPr>
                <w:sz w:val="20"/>
              </w:rPr>
              <w:t>43.</w:t>
            </w:r>
          </w:p>
        </w:tc>
        <w:tc>
          <w:tcPr>
            <w:tcW w:w="2017" w:type="dxa"/>
            <w:tcBorders/>
            <w:shd w:fill="auto" w:val="clear"/>
          </w:tcPr>
          <w:p>
            <w:pPr>
              <w:pStyle w:val="TableParagraph"/>
              <w:spacing w:before="3" w:after="0"/>
              <w:rPr>
                <w:sz w:val="19"/>
              </w:rPr>
            </w:pPr>
            <w:r>
              <w:rPr>
                <w:sz w:val="19"/>
              </w:rPr>
            </w:r>
          </w:p>
          <w:p>
            <w:pPr>
              <w:pStyle w:val="TableParagraph"/>
              <w:spacing w:lineRule="exact" w:line="214"/>
              <w:ind w:left="169" w:right="0" w:hanging="0"/>
              <w:rPr>
                <w:sz w:val="20"/>
              </w:rPr>
            </w:pPr>
            <w:r>
              <w:rPr>
                <w:sz w:val="20"/>
              </w:rPr>
              <w:t>PN-EN 12697-27</w:t>
            </w:r>
          </w:p>
        </w:tc>
        <w:tc>
          <w:tcPr>
            <w:tcW w:w="6330" w:type="dxa"/>
            <w:tcBorders/>
            <w:shd w:fill="auto" w:val="clear"/>
          </w:tcPr>
          <w:p>
            <w:pPr>
              <w:pStyle w:val="TableParagraph"/>
              <w:spacing w:lineRule="exact" w:line="224"/>
              <w:ind w:left="434" w:right="0" w:hanging="0"/>
              <w:rPr>
                <w:sz w:val="20"/>
              </w:rPr>
            </w:pPr>
            <w:r>
              <w:rPr>
                <w:sz w:val="20"/>
              </w:rPr>
              <w:t>asfaltowych na gorąco - Część 26: Sztywność</w:t>
            </w:r>
          </w:p>
          <w:p>
            <w:pPr>
              <w:pStyle w:val="TableParagraph"/>
              <w:spacing w:lineRule="exact" w:line="212"/>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27: Pobieranie próbek</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44.</w:t>
            </w:r>
          </w:p>
        </w:tc>
        <w:tc>
          <w:tcPr>
            <w:tcW w:w="2017" w:type="dxa"/>
            <w:tcBorders/>
            <w:shd w:fill="auto" w:val="clear"/>
          </w:tcPr>
          <w:p>
            <w:pPr>
              <w:pStyle w:val="TableParagraph"/>
              <w:spacing w:lineRule="exact" w:line="210"/>
              <w:ind w:left="169" w:right="0" w:hanging="0"/>
              <w:rPr>
                <w:sz w:val="20"/>
              </w:rPr>
            </w:pPr>
            <w:r>
              <w:rPr>
                <w:sz w:val="20"/>
              </w:rPr>
              <w:t>PN-EN 12697-36</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36: Oznaczanie grubości nawierzchni</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45.</w:t>
            </w:r>
          </w:p>
        </w:tc>
        <w:tc>
          <w:tcPr>
            <w:tcW w:w="2017" w:type="dxa"/>
            <w:tcBorders/>
            <w:shd w:fill="auto" w:val="clear"/>
          </w:tcPr>
          <w:p>
            <w:pPr>
              <w:pStyle w:val="TableParagraph"/>
              <w:spacing w:lineRule="exact" w:line="210"/>
              <w:ind w:left="169" w:right="0" w:hanging="0"/>
              <w:rPr>
                <w:sz w:val="20"/>
              </w:rPr>
            </w:pPr>
            <w:r>
              <w:rPr>
                <w:sz w:val="20"/>
              </w:rPr>
              <w:t>PN-EN 12697-39</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39: Oznaczanie zawartości lepiszcza</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metodą spalania</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46.</w:t>
            </w:r>
          </w:p>
        </w:tc>
        <w:tc>
          <w:tcPr>
            <w:tcW w:w="2017" w:type="dxa"/>
            <w:tcBorders/>
            <w:shd w:fill="auto" w:val="clear"/>
          </w:tcPr>
          <w:p>
            <w:pPr>
              <w:pStyle w:val="TableParagraph"/>
              <w:spacing w:lineRule="exact" w:line="210"/>
              <w:ind w:left="169" w:right="0" w:hanging="0"/>
              <w:rPr>
                <w:sz w:val="20"/>
              </w:rPr>
            </w:pPr>
            <w:r>
              <w:rPr>
                <w:sz w:val="20"/>
              </w:rPr>
              <w:t>PN-EN 12697-41</w:t>
            </w:r>
          </w:p>
        </w:tc>
        <w:tc>
          <w:tcPr>
            <w:tcW w:w="6330" w:type="dxa"/>
            <w:tcBorders/>
            <w:shd w:fill="auto" w:val="clear"/>
          </w:tcPr>
          <w:p>
            <w:pPr>
              <w:pStyle w:val="TableParagraph"/>
              <w:spacing w:lineRule="exact" w:line="210"/>
              <w:ind w:left="434" w:right="0" w:hanging="0"/>
              <w:rPr>
                <w:sz w:val="20"/>
              </w:rPr>
            </w:pPr>
            <w:r>
              <w:rPr>
                <w:sz w:val="20"/>
              </w:rPr>
              <w:t>Mieszanki mineralno-asfaltowe - Metody badań mieszanek mineralno-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asfaltowych na gorąco - Część 41: Odporność na płyny zapobiegające</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oblodzeniu</w:t>
            </w:r>
          </w:p>
        </w:tc>
      </w:tr>
      <w:tr>
        <w:trPr>
          <w:trHeight w:val="456" w:hRule="atLeast"/>
        </w:trPr>
        <w:tc>
          <w:tcPr>
            <w:tcW w:w="469" w:type="dxa"/>
            <w:tcBorders/>
            <w:shd w:fill="auto" w:val="clear"/>
          </w:tcPr>
          <w:p>
            <w:pPr>
              <w:pStyle w:val="TableParagraph"/>
              <w:spacing w:lineRule="exact" w:line="226"/>
              <w:ind w:left="50" w:right="0" w:hanging="0"/>
              <w:rPr>
                <w:sz w:val="20"/>
              </w:rPr>
            </w:pPr>
            <w:r>
              <w:rPr>
                <w:sz w:val="20"/>
              </w:rPr>
              <w:t>47.</w:t>
            </w:r>
          </w:p>
        </w:tc>
        <w:tc>
          <w:tcPr>
            <w:tcW w:w="2017" w:type="dxa"/>
            <w:tcBorders/>
            <w:shd w:fill="auto" w:val="clear"/>
          </w:tcPr>
          <w:p>
            <w:pPr>
              <w:pStyle w:val="TableParagraph"/>
              <w:spacing w:lineRule="exact" w:line="226"/>
              <w:ind w:left="169" w:right="0" w:hanging="0"/>
              <w:rPr>
                <w:sz w:val="20"/>
              </w:rPr>
            </w:pPr>
            <w:r>
              <w:rPr>
                <w:sz w:val="20"/>
              </w:rPr>
              <w:t>PN-EN 12697-43</w:t>
            </w:r>
          </w:p>
        </w:tc>
        <w:tc>
          <w:tcPr>
            <w:tcW w:w="6330" w:type="dxa"/>
            <w:tcBorders/>
            <w:shd w:fill="auto" w:val="clear"/>
          </w:tcPr>
          <w:p>
            <w:pPr>
              <w:pStyle w:val="TableParagraph"/>
              <w:spacing w:lineRule="exact" w:line="226" w:before="2" w:after="0"/>
              <w:ind w:left="434" w:right="0" w:hanging="0"/>
              <w:rPr>
                <w:sz w:val="20"/>
              </w:rPr>
            </w:pPr>
            <w:r>
              <w:rPr>
                <w:sz w:val="20"/>
              </w:rPr>
              <w:t>Mieszanki mineralno-asfaltowe - Metody badań mieszanek mineralno- asfaltowych na gorąco - Część 43: Odporność na paliwo</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48.</w:t>
            </w:r>
          </w:p>
        </w:tc>
        <w:tc>
          <w:tcPr>
            <w:tcW w:w="2017" w:type="dxa"/>
            <w:tcBorders/>
            <w:shd w:fill="auto" w:val="clear"/>
          </w:tcPr>
          <w:p>
            <w:pPr>
              <w:pStyle w:val="TableParagraph"/>
              <w:spacing w:lineRule="exact" w:line="210"/>
              <w:ind w:left="169" w:right="0" w:hanging="0"/>
              <w:rPr>
                <w:sz w:val="20"/>
              </w:rPr>
            </w:pPr>
            <w:r>
              <w:rPr>
                <w:sz w:val="20"/>
              </w:rPr>
              <w:t>PN-EN 12846-1</w:t>
            </w:r>
          </w:p>
        </w:tc>
        <w:tc>
          <w:tcPr>
            <w:tcW w:w="6330" w:type="dxa"/>
            <w:tcBorders/>
            <w:shd w:fill="auto" w:val="clear"/>
          </w:tcPr>
          <w:p>
            <w:pPr>
              <w:pStyle w:val="TableParagraph"/>
              <w:tabs>
                <w:tab w:val="left" w:pos="1235" w:leader="none"/>
                <w:tab w:val="left" w:pos="1509" w:leader="none"/>
                <w:tab w:val="left" w:pos="2459" w:leader="none"/>
                <w:tab w:val="left" w:pos="3434" w:leader="none"/>
                <w:tab w:val="left" w:pos="3717" w:leader="none"/>
                <w:tab w:val="left" w:pos="4873" w:leader="none"/>
                <w:tab w:val="left" w:pos="5531" w:leader="none"/>
              </w:tabs>
              <w:spacing w:lineRule="exact" w:line="210"/>
              <w:ind w:left="434" w:right="0" w:hanging="0"/>
              <w:rPr>
                <w:sz w:val="20"/>
              </w:rPr>
            </w:pPr>
            <w:r>
              <w:rPr>
                <w:sz w:val="20"/>
              </w:rPr>
              <w:t>Asfalty</w:t>
              <w:tab/>
              <w:t>i</w:t>
              <w:tab/>
              <w:t>lepiszcza</w:t>
              <w:tab/>
              <w:t>asfaltowe</w:t>
              <w:tab/>
              <w:t>-</w:t>
              <w:tab/>
              <w:t>Oznaczanie</w:t>
              <w:tab/>
              <w:t>czasu</w:t>
              <w:tab/>
              <w:t>wypływu</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lepkościomierzem wypływowym - Część 1: Emulsje asfaltowe</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49.</w:t>
            </w:r>
          </w:p>
        </w:tc>
        <w:tc>
          <w:tcPr>
            <w:tcW w:w="2017" w:type="dxa"/>
            <w:tcBorders/>
            <w:shd w:fill="auto" w:val="clear"/>
          </w:tcPr>
          <w:p>
            <w:pPr>
              <w:pStyle w:val="TableParagraph"/>
              <w:spacing w:lineRule="exact" w:line="210"/>
              <w:ind w:left="169" w:right="0" w:hanging="0"/>
              <w:rPr>
                <w:sz w:val="20"/>
              </w:rPr>
            </w:pPr>
            <w:r>
              <w:rPr>
                <w:sz w:val="20"/>
              </w:rPr>
              <w:t>PN-EN 13043</w:t>
            </w:r>
          </w:p>
        </w:tc>
        <w:tc>
          <w:tcPr>
            <w:tcW w:w="6330" w:type="dxa"/>
            <w:tcBorders/>
            <w:shd w:fill="auto" w:val="clear"/>
          </w:tcPr>
          <w:p>
            <w:pPr>
              <w:pStyle w:val="TableParagraph"/>
              <w:spacing w:lineRule="exact" w:line="210"/>
              <w:ind w:left="434" w:right="0" w:hanging="0"/>
              <w:rPr>
                <w:sz w:val="20"/>
              </w:rPr>
            </w:pPr>
            <w:r>
              <w:rPr>
                <w:sz w:val="20"/>
              </w:rPr>
              <w:t>Kruszywa do mieszanek bitumicznych i powierzchniowych utrwaleń</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tabs>
                <w:tab w:val="left" w:pos="1672" w:leader="none"/>
                <w:tab w:val="left" w:pos="2070" w:leader="none"/>
                <w:tab w:val="left" w:pos="2967" w:leader="none"/>
                <w:tab w:val="left" w:pos="3999" w:leader="none"/>
                <w:tab w:val="left" w:pos="4258" w:leader="none"/>
                <w:tab w:val="left" w:pos="5006" w:leader="none"/>
              </w:tabs>
              <w:spacing w:lineRule="exact" w:line="210"/>
              <w:ind w:left="434" w:right="0" w:hanging="0"/>
              <w:rPr>
                <w:sz w:val="20"/>
              </w:rPr>
            </w:pPr>
            <w:r>
              <w:rPr>
                <w:sz w:val="20"/>
              </w:rPr>
              <w:t>stosowanych</w:t>
              <w:tab/>
              <w:t>na</w:t>
              <w:tab/>
              <w:t>drogach,</w:t>
              <w:tab/>
              <w:t>lotniskach</w:t>
              <w:tab/>
              <w:t>i</w:t>
              <w:tab/>
            </w:r>
            <w:r>
              <w:rPr>
                <w:spacing w:val="-3"/>
                <w:sz w:val="20"/>
              </w:rPr>
              <w:t>innych</w:t>
              <w:tab/>
            </w:r>
            <w:r>
              <w:rPr>
                <w:sz w:val="20"/>
              </w:rPr>
              <w:t>powierzchniach</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przeznaczonych do ruchu</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50.</w:t>
            </w:r>
          </w:p>
        </w:tc>
        <w:tc>
          <w:tcPr>
            <w:tcW w:w="2017" w:type="dxa"/>
            <w:tcBorders/>
            <w:shd w:fill="auto" w:val="clear"/>
          </w:tcPr>
          <w:p>
            <w:pPr>
              <w:pStyle w:val="TableParagraph"/>
              <w:spacing w:lineRule="exact" w:line="210"/>
              <w:ind w:left="169" w:right="0" w:hanging="0"/>
              <w:rPr>
                <w:sz w:val="20"/>
              </w:rPr>
            </w:pPr>
            <w:r>
              <w:rPr>
                <w:sz w:val="20"/>
              </w:rPr>
              <w:t>PN-EN 13108-1</w:t>
            </w:r>
          </w:p>
        </w:tc>
        <w:tc>
          <w:tcPr>
            <w:tcW w:w="6330" w:type="dxa"/>
            <w:tcBorders/>
            <w:shd w:fill="auto" w:val="clear"/>
          </w:tcPr>
          <w:p>
            <w:pPr>
              <w:pStyle w:val="TableParagraph"/>
              <w:spacing w:lineRule="exact" w:line="210"/>
              <w:ind w:left="434" w:right="0" w:hanging="0"/>
              <w:rPr>
                <w:sz w:val="20"/>
              </w:rPr>
            </w:pPr>
            <w:r>
              <w:rPr>
                <w:sz w:val="20"/>
              </w:rPr>
              <w:t>Mieszanki mineralno-asfaltowe – Wymagania – Część 1: Beton</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asfaltowy</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51.</w:t>
            </w:r>
          </w:p>
        </w:tc>
        <w:tc>
          <w:tcPr>
            <w:tcW w:w="2017" w:type="dxa"/>
            <w:tcBorders/>
            <w:shd w:fill="auto" w:val="clear"/>
          </w:tcPr>
          <w:p>
            <w:pPr>
              <w:pStyle w:val="TableParagraph"/>
              <w:spacing w:lineRule="exact" w:line="210"/>
              <w:ind w:left="169" w:right="0" w:hanging="0"/>
              <w:rPr>
                <w:sz w:val="20"/>
              </w:rPr>
            </w:pPr>
            <w:r>
              <w:rPr>
                <w:sz w:val="20"/>
              </w:rPr>
              <w:t>PN-EN 13108-4</w:t>
            </w:r>
          </w:p>
        </w:tc>
        <w:tc>
          <w:tcPr>
            <w:tcW w:w="6330" w:type="dxa"/>
            <w:tcBorders/>
            <w:shd w:fill="auto" w:val="clear"/>
          </w:tcPr>
          <w:p>
            <w:pPr>
              <w:pStyle w:val="TableParagraph"/>
              <w:spacing w:lineRule="exact" w:line="210"/>
              <w:ind w:left="434" w:right="0" w:hanging="0"/>
              <w:rPr>
                <w:sz w:val="20"/>
              </w:rPr>
            </w:pPr>
            <w:r>
              <w:rPr>
                <w:sz w:val="20"/>
              </w:rPr>
              <w:t>Mieszanki mineralno-asfaltowe - Wymagania - Część 4: Mieszanka</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HRA</w:t>
            </w:r>
          </w:p>
        </w:tc>
      </w:tr>
      <w:tr>
        <w:trPr>
          <w:trHeight w:val="228" w:hRule="atLeast"/>
        </w:trPr>
        <w:tc>
          <w:tcPr>
            <w:tcW w:w="469" w:type="dxa"/>
            <w:tcBorders/>
            <w:shd w:fill="auto" w:val="clear"/>
          </w:tcPr>
          <w:p>
            <w:pPr>
              <w:pStyle w:val="TableParagraph"/>
              <w:spacing w:lineRule="exact" w:line="208"/>
              <w:ind w:left="50" w:right="0" w:hanging="0"/>
              <w:rPr>
                <w:sz w:val="20"/>
              </w:rPr>
            </w:pPr>
            <w:r>
              <w:rPr>
                <w:sz w:val="20"/>
              </w:rPr>
              <w:t>52.</w:t>
            </w:r>
          </w:p>
        </w:tc>
        <w:tc>
          <w:tcPr>
            <w:tcW w:w="2017" w:type="dxa"/>
            <w:tcBorders/>
            <w:shd w:fill="auto" w:val="clear"/>
          </w:tcPr>
          <w:p>
            <w:pPr>
              <w:pStyle w:val="TableParagraph"/>
              <w:spacing w:lineRule="exact" w:line="208"/>
              <w:ind w:left="169" w:right="0" w:hanging="0"/>
              <w:rPr>
                <w:sz w:val="20"/>
              </w:rPr>
            </w:pPr>
            <w:r>
              <w:rPr>
                <w:sz w:val="20"/>
              </w:rPr>
              <w:t>PN-EN 13108-20</w:t>
            </w:r>
          </w:p>
        </w:tc>
        <w:tc>
          <w:tcPr>
            <w:tcW w:w="6330" w:type="dxa"/>
            <w:tcBorders/>
            <w:shd w:fill="auto" w:val="clear"/>
          </w:tcPr>
          <w:p>
            <w:pPr>
              <w:pStyle w:val="TableParagraph"/>
              <w:spacing w:lineRule="exact" w:line="208"/>
              <w:ind w:left="434" w:right="0" w:hanging="0"/>
              <w:rPr>
                <w:sz w:val="20"/>
              </w:rPr>
            </w:pPr>
            <w:r>
              <w:rPr>
                <w:sz w:val="20"/>
              </w:rPr>
              <w:t>Mieszanki mineralno-asfaltowe – Wymagania – Część 20: Badanie typu</w:t>
            </w:r>
          </w:p>
        </w:tc>
      </w:tr>
      <w:tr>
        <w:trPr>
          <w:trHeight w:val="228" w:hRule="atLeast"/>
        </w:trPr>
        <w:tc>
          <w:tcPr>
            <w:tcW w:w="469" w:type="dxa"/>
            <w:tcBorders/>
            <w:shd w:fill="auto" w:val="clear"/>
          </w:tcPr>
          <w:p>
            <w:pPr>
              <w:pStyle w:val="TableParagraph"/>
              <w:spacing w:lineRule="exact" w:line="208"/>
              <w:ind w:left="50" w:right="0" w:hanging="0"/>
              <w:rPr>
                <w:sz w:val="20"/>
              </w:rPr>
            </w:pPr>
            <w:r>
              <w:rPr>
                <w:sz w:val="20"/>
              </w:rPr>
              <w:t>53.</w:t>
            </w:r>
          </w:p>
        </w:tc>
        <w:tc>
          <w:tcPr>
            <w:tcW w:w="2017" w:type="dxa"/>
            <w:tcBorders/>
            <w:shd w:fill="auto" w:val="clear"/>
          </w:tcPr>
          <w:p>
            <w:pPr>
              <w:pStyle w:val="TableParagraph"/>
              <w:spacing w:lineRule="exact" w:line="208"/>
              <w:ind w:left="169" w:right="0" w:hanging="0"/>
              <w:rPr>
                <w:sz w:val="20"/>
              </w:rPr>
            </w:pPr>
            <w:r>
              <w:rPr>
                <w:sz w:val="20"/>
              </w:rPr>
              <w:t>PN-EN 13108-21</w:t>
            </w:r>
          </w:p>
        </w:tc>
        <w:tc>
          <w:tcPr>
            <w:tcW w:w="6330" w:type="dxa"/>
            <w:tcBorders/>
            <w:shd w:fill="auto" w:val="clear"/>
          </w:tcPr>
          <w:p>
            <w:pPr>
              <w:pStyle w:val="TableParagraph"/>
              <w:spacing w:lineRule="exact" w:line="208"/>
              <w:ind w:left="434" w:right="0" w:hanging="0"/>
              <w:rPr>
                <w:sz w:val="20"/>
              </w:rPr>
            </w:pPr>
            <w:r>
              <w:rPr>
                <w:sz w:val="20"/>
              </w:rPr>
              <w:t>Mieszanki mineralno-asfaltowe - Wymagania - Część 21: Zakładowa</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kontrola produkcji</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54.</w:t>
            </w:r>
          </w:p>
        </w:tc>
        <w:tc>
          <w:tcPr>
            <w:tcW w:w="2017" w:type="dxa"/>
            <w:tcBorders/>
            <w:shd w:fill="auto" w:val="clear"/>
          </w:tcPr>
          <w:p>
            <w:pPr>
              <w:pStyle w:val="TableParagraph"/>
              <w:spacing w:lineRule="exact" w:line="210"/>
              <w:ind w:left="169" w:right="0" w:hanging="0"/>
              <w:rPr>
                <w:sz w:val="20"/>
              </w:rPr>
            </w:pPr>
            <w:r>
              <w:rPr>
                <w:sz w:val="20"/>
              </w:rPr>
              <w:t>PN-EN 13179-1</w:t>
            </w:r>
          </w:p>
        </w:tc>
        <w:tc>
          <w:tcPr>
            <w:tcW w:w="6330" w:type="dxa"/>
            <w:tcBorders/>
            <w:shd w:fill="auto" w:val="clear"/>
          </w:tcPr>
          <w:p>
            <w:pPr>
              <w:pStyle w:val="TableParagraph"/>
              <w:tabs>
                <w:tab w:val="left" w:pos="1326" w:leader="none"/>
                <w:tab w:val="left" w:pos="2238" w:leader="none"/>
                <w:tab w:val="left" w:pos="3726" w:leader="none"/>
                <w:tab w:val="left" w:pos="4993" w:leader="none"/>
                <w:tab w:val="left" w:pos="5429" w:leader="none"/>
              </w:tabs>
              <w:spacing w:lineRule="exact" w:line="210"/>
              <w:ind w:left="434" w:right="0" w:hanging="0"/>
              <w:rPr>
                <w:sz w:val="20"/>
              </w:rPr>
            </w:pPr>
            <w:r>
              <w:rPr>
                <w:sz w:val="20"/>
              </w:rPr>
              <w:t>Badania</w:t>
              <w:tab/>
              <w:t>kruszyw</w:t>
              <w:tab/>
              <w:t>wypełniających</w:t>
              <w:tab/>
              <w:t>stosowanych</w:t>
              <w:tab/>
              <w:t>do</w:t>
              <w:tab/>
              <w:t>mieszanek</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bitumicznych – Część 1: Badanie metodą pierścienia delta i kuli</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55.</w:t>
            </w:r>
          </w:p>
        </w:tc>
        <w:tc>
          <w:tcPr>
            <w:tcW w:w="2017" w:type="dxa"/>
            <w:tcBorders/>
            <w:shd w:fill="auto" w:val="clear"/>
          </w:tcPr>
          <w:p>
            <w:pPr>
              <w:pStyle w:val="TableParagraph"/>
              <w:spacing w:lineRule="exact" w:line="210"/>
              <w:ind w:left="169" w:right="0" w:hanging="0"/>
              <w:rPr>
                <w:sz w:val="20"/>
              </w:rPr>
            </w:pPr>
            <w:r>
              <w:rPr>
                <w:sz w:val="20"/>
              </w:rPr>
              <w:t>PN-EN 13179-2</w:t>
            </w:r>
          </w:p>
        </w:tc>
        <w:tc>
          <w:tcPr>
            <w:tcW w:w="6330" w:type="dxa"/>
            <w:tcBorders/>
            <w:shd w:fill="auto" w:val="clear"/>
          </w:tcPr>
          <w:p>
            <w:pPr>
              <w:pStyle w:val="TableParagraph"/>
              <w:tabs>
                <w:tab w:val="left" w:pos="1326" w:leader="none"/>
                <w:tab w:val="left" w:pos="2238" w:leader="none"/>
                <w:tab w:val="left" w:pos="3726" w:leader="none"/>
                <w:tab w:val="left" w:pos="4993" w:leader="none"/>
                <w:tab w:val="left" w:pos="5429" w:leader="none"/>
              </w:tabs>
              <w:spacing w:lineRule="exact" w:line="210"/>
              <w:ind w:left="434" w:right="0" w:hanging="0"/>
              <w:rPr>
                <w:sz w:val="20"/>
              </w:rPr>
            </w:pPr>
            <w:r>
              <w:rPr>
                <w:sz w:val="20"/>
              </w:rPr>
              <w:t>Badania</w:t>
              <w:tab/>
              <w:t>kruszyw</w:t>
              <w:tab/>
              <w:t>wypełniających</w:t>
              <w:tab/>
              <w:t>stosowanych</w:t>
              <w:tab/>
              <w:t>do</w:t>
              <w:tab/>
              <w:t>mieszanek</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bitumicznych – Część 2: Liczba bitumiczna</w:t>
            </w:r>
          </w:p>
        </w:tc>
      </w:tr>
      <w:tr>
        <w:trPr>
          <w:trHeight w:val="230" w:hRule="atLeast"/>
        </w:trPr>
        <w:tc>
          <w:tcPr>
            <w:tcW w:w="469" w:type="dxa"/>
            <w:tcBorders/>
            <w:shd w:fill="auto" w:val="clear"/>
          </w:tcPr>
          <w:p>
            <w:pPr>
              <w:pStyle w:val="TableParagraph"/>
              <w:spacing w:lineRule="exact" w:line="210"/>
              <w:ind w:left="50" w:right="0" w:hanging="0"/>
              <w:rPr>
                <w:sz w:val="20"/>
              </w:rPr>
            </w:pPr>
            <w:r>
              <w:rPr>
                <w:sz w:val="20"/>
              </w:rPr>
              <w:t>56.</w:t>
            </w:r>
          </w:p>
        </w:tc>
        <w:tc>
          <w:tcPr>
            <w:tcW w:w="2017" w:type="dxa"/>
            <w:tcBorders/>
            <w:shd w:fill="auto" w:val="clear"/>
          </w:tcPr>
          <w:p>
            <w:pPr>
              <w:pStyle w:val="TableParagraph"/>
              <w:spacing w:lineRule="exact" w:line="210"/>
              <w:ind w:left="169" w:right="0" w:hanging="0"/>
              <w:rPr>
                <w:sz w:val="20"/>
              </w:rPr>
            </w:pPr>
            <w:r>
              <w:rPr>
                <w:sz w:val="20"/>
              </w:rPr>
              <w:t>PN-EN 13398</w:t>
            </w:r>
          </w:p>
        </w:tc>
        <w:tc>
          <w:tcPr>
            <w:tcW w:w="6330" w:type="dxa"/>
            <w:tcBorders/>
            <w:shd w:fill="auto" w:val="clear"/>
          </w:tcPr>
          <w:p>
            <w:pPr>
              <w:pStyle w:val="TableParagraph"/>
              <w:spacing w:lineRule="exact" w:line="210"/>
              <w:ind w:left="434" w:right="0" w:hanging="0"/>
              <w:rPr>
                <w:sz w:val="20"/>
              </w:rPr>
            </w:pPr>
            <w:r>
              <w:rPr>
                <w:sz w:val="20"/>
              </w:rPr>
              <w:t>Asfalty i lepiszcza asfaltowe – Oznaczanie nawrotu sprężystego</w:t>
            </w:r>
          </w:p>
        </w:tc>
      </w:tr>
      <w:tr>
        <w:trPr>
          <w:trHeight w:val="230" w:hRule="atLeast"/>
        </w:trPr>
        <w:tc>
          <w:tcPr>
            <w:tcW w:w="469" w:type="dxa"/>
            <w:tcBorders/>
            <w:shd w:fill="auto" w:val="clear"/>
          </w:tcPr>
          <w:p>
            <w:pPr>
              <w:pStyle w:val="TableParagraph"/>
              <w:rPr>
                <w:sz w:val="16"/>
              </w:rPr>
            </w:pPr>
            <w:r>
              <w:rPr>
                <w:sz w:val="16"/>
              </w:rPr>
            </w:r>
          </w:p>
        </w:tc>
        <w:tc>
          <w:tcPr>
            <w:tcW w:w="2017" w:type="dxa"/>
            <w:tcBorders/>
            <w:shd w:fill="auto" w:val="clear"/>
          </w:tcPr>
          <w:p>
            <w:pPr>
              <w:pStyle w:val="TableParagraph"/>
              <w:rPr>
                <w:sz w:val="16"/>
              </w:rPr>
            </w:pPr>
            <w:r>
              <w:rPr>
                <w:sz w:val="16"/>
              </w:rPr>
            </w:r>
          </w:p>
        </w:tc>
        <w:tc>
          <w:tcPr>
            <w:tcW w:w="6330" w:type="dxa"/>
            <w:tcBorders/>
            <w:shd w:fill="auto" w:val="clear"/>
          </w:tcPr>
          <w:p>
            <w:pPr>
              <w:pStyle w:val="TableParagraph"/>
              <w:spacing w:lineRule="exact" w:line="210"/>
              <w:ind w:left="434" w:right="0" w:hanging="0"/>
              <w:rPr>
                <w:sz w:val="20"/>
              </w:rPr>
            </w:pPr>
            <w:r>
              <w:rPr>
                <w:sz w:val="20"/>
              </w:rPr>
              <w:t>asfaltów modyfikowanych</w:t>
            </w:r>
          </w:p>
        </w:tc>
      </w:tr>
      <w:tr>
        <w:trPr>
          <w:trHeight w:val="226" w:hRule="atLeast"/>
        </w:trPr>
        <w:tc>
          <w:tcPr>
            <w:tcW w:w="469" w:type="dxa"/>
            <w:tcBorders/>
            <w:shd w:fill="auto" w:val="clear"/>
          </w:tcPr>
          <w:p>
            <w:pPr>
              <w:pStyle w:val="TableParagraph"/>
              <w:spacing w:lineRule="exact" w:line="207"/>
              <w:ind w:left="50" w:right="0" w:hanging="0"/>
              <w:rPr>
                <w:sz w:val="20"/>
              </w:rPr>
            </w:pPr>
            <w:r>
              <w:rPr>
                <w:sz w:val="20"/>
              </w:rPr>
              <w:t>57.</w:t>
            </w:r>
          </w:p>
        </w:tc>
        <w:tc>
          <w:tcPr>
            <w:tcW w:w="2017" w:type="dxa"/>
            <w:tcBorders/>
            <w:shd w:fill="auto" w:val="clear"/>
          </w:tcPr>
          <w:p>
            <w:pPr>
              <w:pStyle w:val="TableParagraph"/>
              <w:spacing w:lineRule="exact" w:line="207"/>
              <w:ind w:left="169" w:right="0" w:hanging="0"/>
              <w:rPr>
                <w:sz w:val="20"/>
              </w:rPr>
            </w:pPr>
            <w:r>
              <w:rPr>
                <w:sz w:val="20"/>
              </w:rPr>
              <w:t>PN-EN 13399</w:t>
            </w:r>
          </w:p>
        </w:tc>
        <w:tc>
          <w:tcPr>
            <w:tcW w:w="6330" w:type="dxa"/>
            <w:tcBorders/>
            <w:shd w:fill="auto" w:val="clear"/>
          </w:tcPr>
          <w:p>
            <w:pPr>
              <w:pStyle w:val="TableParagraph"/>
              <w:spacing w:lineRule="exact" w:line="207"/>
              <w:ind w:left="434" w:right="0" w:hanging="0"/>
              <w:rPr>
                <w:sz w:val="20"/>
              </w:rPr>
            </w:pPr>
            <w:r>
              <w:rPr>
                <w:sz w:val="20"/>
              </w:rPr>
              <w:t>Asfalty i lepiszcza asfaltowe – Oznaczanie stabilności podczas</w:t>
            </w:r>
          </w:p>
        </w:tc>
      </w:tr>
    </w:tbl>
    <w:p>
      <w:pPr>
        <w:sectPr>
          <w:type w:val="nextPage"/>
          <w:pgSz w:w="11906" w:h="16838"/>
          <w:pgMar w:left="1020" w:right="0" w:header="0" w:top="760" w:footer="0" w:bottom="280" w:gutter="0"/>
          <w:pgNumType w:fmt="decimal"/>
          <w:formProt w:val="false"/>
          <w:textDirection w:val="lrTb"/>
          <w:docGrid w:type="default" w:linePitch="100" w:charSpace="4096"/>
        </w:sectPr>
      </w:pPr>
    </w:p>
    <w:p>
      <w:pPr>
        <w:pStyle w:val="Tretekstu"/>
        <w:spacing w:before="82" w:after="0"/>
        <w:ind w:left="3386" w:right="0" w:hanging="0"/>
        <w:rPr/>
      </w:pPr>
      <w:r>
        <w:rPr/>
        <w:t>magazynowania asfaltów modyfikowanych</w:t>
      </w:r>
    </w:p>
    <w:p>
      <w:pPr>
        <w:pStyle w:val="ListParagraph"/>
        <w:numPr>
          <w:ilvl w:val="0"/>
          <w:numId w:val="3"/>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13587</w:t>
      </w:r>
      <w:r>
        <w:rPr>
          <w:sz w:val="20"/>
        </w:rPr>
        <w:tab/>
        <w:t>Asfalty i lepiszcza asfaltowe – Oznaczanie właściwości</w:t>
      </w:r>
      <w:r>
        <w:rPr>
          <w:spacing w:val="19"/>
          <w:sz w:val="20"/>
        </w:rPr>
        <w:t>mechanicznych</w:t>
      </w:r>
    </w:p>
    <w:p>
      <w:pPr>
        <w:pStyle w:val="Tretekstu"/>
        <w:spacing w:before="1" w:after="0"/>
        <w:ind w:left="3386" w:right="0" w:hanging="0"/>
        <w:rPr/>
      </w:pPr>
      <w:r>
        <w:rPr/>
        <w:t>lepiszczy asfaltowych metodą rozciągania</w:t>
      </w:r>
    </w:p>
    <w:p>
      <w:pPr>
        <w:pStyle w:val="ListParagraph"/>
        <w:numPr>
          <w:ilvl w:val="0"/>
          <w:numId w:val="3"/>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13588</w:t>
      </w:r>
      <w:r>
        <w:rPr>
          <w:sz w:val="20"/>
        </w:rPr>
        <w:tab/>
        <w:t>Asfalty i lepiszcza asfaltowe – Oznaczanie kohezji</w:t>
      </w:r>
      <w:r>
        <w:rPr>
          <w:spacing w:val="18"/>
          <w:sz w:val="20"/>
        </w:rPr>
        <w:t>lepiszczy</w:t>
      </w:r>
    </w:p>
    <w:p>
      <w:pPr>
        <w:pStyle w:val="Tretekstu"/>
        <w:ind w:left="3386" w:right="0" w:hanging="0"/>
        <w:rPr/>
      </w:pPr>
      <w:r>
        <w:rPr/>
        <w:t>asfaltowych metodą testu wahadłowego</w:t>
      </w:r>
    </w:p>
    <w:p>
      <w:pPr>
        <w:pStyle w:val="ListParagraph"/>
        <w:numPr>
          <w:ilvl w:val="0"/>
          <w:numId w:val="3"/>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13589</w:t>
      </w:r>
      <w:r>
        <w:rPr>
          <w:sz w:val="20"/>
        </w:rPr>
        <w:tab/>
        <w:t>Asfalty i lepiszcza asfaltowe – Oznaczanie siły rozciągania</w:t>
      </w:r>
      <w:r>
        <w:rPr>
          <w:spacing w:val="-4"/>
          <w:sz w:val="20"/>
        </w:rPr>
        <w:t>asfaltów</w:t>
      </w:r>
    </w:p>
    <w:p>
      <w:pPr>
        <w:pStyle w:val="Tretekstu"/>
        <w:ind w:left="3386" w:right="0" w:hanging="0"/>
        <w:rPr/>
      </w:pPr>
      <w:r>
        <w:rPr/>
        <w:t>modyfikowanych – Metoda z duktylometrem</w:t>
      </w:r>
    </w:p>
    <w:p>
      <w:pPr>
        <w:pStyle w:val="ListParagraph"/>
        <w:numPr>
          <w:ilvl w:val="0"/>
          <w:numId w:val="3"/>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13703</w:t>
      </w:r>
      <w:r>
        <w:rPr>
          <w:sz w:val="20"/>
        </w:rPr>
        <w:tab/>
        <w:t>Asfalty i lepiszcza asfaltowe – Oznaczanie energii</w:t>
      </w:r>
      <w:r>
        <w:rPr>
          <w:spacing w:val="-7"/>
          <w:sz w:val="20"/>
        </w:rPr>
        <w:t>odkształcenia</w:t>
      </w:r>
    </w:p>
    <w:p>
      <w:pPr>
        <w:pStyle w:val="ListParagraph"/>
        <w:numPr>
          <w:ilvl w:val="0"/>
          <w:numId w:val="3"/>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13808</w:t>
      </w:r>
      <w:r>
        <w:rPr>
          <w:sz w:val="20"/>
        </w:rPr>
        <w:tab/>
        <w:t>Asfalty i lepiszcza asfaltowe – Zasady specyfikacji kationowych</w:t>
      </w:r>
      <w:r>
        <w:rPr>
          <w:spacing w:val="9"/>
          <w:sz w:val="20"/>
        </w:rPr>
        <w:t>emulsji</w:t>
      </w:r>
    </w:p>
    <w:p>
      <w:pPr>
        <w:pStyle w:val="Tretekstu"/>
        <w:spacing w:lineRule="exact" w:line="228" w:before="1" w:after="0"/>
        <w:ind w:left="3386" w:right="0" w:hanging="0"/>
        <w:rPr/>
      </w:pPr>
      <w:r>
        <w:rPr/>
        <w:t>asfaltowych</w:t>
      </w:r>
    </w:p>
    <w:p>
      <w:pPr>
        <w:pStyle w:val="ListParagraph"/>
        <w:numPr>
          <w:ilvl w:val="0"/>
          <w:numId w:val="3"/>
        </w:numPr>
        <w:tabs>
          <w:tab w:val="left" w:pos="1106" w:leader="none"/>
          <w:tab w:val="left" w:pos="1107" w:leader="none"/>
          <w:tab w:val="left" w:pos="3386" w:leader="none"/>
        </w:tabs>
        <w:spacing w:lineRule="exact" w:line="228" w:before="0" w:after="0"/>
        <w:ind w:left="1106" w:right="0" w:hanging="590"/>
        <w:jc w:val="left"/>
        <w:rPr/>
      </w:pPr>
      <w:r>
        <w:rPr>
          <w:sz w:val="20"/>
        </w:rPr>
        <w:t>PN-EN</w:t>
      </w:r>
      <w:r>
        <w:rPr>
          <w:spacing w:val="1"/>
          <w:sz w:val="20"/>
        </w:rPr>
        <w:t>13924-2</w:t>
      </w:r>
      <w:r>
        <w:rPr>
          <w:sz w:val="20"/>
        </w:rPr>
        <w:tab/>
        <w:t>Asfalty i</w:t>
      </w:r>
      <w:r>
        <w:rPr>
          <w:spacing w:val="7"/>
          <w:sz w:val="20"/>
        </w:rPr>
        <w:t xml:space="preserve"> </w:t>
      </w:r>
      <w:r>
        <w:rPr>
          <w:spacing w:val="18"/>
          <w:sz w:val="20"/>
        </w:rPr>
        <w:t xml:space="preserve">lepiszcza </w:t>
      </w:r>
      <w:r>
        <w:rPr>
          <w:spacing w:val="17"/>
          <w:sz w:val="20"/>
        </w:rPr>
        <w:t>asfaltowe</w:t>
      </w:r>
      <w:r>
        <w:rPr>
          <w:spacing w:val="14"/>
          <w:sz w:val="20"/>
        </w:rPr>
        <w:t>-</w:t>
      </w:r>
      <w:r>
        <w:rPr>
          <w:spacing w:val="17"/>
          <w:sz w:val="20"/>
        </w:rPr>
        <w:t xml:space="preserve">Zasady </w:t>
      </w:r>
      <w:r>
        <w:rPr>
          <w:spacing w:val="7"/>
          <w:sz w:val="20"/>
        </w:rPr>
        <w:t xml:space="preserve">klasyfikacji </w:t>
      </w:r>
      <w:r>
        <w:rPr>
          <w:spacing w:val="18"/>
          <w:sz w:val="20"/>
        </w:rPr>
        <w:t xml:space="preserve">asfaltów </w:t>
      </w:r>
      <w:r>
        <w:rPr>
          <w:spacing w:val="15"/>
          <w:sz w:val="20"/>
        </w:rPr>
        <w:t>drogowych</w:t>
      </w:r>
    </w:p>
    <w:p>
      <w:pPr>
        <w:pStyle w:val="Tretekstu"/>
        <w:ind w:left="3386" w:right="0" w:hanging="0"/>
        <w:rPr/>
      </w:pPr>
      <w:r>
        <w:rPr/>
        <w:t>specjalnych - Część 2: Asfalty drogowe wielorodzajowe</w:t>
      </w:r>
    </w:p>
    <w:p>
      <w:pPr>
        <w:sectPr>
          <w:type w:val="nextPage"/>
          <w:pgSz w:w="11906" w:h="16838"/>
          <w:pgMar w:left="1020" w:right="0" w:header="0" w:top="760" w:footer="0" w:bottom="280" w:gutter="0"/>
          <w:pgNumType w:fmt="decimal"/>
          <w:formProt w:val="false"/>
          <w:textDirection w:val="lrTb"/>
          <w:docGrid w:type="default" w:linePitch="100" w:charSpace="4096"/>
        </w:sectPr>
      </w:pPr>
    </w:p>
    <w:p>
      <w:pPr>
        <w:pStyle w:val="Tretekstu"/>
        <w:tabs>
          <w:tab w:val="left" w:pos="1106" w:leader="none"/>
        </w:tabs>
        <w:ind w:left="496" w:right="0" w:hanging="0"/>
        <w:rPr/>
      </w:pPr>
      <w:r>
        <w:rPr/>
        <w:t>63a</w:t>
        <w:tab/>
        <w:t>PN-EN</w:t>
      </w:r>
    </w:p>
    <w:p>
      <w:pPr>
        <w:pStyle w:val="Tretekstu"/>
        <w:spacing w:before="1" w:after="0"/>
        <w:ind w:left="1106" w:right="0" w:hanging="0"/>
        <w:rPr/>
      </w:pPr>
      <w:r>
        <w:rPr/>
        <w:t>13924-2:2014-</w:t>
      </w:r>
    </w:p>
    <w:p>
      <w:pPr>
        <w:pStyle w:val="Tretekstu"/>
        <w:ind w:left="1106" w:right="0" w:hanging="0"/>
        <w:rPr/>
      </w:pPr>
      <w:r>
        <w:rPr/>
        <w:t>4/Ap1:2014-07</w:t>
      </w:r>
    </w:p>
    <w:p>
      <w:pPr>
        <w:pStyle w:val="Tretekstu"/>
        <w:ind w:left="496" w:right="1645" w:hanging="0"/>
        <w:jc w:val="both"/>
        <w:rPr/>
      </w:pPr>
      <w:r>
        <w:br w:type="column"/>
      </w:r>
      <w:r>
        <w:rPr/>
        <w:t>Asfalty i lepiszcza asfaltowe - Zasady klasyfikacji asfaltów drogowych specjalnych - Część 2: Asfalty drogowe wielorodzajowe – poprawka do Polskiej Normy</w:t>
      </w:r>
    </w:p>
    <w:p>
      <w:pPr>
        <w:sectPr>
          <w:type w:val="continuous"/>
          <w:pgSz w:w="11906" w:h="16838"/>
          <w:pgMar w:left="1020" w:right="0" w:header="0" w:top="760" w:footer="0" w:bottom="280" w:gutter="0"/>
          <w:cols w:num="2" w:equalWidth="false" w:sep="false">
            <w:col w:w="2377" w:space="514"/>
            <w:col w:w="7994"/>
          </w:cols>
          <w:formProt w:val="false"/>
          <w:textDirection w:val="lrTb"/>
          <w:docGrid w:type="default" w:linePitch="100" w:charSpace="4096"/>
        </w:sectPr>
      </w:pPr>
    </w:p>
    <w:p>
      <w:pPr>
        <w:pStyle w:val="ListParagraph"/>
        <w:numPr>
          <w:ilvl w:val="0"/>
          <w:numId w:val="3"/>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14023</w:t>
      </w:r>
      <w:r>
        <w:rPr>
          <w:sz w:val="20"/>
        </w:rPr>
        <w:tab/>
        <w:t>Asfalty i lepiszcza asfaltowe – Zasady specyfikacji</w:t>
      </w:r>
      <w:r>
        <w:rPr>
          <w:spacing w:val="3"/>
          <w:sz w:val="20"/>
        </w:rPr>
        <w:t>asfaltów</w:t>
      </w:r>
    </w:p>
    <w:p>
      <w:pPr>
        <w:pStyle w:val="Tretekstu"/>
        <w:ind w:left="3386" w:right="0" w:hanging="0"/>
        <w:rPr/>
      </w:pPr>
      <w:r>
        <w:rPr/>
        <w:t>modyfikowanych polimerami</w:t>
      </w:r>
    </w:p>
    <w:p>
      <w:pPr>
        <w:sectPr>
          <w:type w:val="continuous"/>
          <w:pgSz w:w="11906" w:h="16838"/>
          <w:pgMar w:left="1020" w:right="0" w:header="0" w:top="760" w:footer="0" w:bottom="280" w:gutter="0"/>
          <w:formProt w:val="false"/>
          <w:textDirection w:val="lrTb"/>
          <w:docGrid w:type="default" w:linePitch="100" w:charSpace="4096"/>
        </w:sectPr>
      </w:pPr>
    </w:p>
    <w:p>
      <w:pPr>
        <w:pStyle w:val="Tretekstu"/>
        <w:tabs>
          <w:tab w:val="left" w:pos="1106" w:leader="none"/>
        </w:tabs>
        <w:ind w:left="472" w:right="0" w:hanging="0"/>
        <w:rPr/>
      </w:pPr>
      <w:r>
        <w:rPr/>
        <w:t>64a.</w:t>
        <w:tab/>
        <w:t>PN-EN</w:t>
      </w:r>
      <w:r>
        <w:rPr>
          <w:spacing w:val="-2"/>
        </w:rPr>
        <w:t>14023:2011/Ap1</w:t>
      </w:r>
    </w:p>
    <w:p>
      <w:pPr>
        <w:pStyle w:val="Tretekstu"/>
        <w:spacing w:before="1" w:after="0"/>
        <w:ind w:left="1089" w:right="1252" w:hanging="0"/>
        <w:jc w:val="center"/>
        <w:rPr/>
      </w:pPr>
      <w:r>
        <w:rPr/>
        <w:t>:2014-04</w:t>
      </w:r>
    </w:p>
    <w:p>
      <w:pPr>
        <w:pStyle w:val="Tretekstu"/>
        <w:tabs>
          <w:tab w:val="left" w:pos="1289" w:leader="none"/>
          <w:tab w:val="left" w:pos="3488" w:leader="none"/>
          <w:tab w:val="left" w:pos="5407" w:leader="none"/>
        </w:tabs>
        <w:ind w:left="243" w:right="1649" w:hanging="0"/>
        <w:rPr/>
      </w:pPr>
      <w:r>
        <w:br w:type="column"/>
      </w:r>
      <w:r>
        <w:rPr/>
        <w:t>Asfalty</w:t>
      </w:r>
      <w:r>
        <w:rPr>
          <w:spacing w:val="44"/>
        </w:rPr>
        <w:t>i</w:t>
      </w:r>
      <w:r>
        <w:rPr/>
        <w:tab/>
        <w:t>lepiszcza</w:t>
      </w:r>
      <w:r>
        <w:rPr>
          <w:spacing w:val="46"/>
        </w:rPr>
        <w:t>asfaltowe–</w:t>
      </w:r>
      <w:r>
        <w:rPr/>
        <w:tab/>
        <w:t>Zasady</w:t>
      </w:r>
      <w:r>
        <w:rPr>
          <w:spacing w:val="47"/>
        </w:rPr>
        <w:t xml:space="preserve">klasyfikacji </w:t>
      </w:r>
      <w:r>
        <w:rPr>
          <w:spacing w:val="-1"/>
        </w:rPr>
        <w:t>asfaltów</w:t>
      </w:r>
      <w:r>
        <w:rPr/>
        <w:t>modyfikowanych polimerami – poprawka do Polskiej</w:t>
      </w:r>
      <w:r>
        <w:rPr>
          <w:spacing w:val="-2"/>
        </w:rPr>
        <w:t>Normy</w:t>
      </w:r>
    </w:p>
    <w:p>
      <w:pPr>
        <w:sectPr>
          <w:type w:val="continuous"/>
          <w:pgSz w:w="11906" w:h="16838"/>
          <w:pgMar w:left="1020" w:right="0" w:header="0" w:top="760" w:footer="0" w:bottom="280" w:gutter="0"/>
          <w:cols w:num="2" w:equalWidth="false" w:sep="false">
            <w:col w:w="3105" w:space="40"/>
            <w:col w:w="7740"/>
          </w:cols>
          <w:formProt w:val="false"/>
          <w:textDirection w:val="lrTb"/>
          <w:docGrid w:type="default" w:linePitch="100" w:charSpace="4096"/>
        </w:sectPr>
      </w:pPr>
    </w:p>
    <w:p>
      <w:pPr>
        <w:pStyle w:val="ListParagraph"/>
        <w:numPr>
          <w:ilvl w:val="0"/>
          <w:numId w:val="3"/>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1"/>
          <w:sz w:val="20"/>
        </w:rPr>
        <w:t>14188-1</w:t>
      </w:r>
      <w:r>
        <w:rPr>
          <w:sz w:val="20"/>
        </w:rPr>
        <w:tab/>
        <w:t>Wypełniacze</w:t>
      </w:r>
      <w:r>
        <w:rPr>
          <w:spacing w:val="14"/>
          <w:sz w:val="20"/>
        </w:rPr>
        <w:t>szczelin</w:t>
      </w:r>
      <w:r>
        <w:rPr>
          <w:spacing w:val="16"/>
          <w:sz w:val="20"/>
        </w:rPr>
        <w:t>i</w:t>
      </w:r>
      <w:r>
        <w:rPr>
          <w:spacing w:val="18"/>
          <w:sz w:val="20"/>
        </w:rPr>
        <w:t>zalewy</w:t>
      </w:r>
      <w:r>
        <w:rPr>
          <w:spacing w:val="11"/>
          <w:sz w:val="20"/>
        </w:rPr>
        <w:t>drogowe</w:t>
      </w:r>
      <w:r>
        <w:rPr>
          <w:spacing w:val="15"/>
          <w:sz w:val="20"/>
        </w:rPr>
        <w:t>–</w:t>
      </w:r>
      <w:r>
        <w:rPr>
          <w:spacing w:val="17"/>
          <w:sz w:val="20"/>
        </w:rPr>
        <w:t>Część</w:t>
      </w:r>
      <w:r>
        <w:rPr>
          <w:spacing w:val="14"/>
          <w:sz w:val="20"/>
        </w:rPr>
        <w:t>1:</w:t>
      </w:r>
      <w:r>
        <w:rPr>
          <w:spacing w:val="18"/>
          <w:sz w:val="20"/>
        </w:rPr>
        <w:t>Wymagania</w:t>
      </w:r>
      <w:r>
        <w:rPr>
          <w:spacing w:val="17"/>
          <w:sz w:val="20"/>
        </w:rPr>
        <w:t>wobec</w:t>
      </w:r>
    </w:p>
    <w:p>
      <w:pPr>
        <w:pStyle w:val="Tretekstu"/>
        <w:spacing w:lineRule="exact" w:line="228" w:before="1" w:after="0"/>
        <w:ind w:left="3386" w:right="0" w:hanging="0"/>
        <w:rPr/>
      </w:pPr>
      <w:r>
        <w:rPr/>
        <w:t>zalew drogowych na gorąco</w:t>
      </w:r>
    </w:p>
    <w:p>
      <w:pPr>
        <w:pStyle w:val="ListParagraph"/>
        <w:numPr>
          <w:ilvl w:val="0"/>
          <w:numId w:val="3"/>
        </w:numPr>
        <w:tabs>
          <w:tab w:val="left" w:pos="1106" w:leader="none"/>
          <w:tab w:val="left" w:pos="1107" w:leader="none"/>
          <w:tab w:val="left" w:pos="3386" w:leader="none"/>
        </w:tabs>
        <w:spacing w:lineRule="exact" w:line="228" w:before="0" w:after="0"/>
        <w:ind w:left="1106" w:right="0" w:hanging="590"/>
        <w:jc w:val="left"/>
        <w:rPr>
          <w:sz w:val="20"/>
        </w:rPr>
      </w:pPr>
      <w:r>
        <w:rPr>
          <w:sz w:val="20"/>
        </w:rPr>
        <w:t>PN-EN</w:t>
      </w:r>
      <w:r>
        <w:rPr>
          <w:spacing w:val="1"/>
          <w:sz w:val="20"/>
        </w:rPr>
        <w:t>14188-2</w:t>
      </w:r>
      <w:r>
        <w:rPr>
          <w:sz w:val="20"/>
        </w:rPr>
        <w:tab/>
        <w:t>Wypełniacze</w:t>
      </w:r>
      <w:r>
        <w:rPr>
          <w:spacing w:val="14"/>
          <w:sz w:val="20"/>
        </w:rPr>
        <w:t>szczelin</w:t>
      </w:r>
      <w:r>
        <w:rPr>
          <w:spacing w:val="16"/>
          <w:sz w:val="20"/>
        </w:rPr>
        <w:t>i</w:t>
      </w:r>
      <w:r>
        <w:rPr>
          <w:spacing w:val="18"/>
          <w:sz w:val="20"/>
        </w:rPr>
        <w:t>zalewy</w:t>
      </w:r>
      <w:r>
        <w:rPr>
          <w:spacing w:val="11"/>
          <w:sz w:val="20"/>
        </w:rPr>
        <w:t>drogowe</w:t>
      </w:r>
      <w:r>
        <w:rPr>
          <w:spacing w:val="15"/>
          <w:sz w:val="20"/>
        </w:rPr>
        <w:t>–</w:t>
      </w:r>
      <w:r>
        <w:rPr>
          <w:spacing w:val="17"/>
          <w:sz w:val="20"/>
        </w:rPr>
        <w:t>Część</w:t>
      </w:r>
      <w:r>
        <w:rPr>
          <w:spacing w:val="14"/>
          <w:sz w:val="20"/>
        </w:rPr>
        <w:t>2:</w:t>
      </w:r>
      <w:r>
        <w:rPr>
          <w:spacing w:val="18"/>
          <w:sz w:val="20"/>
        </w:rPr>
        <w:t xml:space="preserve">Wymagania </w:t>
      </w:r>
      <w:r>
        <w:rPr>
          <w:spacing w:val="17"/>
          <w:sz w:val="20"/>
        </w:rPr>
        <w:t>wobec</w:t>
      </w:r>
    </w:p>
    <w:p>
      <w:pPr>
        <w:pStyle w:val="Tretekstu"/>
        <w:ind w:left="3386" w:right="0" w:hanging="0"/>
        <w:rPr/>
      </w:pPr>
      <w:r>
        <w:rPr/>
        <w:t>zalew drogowych na zimno</w:t>
      </w:r>
    </w:p>
    <w:p>
      <w:pPr>
        <w:pStyle w:val="ListParagraph"/>
        <w:numPr>
          <w:ilvl w:val="0"/>
          <w:numId w:val="3"/>
        </w:numPr>
        <w:tabs>
          <w:tab w:val="left" w:pos="1106" w:leader="none"/>
          <w:tab w:val="left" w:pos="1107" w:leader="none"/>
          <w:tab w:val="left" w:pos="3386" w:leader="none"/>
        </w:tabs>
        <w:spacing w:lineRule="auto" w:line="240" w:before="1" w:after="0"/>
        <w:ind w:left="1106" w:right="0" w:hanging="590"/>
        <w:jc w:val="left"/>
        <w:rPr>
          <w:sz w:val="20"/>
        </w:rPr>
      </w:pPr>
      <w:r>
        <w:rPr>
          <w:sz w:val="20"/>
        </w:rPr>
        <w:t>PN-EN</w:t>
      </w:r>
      <w:r>
        <w:rPr>
          <w:spacing w:val="1"/>
          <w:sz w:val="20"/>
        </w:rPr>
        <w:t>22592</w:t>
      </w:r>
      <w:r>
        <w:rPr>
          <w:sz w:val="20"/>
        </w:rPr>
        <w:tab/>
        <w:t>Przetwory</w:t>
      </w:r>
      <w:r>
        <w:rPr>
          <w:spacing w:val="16"/>
          <w:sz w:val="20"/>
        </w:rPr>
        <w:t>naftowe</w:t>
      </w:r>
      <w:r>
        <w:rPr>
          <w:spacing w:val="22"/>
          <w:sz w:val="20"/>
        </w:rPr>
        <w:t>–</w:t>
      </w:r>
      <w:r>
        <w:rPr>
          <w:spacing w:val="25"/>
          <w:sz w:val="20"/>
        </w:rPr>
        <w:t>Oznaczanie</w:t>
      </w:r>
      <w:r>
        <w:rPr>
          <w:spacing w:val="22"/>
          <w:sz w:val="20"/>
        </w:rPr>
        <w:t>temperatury</w:t>
      </w:r>
      <w:r>
        <w:rPr>
          <w:spacing w:val="16"/>
          <w:sz w:val="20"/>
        </w:rPr>
        <w:t>zapłonu</w:t>
      </w:r>
      <w:r>
        <w:rPr>
          <w:spacing w:val="25"/>
          <w:sz w:val="20"/>
        </w:rPr>
        <w:t>i</w:t>
      </w:r>
      <w:r>
        <w:rPr>
          <w:spacing w:val="22"/>
          <w:sz w:val="20"/>
        </w:rPr>
        <w:t>palenia</w:t>
      </w:r>
      <w:r>
        <w:rPr>
          <w:spacing w:val="29"/>
          <w:sz w:val="20"/>
        </w:rPr>
        <w:t>–</w:t>
      </w:r>
    </w:p>
    <w:p>
      <w:pPr>
        <w:pStyle w:val="Tretekstu"/>
        <w:ind w:left="3386" w:right="0" w:hanging="0"/>
        <w:rPr/>
      </w:pPr>
      <w:r>
        <w:rPr/>
        <w:t>Pomiar metodą otwartego tygla Clevelanda</w:t>
      </w:r>
    </w:p>
    <w:p>
      <w:pPr>
        <w:pStyle w:val="ListParagraph"/>
        <w:numPr>
          <w:ilvl w:val="0"/>
          <w:numId w:val="3"/>
        </w:numPr>
        <w:tabs>
          <w:tab w:val="left" w:pos="1106" w:leader="none"/>
          <w:tab w:val="left" w:pos="1107" w:leader="none"/>
          <w:tab w:val="left" w:pos="3386" w:leader="none"/>
        </w:tabs>
        <w:spacing w:lineRule="auto" w:line="240" w:before="0" w:after="0"/>
        <w:ind w:left="1106" w:right="0" w:hanging="590"/>
        <w:jc w:val="left"/>
        <w:rPr>
          <w:sz w:val="20"/>
        </w:rPr>
      </w:pPr>
      <w:r>
        <w:rPr>
          <w:sz w:val="20"/>
        </w:rPr>
        <w:t>PN-EN</w:t>
      </w:r>
      <w:r>
        <w:rPr>
          <w:spacing w:val="2"/>
          <w:sz w:val="20"/>
        </w:rPr>
        <w:t>ISO</w:t>
      </w:r>
      <w:r>
        <w:rPr>
          <w:spacing w:val="-2"/>
          <w:sz w:val="20"/>
        </w:rPr>
        <w:t>2592</w:t>
      </w:r>
      <w:r>
        <w:rPr>
          <w:sz w:val="20"/>
        </w:rPr>
        <w:tab/>
        <w:t>Oznaczanie temperatury zapłonu i palenia – Metoda otwartego</w:t>
      </w:r>
      <w:r>
        <w:rPr>
          <w:spacing w:val="-5"/>
          <w:sz w:val="20"/>
        </w:rPr>
        <w:t>tygla</w:t>
      </w:r>
    </w:p>
    <w:p>
      <w:pPr>
        <w:pStyle w:val="Tretekstu"/>
        <w:spacing w:before="1" w:after="0"/>
        <w:ind w:left="3386" w:right="0" w:hanging="0"/>
        <w:rPr/>
      </w:pPr>
      <w:r>
        <w:rPr/>
        <w:t>Clevelanda</w:t>
      </w:r>
    </w:p>
    <w:p>
      <w:pPr>
        <w:pStyle w:val="Nagwek1"/>
        <w:numPr>
          <w:ilvl w:val="1"/>
          <w:numId w:val="17"/>
        </w:numPr>
        <w:tabs>
          <w:tab w:val="left" w:pos="848" w:leader="none"/>
        </w:tabs>
        <w:spacing w:lineRule="auto" w:line="240" w:before="125" w:after="0"/>
        <w:ind w:left="847" w:right="0" w:hanging="451"/>
        <w:jc w:val="left"/>
        <w:rPr/>
      </w:pPr>
      <w:r>
        <w:rPr/>
        <w:t>Wymagania</w:t>
      </w:r>
      <w:r>
        <w:rPr>
          <w:spacing w:val="-3"/>
        </w:rPr>
        <w:t>techniczne</w:t>
      </w:r>
    </w:p>
    <w:p>
      <w:pPr>
        <w:pStyle w:val="ListParagraph"/>
        <w:numPr>
          <w:ilvl w:val="0"/>
          <w:numId w:val="2"/>
        </w:numPr>
        <w:tabs>
          <w:tab w:val="left" w:pos="963" w:leader="none"/>
        </w:tabs>
        <w:spacing w:lineRule="auto" w:line="228" w:before="123" w:after="0"/>
        <w:ind w:left="962" w:right="1129" w:hanging="422"/>
        <w:jc w:val="both"/>
        <w:rPr>
          <w:sz w:val="20"/>
        </w:rPr>
      </w:pPr>
      <w:r>
        <w:rPr>
          <w:sz w:val="20"/>
        </w:rPr>
        <w:t>WT-1 Kruszywa 2014. Kruszywa do mieszanek mineralno-asfaltowych i powierzchniowych utrwaleń na drogach krajowych. Załącznik do Zarządzenia nr 46 Generalnego Dyrektora Dróg</w:t>
      </w:r>
      <w:r>
        <w:rPr>
          <w:spacing w:val="-3"/>
          <w:sz w:val="20"/>
        </w:rPr>
        <w:t>Krajowych</w:t>
      </w:r>
      <w:r>
        <w:rPr>
          <w:sz w:val="20"/>
        </w:rPr>
        <w:t>i Autostrad z dnia 25 września 2014</w:t>
      </w:r>
      <w:r>
        <w:rPr>
          <w:spacing w:val="-7"/>
          <w:sz w:val="20"/>
        </w:rPr>
        <w:t>r.</w:t>
      </w:r>
    </w:p>
    <w:p>
      <w:pPr>
        <w:pStyle w:val="ListParagraph"/>
        <w:numPr>
          <w:ilvl w:val="0"/>
          <w:numId w:val="2"/>
        </w:numPr>
        <w:tabs>
          <w:tab w:val="left" w:pos="963" w:leader="none"/>
        </w:tabs>
        <w:spacing w:lineRule="auto" w:line="228" w:before="11" w:after="0"/>
        <w:ind w:left="962" w:right="1127" w:hanging="422"/>
        <w:jc w:val="both"/>
        <w:rPr>
          <w:sz w:val="20"/>
        </w:rPr>
      </w:pPr>
      <w:r>
        <w:rPr>
          <w:sz w:val="20"/>
        </w:rPr>
        <w:t>WT-2 Mieszanki mineralno-asfaltowe. Załącznik do Zarządzenia nr</w:t>
      </w:r>
      <w:r>
        <w:rPr>
          <w:spacing w:val="-3"/>
          <w:sz w:val="20"/>
        </w:rPr>
        <w:t>47</w:t>
      </w:r>
      <w:r>
        <w:rPr>
          <w:sz w:val="20"/>
        </w:rPr>
        <w:t>Generalnego Dyrektora Dróg Krajowych i Autostrad z dnia 25 września 2014</w:t>
      </w:r>
      <w:r>
        <w:rPr>
          <w:spacing w:val="-2"/>
          <w:sz w:val="20"/>
        </w:rPr>
        <w:t>r.</w:t>
      </w:r>
    </w:p>
    <w:p>
      <w:pPr>
        <w:pStyle w:val="ListParagraph"/>
        <w:numPr>
          <w:ilvl w:val="0"/>
          <w:numId w:val="2"/>
        </w:numPr>
        <w:tabs>
          <w:tab w:val="left" w:pos="963" w:leader="none"/>
        </w:tabs>
        <w:spacing w:lineRule="auto" w:line="240" w:before="2" w:after="0"/>
        <w:ind w:left="962" w:right="0" w:hanging="422"/>
        <w:jc w:val="left"/>
        <w:rPr>
          <w:sz w:val="20"/>
        </w:rPr>
      </w:pPr>
      <w:r>
        <w:rPr>
          <w:sz w:val="20"/>
        </w:rPr>
        <w:t>WT-3 Emulsje asfaltowe 2009. Kationowe emulsje asfaltowe na drogach</w:t>
      </w:r>
      <w:r>
        <w:rPr>
          <w:spacing w:val="-7"/>
          <w:sz w:val="20"/>
        </w:rPr>
        <w:t>publicznych</w:t>
      </w:r>
    </w:p>
    <w:p>
      <w:pPr>
        <w:pStyle w:val="Nagwek1"/>
        <w:numPr>
          <w:ilvl w:val="1"/>
          <w:numId w:val="17"/>
        </w:numPr>
        <w:tabs>
          <w:tab w:val="left" w:pos="852" w:leader="none"/>
        </w:tabs>
        <w:spacing w:lineRule="auto" w:line="240" w:before="117" w:after="0"/>
        <w:ind w:left="851" w:right="0" w:hanging="455"/>
        <w:jc w:val="left"/>
        <w:rPr/>
      </w:pPr>
      <w:r>
        <w:rPr/>
        <w:t>Inne</w:t>
      </w:r>
      <w:r>
        <w:rPr>
          <w:spacing w:val="-2"/>
        </w:rPr>
        <w:t>dokumenty</w:t>
      </w:r>
    </w:p>
    <w:p>
      <w:pPr>
        <w:pStyle w:val="ListParagraph"/>
        <w:numPr>
          <w:ilvl w:val="0"/>
          <w:numId w:val="1"/>
        </w:numPr>
        <w:tabs>
          <w:tab w:val="left" w:pos="963" w:leader="none"/>
        </w:tabs>
        <w:spacing w:lineRule="auto" w:line="228" w:before="128" w:after="0"/>
        <w:ind w:left="962" w:right="1124" w:hanging="499"/>
        <w:jc w:val="left"/>
        <w:rPr>
          <w:sz w:val="20"/>
        </w:rPr>
      </w:pPr>
      <w:r>
        <w:rPr>
          <w:sz w:val="20"/>
        </w:rPr>
        <w:t>Katalog typowych konstrukcji nawierzchni podatnych i półsztywnych. Załącznik do Zarządzenia nr 31 Generalnego Dyrektora Dróg</w:t>
      </w:r>
      <w:r>
        <w:rPr>
          <w:spacing w:val="-3"/>
          <w:sz w:val="20"/>
        </w:rPr>
        <w:t>Krajowych</w:t>
      </w:r>
      <w:r>
        <w:rPr>
          <w:sz w:val="20"/>
        </w:rPr>
        <w:t>i Autostrad z</w:t>
      </w:r>
      <w:r>
        <w:rPr>
          <w:spacing w:val="-3"/>
          <w:sz w:val="20"/>
        </w:rPr>
        <w:t>dnia 16</w:t>
      </w:r>
      <w:r>
        <w:rPr>
          <w:sz w:val="20"/>
        </w:rPr>
        <w:t>czerwca 2014</w:t>
      </w:r>
      <w:r>
        <w:rPr>
          <w:spacing w:val="33"/>
          <w:sz w:val="20"/>
        </w:rPr>
        <w:t>r.</w:t>
      </w:r>
    </w:p>
    <w:p>
      <w:pPr>
        <w:pStyle w:val="ListParagraph"/>
        <w:numPr>
          <w:ilvl w:val="0"/>
          <w:numId w:val="1"/>
        </w:numPr>
        <w:tabs>
          <w:tab w:val="left" w:pos="963" w:leader="none"/>
        </w:tabs>
        <w:spacing w:lineRule="auto" w:line="235" w:before="7" w:after="0"/>
        <w:ind w:left="962" w:right="1125" w:hanging="499"/>
        <w:jc w:val="both"/>
        <w:rPr>
          <w:sz w:val="20"/>
        </w:rPr>
      </w:pPr>
      <w:r>
        <w:rPr>
          <w:sz w:val="20"/>
        </w:rPr>
        <w:t>Rozporządzenie Ministra Transportu i Gospodarki Morskiej z dnia 2 marca 1999 r. w sprawie warunków technicznych, jakim powinny odpowiadać drogi publiczne i ich usytuowanie (Dz.U. nr 43, poz. 430 z późniejszymi</w:t>
      </w:r>
      <w:r>
        <w:rPr>
          <w:spacing w:val="3"/>
          <w:sz w:val="20"/>
        </w:rPr>
        <w:t>zmianami)</w:t>
      </w:r>
    </w:p>
    <w:p>
      <w:pPr>
        <w:pStyle w:val="ListParagraph"/>
        <w:numPr>
          <w:ilvl w:val="0"/>
          <w:numId w:val="1"/>
        </w:numPr>
        <w:tabs>
          <w:tab w:val="left" w:pos="963" w:leader="none"/>
        </w:tabs>
        <w:spacing w:lineRule="auto" w:line="228" w:before="15" w:after="0"/>
        <w:ind w:left="962" w:right="1125" w:hanging="499"/>
        <w:jc w:val="left"/>
        <w:rPr/>
      </w:pPr>
      <w:r>
        <w:rPr>
          <w:spacing w:val="-3"/>
          <w:sz w:val="20"/>
        </w:rPr>
        <w:t>Ustawa</w:t>
      </w:r>
      <w:r>
        <w:rPr>
          <w:sz w:val="20"/>
        </w:rPr>
        <w:t>z dnia 19 sierpnia 2011 r. o przewozie drogowym towarów niebezpiecznych (Dz.U. nr 227, poz.  1367 z późniejszymi zmianami)</w:t>
      </w:r>
    </w:p>
    <w:sectPr>
      <w:type w:val="continuous"/>
      <w:pgSz w:w="11906" w:h="16838"/>
      <w:pgMar w:left="1020" w:right="0" w:header="0" w:top="76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Verdana">
    <w:charset w:val="ee"/>
    <w:family w:val="roman"/>
    <w:pitch w:val="variable"/>
  </w:font>
  <w:font w:name="Symbol">
    <w:charset w:val="ee"/>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72"/>
      <w:numFmt w:val="decimal"/>
      <w:lvlText w:val="%1."/>
      <w:lvlJc w:val="left"/>
      <w:pPr>
        <w:ind w:left="962" w:hanging="500"/>
      </w:pPr>
      <w:rPr>
        <w:sz w:val="20"/>
        <w:szCs w:val="24"/>
        <w:w w:val="99"/>
        <w:rFonts w:eastAsia="Times New Roman" w:cs="Times New Roman"/>
      </w:rPr>
    </w:lvl>
    <w:lvl w:ilvl="1">
      <w:start w:val="0"/>
      <w:numFmt w:val="bullet"/>
      <w:lvlText w:val=""/>
      <w:lvlJc w:val="left"/>
      <w:pPr>
        <w:ind w:left="1952" w:hanging="500"/>
      </w:pPr>
      <w:rPr>
        <w:rFonts w:ascii="Symbol" w:hAnsi="Symbol" w:cs="Symbol" w:hint="default"/>
        <w:rFonts w:cs="Symbol"/>
      </w:rPr>
    </w:lvl>
    <w:lvl w:ilvl="2">
      <w:start w:val="0"/>
      <w:numFmt w:val="bullet"/>
      <w:lvlText w:val=""/>
      <w:lvlJc w:val="left"/>
      <w:pPr>
        <w:ind w:left="2944" w:hanging="500"/>
      </w:pPr>
      <w:rPr>
        <w:rFonts w:ascii="Symbol" w:hAnsi="Symbol" w:cs="Symbol" w:hint="default"/>
        <w:rFonts w:cs="Symbol"/>
      </w:rPr>
    </w:lvl>
    <w:lvl w:ilvl="3">
      <w:start w:val="0"/>
      <w:numFmt w:val="bullet"/>
      <w:lvlText w:val=""/>
      <w:lvlJc w:val="left"/>
      <w:pPr>
        <w:ind w:left="3936" w:hanging="500"/>
      </w:pPr>
      <w:rPr>
        <w:rFonts w:ascii="Symbol" w:hAnsi="Symbol" w:cs="Symbol" w:hint="default"/>
        <w:rFonts w:cs="Symbol"/>
      </w:rPr>
    </w:lvl>
    <w:lvl w:ilvl="4">
      <w:start w:val="0"/>
      <w:numFmt w:val="bullet"/>
      <w:lvlText w:val=""/>
      <w:lvlJc w:val="left"/>
      <w:pPr>
        <w:ind w:left="4928" w:hanging="500"/>
      </w:pPr>
      <w:rPr>
        <w:rFonts w:ascii="Symbol" w:hAnsi="Symbol" w:cs="Symbol" w:hint="default"/>
        <w:rFonts w:cs="Symbol"/>
      </w:rPr>
    </w:lvl>
    <w:lvl w:ilvl="5">
      <w:start w:val="0"/>
      <w:numFmt w:val="bullet"/>
      <w:lvlText w:val=""/>
      <w:lvlJc w:val="left"/>
      <w:pPr>
        <w:ind w:left="5920" w:hanging="500"/>
      </w:pPr>
      <w:rPr>
        <w:rFonts w:ascii="Symbol" w:hAnsi="Symbol" w:cs="Symbol" w:hint="default"/>
        <w:rFonts w:cs="Symbol"/>
      </w:rPr>
    </w:lvl>
    <w:lvl w:ilvl="6">
      <w:start w:val="0"/>
      <w:numFmt w:val="bullet"/>
      <w:lvlText w:val=""/>
      <w:lvlJc w:val="left"/>
      <w:pPr>
        <w:ind w:left="6912" w:hanging="500"/>
      </w:pPr>
      <w:rPr>
        <w:rFonts w:ascii="Symbol" w:hAnsi="Symbol" w:cs="Symbol" w:hint="default"/>
        <w:rFonts w:cs="Symbol"/>
      </w:rPr>
    </w:lvl>
    <w:lvl w:ilvl="7">
      <w:start w:val="0"/>
      <w:numFmt w:val="bullet"/>
      <w:lvlText w:val=""/>
      <w:lvlJc w:val="left"/>
      <w:pPr>
        <w:ind w:left="7904" w:hanging="500"/>
      </w:pPr>
      <w:rPr>
        <w:rFonts w:ascii="Symbol" w:hAnsi="Symbol" w:cs="Symbol" w:hint="default"/>
        <w:rFonts w:cs="Symbol"/>
      </w:rPr>
    </w:lvl>
    <w:lvl w:ilvl="8">
      <w:start w:val="0"/>
      <w:numFmt w:val="bullet"/>
      <w:lvlText w:val=""/>
      <w:lvlJc w:val="left"/>
      <w:pPr>
        <w:ind w:left="8896" w:hanging="500"/>
      </w:pPr>
      <w:rPr>
        <w:rFonts w:ascii="Symbol" w:hAnsi="Symbol" w:cs="Symbol" w:hint="default"/>
        <w:rFonts w:cs="Symbol"/>
      </w:rPr>
    </w:lvl>
  </w:abstractNum>
  <w:abstractNum w:abstractNumId="2">
    <w:lvl w:ilvl="0">
      <w:start w:val="69"/>
      <w:numFmt w:val="decimal"/>
      <w:lvlText w:val="%1."/>
      <w:lvlJc w:val="left"/>
      <w:pPr>
        <w:ind w:left="962" w:hanging="423"/>
      </w:pPr>
      <w:rPr>
        <w:sz w:val="20"/>
        <w:szCs w:val="24"/>
        <w:w w:val="99"/>
        <w:rFonts w:eastAsia="Times New Roman" w:cs="Times New Roman"/>
      </w:rPr>
    </w:lvl>
    <w:lvl w:ilvl="1">
      <w:start w:val="0"/>
      <w:numFmt w:val="bullet"/>
      <w:lvlText w:val=""/>
      <w:lvlJc w:val="left"/>
      <w:pPr>
        <w:ind w:left="1952" w:hanging="423"/>
      </w:pPr>
      <w:rPr>
        <w:rFonts w:ascii="Symbol" w:hAnsi="Symbol" w:cs="Symbol" w:hint="default"/>
        <w:rFonts w:cs="Symbol"/>
      </w:rPr>
    </w:lvl>
    <w:lvl w:ilvl="2">
      <w:start w:val="0"/>
      <w:numFmt w:val="bullet"/>
      <w:lvlText w:val=""/>
      <w:lvlJc w:val="left"/>
      <w:pPr>
        <w:ind w:left="2944" w:hanging="423"/>
      </w:pPr>
      <w:rPr>
        <w:rFonts w:ascii="Symbol" w:hAnsi="Symbol" w:cs="Symbol" w:hint="default"/>
        <w:rFonts w:cs="Symbol"/>
      </w:rPr>
    </w:lvl>
    <w:lvl w:ilvl="3">
      <w:start w:val="0"/>
      <w:numFmt w:val="bullet"/>
      <w:lvlText w:val=""/>
      <w:lvlJc w:val="left"/>
      <w:pPr>
        <w:ind w:left="3936" w:hanging="423"/>
      </w:pPr>
      <w:rPr>
        <w:rFonts w:ascii="Symbol" w:hAnsi="Symbol" w:cs="Symbol" w:hint="default"/>
        <w:rFonts w:cs="Symbol"/>
      </w:rPr>
    </w:lvl>
    <w:lvl w:ilvl="4">
      <w:start w:val="0"/>
      <w:numFmt w:val="bullet"/>
      <w:lvlText w:val=""/>
      <w:lvlJc w:val="left"/>
      <w:pPr>
        <w:ind w:left="4928" w:hanging="423"/>
      </w:pPr>
      <w:rPr>
        <w:rFonts w:ascii="Symbol" w:hAnsi="Symbol" w:cs="Symbol" w:hint="default"/>
        <w:rFonts w:cs="Symbol"/>
      </w:rPr>
    </w:lvl>
    <w:lvl w:ilvl="5">
      <w:start w:val="0"/>
      <w:numFmt w:val="bullet"/>
      <w:lvlText w:val=""/>
      <w:lvlJc w:val="left"/>
      <w:pPr>
        <w:ind w:left="5920" w:hanging="423"/>
      </w:pPr>
      <w:rPr>
        <w:rFonts w:ascii="Symbol" w:hAnsi="Symbol" w:cs="Symbol" w:hint="default"/>
        <w:rFonts w:cs="Symbol"/>
      </w:rPr>
    </w:lvl>
    <w:lvl w:ilvl="6">
      <w:start w:val="0"/>
      <w:numFmt w:val="bullet"/>
      <w:lvlText w:val=""/>
      <w:lvlJc w:val="left"/>
      <w:pPr>
        <w:ind w:left="6912" w:hanging="423"/>
      </w:pPr>
      <w:rPr>
        <w:rFonts w:ascii="Symbol" w:hAnsi="Symbol" w:cs="Symbol" w:hint="default"/>
        <w:rFonts w:cs="Symbol"/>
      </w:rPr>
    </w:lvl>
    <w:lvl w:ilvl="7">
      <w:start w:val="0"/>
      <w:numFmt w:val="bullet"/>
      <w:lvlText w:val=""/>
      <w:lvlJc w:val="left"/>
      <w:pPr>
        <w:ind w:left="7904" w:hanging="423"/>
      </w:pPr>
      <w:rPr>
        <w:rFonts w:ascii="Symbol" w:hAnsi="Symbol" w:cs="Symbol" w:hint="default"/>
        <w:rFonts w:cs="Symbol"/>
      </w:rPr>
    </w:lvl>
    <w:lvl w:ilvl="8">
      <w:start w:val="0"/>
      <w:numFmt w:val="bullet"/>
      <w:lvlText w:val=""/>
      <w:lvlJc w:val="left"/>
      <w:pPr>
        <w:ind w:left="8896" w:hanging="423"/>
      </w:pPr>
      <w:rPr>
        <w:rFonts w:ascii="Symbol" w:hAnsi="Symbol" w:cs="Symbol" w:hint="default"/>
        <w:rFonts w:cs="Symbol"/>
      </w:rPr>
    </w:lvl>
  </w:abstractNum>
  <w:abstractNum w:abstractNumId="3">
    <w:lvl w:ilvl="0">
      <w:start w:val="58"/>
      <w:numFmt w:val="decimal"/>
      <w:lvlText w:val="%1."/>
      <w:lvlJc w:val="left"/>
      <w:pPr>
        <w:ind w:left="1106" w:hanging="591"/>
      </w:pPr>
      <w:rPr>
        <w:sz w:val="20"/>
        <w:szCs w:val="20"/>
        <w:w w:val="100"/>
        <w:rFonts w:eastAsia="Times New Roman" w:cs="Times New Roman"/>
      </w:rPr>
    </w:lvl>
    <w:lvl w:ilvl="1">
      <w:start w:val="0"/>
      <w:numFmt w:val="bullet"/>
      <w:lvlText w:val=""/>
      <w:lvlJc w:val="left"/>
      <w:pPr>
        <w:ind w:left="2078" w:hanging="591"/>
      </w:pPr>
      <w:rPr>
        <w:rFonts w:ascii="Symbol" w:hAnsi="Symbol" w:cs="Symbol" w:hint="default"/>
        <w:rFonts w:cs="Symbol"/>
      </w:rPr>
    </w:lvl>
    <w:lvl w:ilvl="2">
      <w:start w:val="0"/>
      <w:numFmt w:val="bullet"/>
      <w:lvlText w:val=""/>
      <w:lvlJc w:val="left"/>
      <w:pPr>
        <w:ind w:left="3056" w:hanging="591"/>
      </w:pPr>
      <w:rPr>
        <w:rFonts w:ascii="Symbol" w:hAnsi="Symbol" w:cs="Symbol" w:hint="default"/>
        <w:rFonts w:cs="Symbol"/>
      </w:rPr>
    </w:lvl>
    <w:lvl w:ilvl="3">
      <w:start w:val="0"/>
      <w:numFmt w:val="bullet"/>
      <w:lvlText w:val=""/>
      <w:lvlJc w:val="left"/>
      <w:pPr>
        <w:ind w:left="4034" w:hanging="591"/>
      </w:pPr>
      <w:rPr>
        <w:rFonts w:ascii="Symbol" w:hAnsi="Symbol" w:cs="Symbol" w:hint="default"/>
        <w:rFonts w:cs="Symbol"/>
      </w:rPr>
    </w:lvl>
    <w:lvl w:ilvl="4">
      <w:start w:val="0"/>
      <w:numFmt w:val="bullet"/>
      <w:lvlText w:val=""/>
      <w:lvlJc w:val="left"/>
      <w:pPr>
        <w:ind w:left="5012" w:hanging="591"/>
      </w:pPr>
      <w:rPr>
        <w:rFonts w:ascii="Symbol" w:hAnsi="Symbol" w:cs="Symbol" w:hint="default"/>
        <w:rFonts w:cs="Symbol"/>
      </w:rPr>
    </w:lvl>
    <w:lvl w:ilvl="5">
      <w:start w:val="0"/>
      <w:numFmt w:val="bullet"/>
      <w:lvlText w:val=""/>
      <w:lvlJc w:val="left"/>
      <w:pPr>
        <w:ind w:left="5990" w:hanging="591"/>
      </w:pPr>
      <w:rPr>
        <w:rFonts w:ascii="Symbol" w:hAnsi="Symbol" w:cs="Symbol" w:hint="default"/>
        <w:rFonts w:cs="Symbol"/>
      </w:rPr>
    </w:lvl>
    <w:lvl w:ilvl="6">
      <w:start w:val="0"/>
      <w:numFmt w:val="bullet"/>
      <w:lvlText w:val=""/>
      <w:lvlJc w:val="left"/>
      <w:pPr>
        <w:ind w:left="6968" w:hanging="591"/>
      </w:pPr>
      <w:rPr>
        <w:rFonts w:ascii="Symbol" w:hAnsi="Symbol" w:cs="Symbol" w:hint="default"/>
        <w:rFonts w:cs="Symbol"/>
      </w:rPr>
    </w:lvl>
    <w:lvl w:ilvl="7">
      <w:start w:val="0"/>
      <w:numFmt w:val="bullet"/>
      <w:lvlText w:val=""/>
      <w:lvlJc w:val="left"/>
      <w:pPr>
        <w:ind w:left="7946" w:hanging="591"/>
      </w:pPr>
      <w:rPr>
        <w:rFonts w:ascii="Symbol" w:hAnsi="Symbol" w:cs="Symbol" w:hint="default"/>
        <w:rFonts w:cs="Symbol"/>
      </w:rPr>
    </w:lvl>
    <w:lvl w:ilvl="8">
      <w:start w:val="0"/>
      <w:numFmt w:val="bullet"/>
      <w:lvlText w:val=""/>
      <w:lvlJc w:val="left"/>
      <w:pPr>
        <w:ind w:left="8924" w:hanging="591"/>
      </w:pPr>
      <w:rPr>
        <w:rFonts w:ascii="Symbol" w:hAnsi="Symbol" w:cs="Symbol" w:hint="default"/>
        <w:rFonts w:cs="Symbol"/>
      </w:rPr>
    </w:lvl>
  </w:abstractNum>
  <w:abstractNum w:abstractNumId="4">
    <w:lvl w:ilvl="0">
      <w:start w:val="2"/>
      <w:numFmt w:val="decimal"/>
      <w:lvlText w:val="%1."/>
      <w:lvlJc w:val="left"/>
      <w:pPr>
        <w:ind w:left="3386" w:hanging="538"/>
      </w:pPr>
      <w:rPr>
        <w:sz w:val="20"/>
        <w:szCs w:val="20"/>
        <w:w w:val="100"/>
        <w:rFonts w:eastAsia="Times New Roman" w:cs="Times New Roman"/>
      </w:rPr>
    </w:lvl>
    <w:lvl w:ilvl="1">
      <w:start w:val="0"/>
      <w:numFmt w:val="bullet"/>
      <w:lvlText w:val=""/>
      <w:lvlJc w:val="left"/>
      <w:pPr>
        <w:ind w:left="4130" w:hanging="538"/>
      </w:pPr>
      <w:rPr>
        <w:rFonts w:ascii="Symbol" w:hAnsi="Symbol" w:cs="Symbol" w:hint="default"/>
        <w:rFonts w:cs="Symbol"/>
      </w:rPr>
    </w:lvl>
    <w:lvl w:ilvl="2">
      <w:start w:val="0"/>
      <w:numFmt w:val="bullet"/>
      <w:lvlText w:val=""/>
      <w:lvlJc w:val="left"/>
      <w:pPr>
        <w:ind w:left="4880" w:hanging="538"/>
      </w:pPr>
      <w:rPr>
        <w:rFonts w:ascii="Symbol" w:hAnsi="Symbol" w:cs="Symbol" w:hint="default"/>
        <w:rFonts w:cs="Symbol"/>
      </w:rPr>
    </w:lvl>
    <w:lvl w:ilvl="3">
      <w:start w:val="0"/>
      <w:numFmt w:val="bullet"/>
      <w:lvlText w:val=""/>
      <w:lvlJc w:val="left"/>
      <w:pPr>
        <w:ind w:left="5630" w:hanging="538"/>
      </w:pPr>
      <w:rPr>
        <w:rFonts w:ascii="Symbol" w:hAnsi="Symbol" w:cs="Symbol" w:hint="default"/>
        <w:rFonts w:cs="Symbol"/>
      </w:rPr>
    </w:lvl>
    <w:lvl w:ilvl="4">
      <w:start w:val="0"/>
      <w:numFmt w:val="bullet"/>
      <w:lvlText w:val=""/>
      <w:lvlJc w:val="left"/>
      <w:pPr>
        <w:ind w:left="6380" w:hanging="538"/>
      </w:pPr>
      <w:rPr>
        <w:rFonts w:ascii="Symbol" w:hAnsi="Symbol" w:cs="Symbol" w:hint="default"/>
        <w:rFonts w:cs="Symbol"/>
      </w:rPr>
    </w:lvl>
    <w:lvl w:ilvl="5">
      <w:start w:val="0"/>
      <w:numFmt w:val="bullet"/>
      <w:lvlText w:val=""/>
      <w:lvlJc w:val="left"/>
      <w:pPr>
        <w:ind w:left="7130" w:hanging="538"/>
      </w:pPr>
      <w:rPr>
        <w:rFonts w:ascii="Symbol" w:hAnsi="Symbol" w:cs="Symbol" w:hint="default"/>
        <w:rFonts w:cs="Symbol"/>
      </w:rPr>
    </w:lvl>
    <w:lvl w:ilvl="6">
      <w:start w:val="0"/>
      <w:numFmt w:val="bullet"/>
      <w:lvlText w:val=""/>
      <w:lvlJc w:val="left"/>
      <w:pPr>
        <w:ind w:left="7880" w:hanging="538"/>
      </w:pPr>
      <w:rPr>
        <w:rFonts w:ascii="Symbol" w:hAnsi="Symbol" w:cs="Symbol" w:hint="default"/>
        <w:rFonts w:cs="Symbol"/>
      </w:rPr>
    </w:lvl>
    <w:lvl w:ilvl="7">
      <w:start w:val="0"/>
      <w:numFmt w:val="bullet"/>
      <w:lvlText w:val=""/>
      <w:lvlJc w:val="left"/>
      <w:pPr>
        <w:ind w:left="8630" w:hanging="538"/>
      </w:pPr>
      <w:rPr>
        <w:rFonts w:ascii="Symbol" w:hAnsi="Symbol" w:cs="Symbol" w:hint="default"/>
        <w:rFonts w:cs="Symbol"/>
      </w:rPr>
    </w:lvl>
    <w:lvl w:ilvl="8">
      <w:start w:val="0"/>
      <w:numFmt w:val="bullet"/>
      <w:lvlText w:val=""/>
      <w:lvlJc w:val="left"/>
      <w:pPr>
        <w:ind w:left="9380" w:hanging="538"/>
      </w:pPr>
      <w:rPr>
        <w:rFonts w:ascii="Symbol" w:hAnsi="Symbol" w:cs="Symbol" w:hint="default"/>
        <w:rFonts w:cs="Symbol"/>
      </w:rPr>
    </w:lvl>
  </w:abstractNum>
  <w:abstractNum w:abstractNumId="5">
    <w:lvl w:ilvl="0">
      <w:start w:val="6"/>
      <w:numFmt w:val="decimal"/>
      <w:lvlText w:val="%1"/>
      <w:lvlJc w:val="left"/>
      <w:pPr>
        <w:ind w:left="900" w:hanging="504"/>
      </w:pPr>
    </w:lvl>
    <w:lvl w:ilvl="1">
      <w:start w:val="5"/>
      <w:numFmt w:val="decimal"/>
      <w:lvlText w:val="%1.%2"/>
      <w:lvlJc w:val="left"/>
      <w:pPr>
        <w:ind w:left="900" w:hanging="504"/>
      </w:pPr>
    </w:lvl>
    <w:lvl w:ilvl="2">
      <w:start w:val="5"/>
      <w:numFmt w:val="decimal"/>
      <w:lvlText w:val="%1.%2.%3."/>
      <w:lvlJc w:val="left"/>
      <w:pPr>
        <w:ind w:left="900" w:hanging="504"/>
      </w:pPr>
      <w:rPr>
        <w:sz w:val="20"/>
        <w:spacing w:val="-5"/>
        <w:b/>
        <w:szCs w:val="20"/>
        <w:bCs/>
        <w:w w:val="100"/>
        <w:rFonts w:eastAsia="Times New Roman" w:cs="Times New Roman"/>
      </w:rPr>
    </w:lvl>
    <w:lvl w:ilvl="3">
      <w:start w:val="0"/>
      <w:numFmt w:val="bullet"/>
      <w:lvlText w:val=""/>
      <w:lvlJc w:val="left"/>
      <w:pPr>
        <w:ind w:left="3894" w:hanging="504"/>
      </w:pPr>
      <w:rPr>
        <w:rFonts w:ascii="Symbol" w:hAnsi="Symbol" w:cs="Symbol" w:hint="default"/>
        <w:rFonts w:cs="Symbol"/>
      </w:rPr>
    </w:lvl>
    <w:lvl w:ilvl="4">
      <w:start w:val="0"/>
      <w:numFmt w:val="bullet"/>
      <w:lvlText w:val=""/>
      <w:lvlJc w:val="left"/>
      <w:pPr>
        <w:ind w:left="4892" w:hanging="504"/>
      </w:pPr>
      <w:rPr>
        <w:rFonts w:ascii="Symbol" w:hAnsi="Symbol" w:cs="Symbol" w:hint="default"/>
        <w:rFonts w:cs="Symbol"/>
      </w:rPr>
    </w:lvl>
    <w:lvl w:ilvl="5">
      <w:start w:val="0"/>
      <w:numFmt w:val="bullet"/>
      <w:lvlText w:val=""/>
      <w:lvlJc w:val="left"/>
      <w:pPr>
        <w:ind w:left="5890" w:hanging="504"/>
      </w:pPr>
      <w:rPr>
        <w:rFonts w:ascii="Symbol" w:hAnsi="Symbol" w:cs="Symbol" w:hint="default"/>
        <w:rFonts w:cs="Symbol"/>
      </w:rPr>
    </w:lvl>
    <w:lvl w:ilvl="6">
      <w:start w:val="0"/>
      <w:numFmt w:val="bullet"/>
      <w:lvlText w:val=""/>
      <w:lvlJc w:val="left"/>
      <w:pPr>
        <w:ind w:left="6888" w:hanging="504"/>
      </w:pPr>
      <w:rPr>
        <w:rFonts w:ascii="Symbol" w:hAnsi="Symbol" w:cs="Symbol" w:hint="default"/>
        <w:rFonts w:cs="Symbol"/>
      </w:rPr>
    </w:lvl>
    <w:lvl w:ilvl="7">
      <w:start w:val="0"/>
      <w:numFmt w:val="bullet"/>
      <w:lvlText w:val=""/>
      <w:lvlJc w:val="left"/>
      <w:pPr>
        <w:ind w:left="7886" w:hanging="504"/>
      </w:pPr>
      <w:rPr>
        <w:rFonts w:ascii="Symbol" w:hAnsi="Symbol" w:cs="Symbol" w:hint="default"/>
        <w:rFonts w:cs="Symbol"/>
      </w:rPr>
    </w:lvl>
    <w:lvl w:ilvl="8">
      <w:start w:val="0"/>
      <w:numFmt w:val="bullet"/>
      <w:lvlText w:val=""/>
      <w:lvlJc w:val="left"/>
      <w:pPr>
        <w:ind w:left="8884" w:hanging="504"/>
      </w:pPr>
      <w:rPr>
        <w:rFonts w:ascii="Symbol" w:hAnsi="Symbol" w:cs="Symbol" w:hint="default"/>
        <w:rFonts w:cs="Symbol"/>
      </w:rPr>
    </w:lvl>
  </w:abstractNum>
  <w:abstractNum w:abstractNumId="6">
    <w:lvl w:ilvl="0">
      <w:start w:val="1"/>
      <w:numFmt w:val="decimal"/>
      <w:lvlText w:val="%1."/>
      <w:lvlJc w:val="left"/>
      <w:pPr>
        <w:ind w:left="311" w:hanging="202"/>
      </w:pPr>
      <w:rPr>
        <w:sz w:val="20"/>
        <w:szCs w:val="20"/>
        <w:w w:val="100"/>
        <w:rFonts w:eastAsia="Times New Roman" w:cs="Times New Roman"/>
      </w:rPr>
    </w:lvl>
    <w:lvl w:ilvl="1">
      <w:start w:val="0"/>
      <w:numFmt w:val="bullet"/>
      <w:lvlText w:val="–"/>
      <w:lvlJc w:val="left"/>
      <w:pPr>
        <w:ind w:left="710" w:hanging="164"/>
      </w:pPr>
      <w:rPr>
        <w:rFonts w:ascii="Times New Roman" w:hAnsi="Times New Roman" w:cs="Times New Roman" w:hint="default"/>
        <w:sz w:val="20"/>
        <w:szCs w:val="20"/>
        <w:w w:val="100"/>
        <w:rFonts w:cs="Times New Roman"/>
      </w:rPr>
    </w:lvl>
    <w:lvl w:ilvl="2">
      <w:start w:val="0"/>
      <w:numFmt w:val="bullet"/>
      <w:lvlText w:val=""/>
      <w:lvlJc w:val="left"/>
      <w:pPr>
        <w:ind w:left="720" w:hanging="164"/>
      </w:pPr>
      <w:rPr>
        <w:rFonts w:ascii="Symbol" w:hAnsi="Symbol" w:cs="Symbol" w:hint="default"/>
        <w:rFonts w:cs="Symbol"/>
      </w:rPr>
    </w:lvl>
    <w:lvl w:ilvl="3">
      <w:start w:val="0"/>
      <w:numFmt w:val="bullet"/>
      <w:lvlText w:val=""/>
      <w:lvlJc w:val="left"/>
      <w:pPr>
        <w:ind w:left="1422" w:hanging="164"/>
      </w:pPr>
      <w:rPr>
        <w:rFonts w:ascii="Symbol" w:hAnsi="Symbol" w:cs="Symbol" w:hint="default"/>
        <w:rFonts w:cs="Symbol"/>
      </w:rPr>
    </w:lvl>
    <w:lvl w:ilvl="4">
      <w:start w:val="0"/>
      <w:numFmt w:val="bullet"/>
      <w:lvlText w:val=""/>
      <w:lvlJc w:val="left"/>
      <w:pPr>
        <w:ind w:left="2125" w:hanging="164"/>
      </w:pPr>
      <w:rPr>
        <w:rFonts w:ascii="Symbol" w:hAnsi="Symbol" w:cs="Symbol" w:hint="default"/>
        <w:rFonts w:cs="Symbol"/>
      </w:rPr>
    </w:lvl>
    <w:lvl w:ilvl="5">
      <w:start w:val="0"/>
      <w:numFmt w:val="bullet"/>
      <w:lvlText w:val=""/>
      <w:lvlJc w:val="left"/>
      <w:pPr>
        <w:ind w:left="2827" w:hanging="164"/>
      </w:pPr>
      <w:rPr>
        <w:rFonts w:ascii="Symbol" w:hAnsi="Symbol" w:cs="Symbol" w:hint="default"/>
        <w:rFonts w:cs="Symbol"/>
      </w:rPr>
    </w:lvl>
    <w:lvl w:ilvl="6">
      <w:start w:val="0"/>
      <w:numFmt w:val="bullet"/>
      <w:lvlText w:val=""/>
      <w:lvlJc w:val="left"/>
      <w:pPr>
        <w:ind w:left="3530" w:hanging="164"/>
      </w:pPr>
      <w:rPr>
        <w:rFonts w:ascii="Symbol" w:hAnsi="Symbol" w:cs="Symbol" w:hint="default"/>
        <w:rFonts w:cs="Symbol"/>
      </w:rPr>
    </w:lvl>
    <w:lvl w:ilvl="7">
      <w:start w:val="0"/>
      <w:numFmt w:val="bullet"/>
      <w:lvlText w:val=""/>
      <w:lvlJc w:val="left"/>
      <w:pPr>
        <w:ind w:left="4232" w:hanging="164"/>
      </w:pPr>
      <w:rPr>
        <w:rFonts w:ascii="Symbol" w:hAnsi="Symbol" w:cs="Symbol" w:hint="default"/>
        <w:rFonts w:cs="Symbol"/>
      </w:rPr>
    </w:lvl>
    <w:lvl w:ilvl="8">
      <w:start w:val="0"/>
      <w:numFmt w:val="bullet"/>
      <w:lvlText w:val=""/>
      <w:lvlJc w:val="left"/>
      <w:pPr>
        <w:ind w:left="4935" w:hanging="164"/>
      </w:pPr>
      <w:rPr>
        <w:rFonts w:ascii="Symbol" w:hAnsi="Symbol" w:cs="Symbol" w:hint="default"/>
        <w:rFonts w:cs="Symbol"/>
      </w:rPr>
    </w:lvl>
  </w:abstractNum>
  <w:abstractNum w:abstractNumId="7">
    <w:lvl w:ilvl="0">
      <w:start w:val="1"/>
      <w:numFmt w:val="bullet"/>
      <w:lvlText w:val="-"/>
      <w:lvlJc w:val="left"/>
      <w:pPr>
        <w:ind w:left="794" w:hanging="399"/>
      </w:pPr>
      <w:rPr>
        <w:rFonts w:ascii="Times New Roman" w:hAnsi="Times New Roman" w:cs="Times New Roman" w:hint="default"/>
        <w:sz w:val="20"/>
        <w:szCs w:val="20"/>
        <w:w w:val="100"/>
        <w:rFonts w:cs="Times New Roman"/>
      </w:rPr>
    </w:lvl>
    <w:lvl w:ilvl="1">
      <w:start w:val="0"/>
      <w:numFmt w:val="bullet"/>
      <w:lvlText w:val=""/>
      <w:lvlJc w:val="left"/>
      <w:pPr>
        <w:ind w:left="1808" w:hanging="399"/>
      </w:pPr>
      <w:rPr>
        <w:rFonts w:ascii="Symbol" w:hAnsi="Symbol" w:cs="Symbol" w:hint="default"/>
        <w:rFonts w:cs="Symbol"/>
      </w:rPr>
    </w:lvl>
    <w:lvl w:ilvl="2">
      <w:start w:val="0"/>
      <w:numFmt w:val="bullet"/>
      <w:lvlText w:val=""/>
      <w:lvlJc w:val="left"/>
      <w:pPr>
        <w:ind w:left="2816" w:hanging="399"/>
      </w:pPr>
      <w:rPr>
        <w:rFonts w:ascii="Symbol" w:hAnsi="Symbol" w:cs="Symbol" w:hint="default"/>
        <w:rFonts w:cs="Symbol"/>
      </w:rPr>
    </w:lvl>
    <w:lvl w:ilvl="3">
      <w:start w:val="0"/>
      <w:numFmt w:val="bullet"/>
      <w:lvlText w:val=""/>
      <w:lvlJc w:val="left"/>
      <w:pPr>
        <w:ind w:left="3824" w:hanging="399"/>
      </w:pPr>
      <w:rPr>
        <w:rFonts w:ascii="Symbol" w:hAnsi="Symbol" w:cs="Symbol" w:hint="default"/>
        <w:rFonts w:cs="Symbol"/>
      </w:rPr>
    </w:lvl>
    <w:lvl w:ilvl="4">
      <w:start w:val="0"/>
      <w:numFmt w:val="bullet"/>
      <w:lvlText w:val=""/>
      <w:lvlJc w:val="left"/>
      <w:pPr>
        <w:ind w:left="4832" w:hanging="399"/>
      </w:pPr>
      <w:rPr>
        <w:rFonts w:ascii="Symbol" w:hAnsi="Symbol" w:cs="Symbol" w:hint="default"/>
        <w:rFonts w:cs="Symbol"/>
      </w:rPr>
    </w:lvl>
    <w:lvl w:ilvl="5">
      <w:start w:val="0"/>
      <w:numFmt w:val="bullet"/>
      <w:lvlText w:val=""/>
      <w:lvlJc w:val="left"/>
      <w:pPr>
        <w:ind w:left="5840" w:hanging="399"/>
      </w:pPr>
      <w:rPr>
        <w:rFonts w:ascii="Symbol" w:hAnsi="Symbol" w:cs="Symbol" w:hint="default"/>
        <w:rFonts w:cs="Symbol"/>
      </w:rPr>
    </w:lvl>
    <w:lvl w:ilvl="6">
      <w:start w:val="0"/>
      <w:numFmt w:val="bullet"/>
      <w:lvlText w:val=""/>
      <w:lvlJc w:val="left"/>
      <w:pPr>
        <w:ind w:left="6848" w:hanging="399"/>
      </w:pPr>
      <w:rPr>
        <w:rFonts w:ascii="Symbol" w:hAnsi="Symbol" w:cs="Symbol" w:hint="default"/>
        <w:rFonts w:cs="Symbol"/>
      </w:rPr>
    </w:lvl>
    <w:lvl w:ilvl="7">
      <w:start w:val="0"/>
      <w:numFmt w:val="bullet"/>
      <w:lvlText w:val=""/>
      <w:lvlJc w:val="left"/>
      <w:pPr>
        <w:ind w:left="7856" w:hanging="399"/>
      </w:pPr>
      <w:rPr>
        <w:rFonts w:ascii="Symbol" w:hAnsi="Symbol" w:cs="Symbol" w:hint="default"/>
        <w:rFonts w:cs="Symbol"/>
      </w:rPr>
    </w:lvl>
    <w:lvl w:ilvl="8">
      <w:start w:val="0"/>
      <w:numFmt w:val="bullet"/>
      <w:lvlText w:val=""/>
      <w:lvlJc w:val="left"/>
      <w:pPr>
        <w:ind w:left="8864" w:hanging="399"/>
      </w:pPr>
      <w:rPr>
        <w:rFonts w:ascii="Symbol" w:hAnsi="Symbol" w:cs="Symbol" w:hint="default"/>
        <w:rFonts w:cs="Symbol"/>
      </w:rPr>
    </w:lvl>
  </w:abstractNum>
  <w:abstractNum w:abstractNumId="8">
    <w:lvl w:ilvl="0">
      <w:start w:val="6"/>
      <w:numFmt w:val="decimal"/>
      <w:lvlText w:val="%1"/>
      <w:lvlJc w:val="left"/>
      <w:pPr>
        <w:ind w:left="746" w:hanging="351"/>
      </w:pPr>
    </w:lvl>
    <w:lvl w:ilvl="1">
      <w:start w:val="5"/>
      <w:numFmt w:val="decimal"/>
      <w:lvlText w:val="%1.%2."/>
      <w:lvlJc w:val="left"/>
      <w:pPr>
        <w:ind w:left="746" w:hanging="351"/>
      </w:pPr>
      <w:rPr>
        <w:sz w:val="20"/>
        <w:spacing w:val="-5"/>
        <w:b/>
        <w:szCs w:val="20"/>
        <w:bCs/>
        <w:w w:val="100"/>
        <w:rFonts w:eastAsia="Times New Roman" w:cs="Times New Roman"/>
      </w:rPr>
    </w:lvl>
    <w:lvl w:ilvl="2">
      <w:start w:val="3"/>
      <w:numFmt w:val="decimal"/>
      <w:lvlText w:val="%1.%2.%3."/>
      <w:lvlJc w:val="left"/>
      <w:pPr>
        <w:ind w:left="900" w:hanging="504"/>
      </w:pPr>
      <w:rPr>
        <w:sz w:val="20"/>
        <w:spacing w:val="-5"/>
        <w:b/>
        <w:szCs w:val="20"/>
        <w:bCs/>
        <w:w w:val="100"/>
        <w:rFonts w:eastAsia="Times New Roman" w:cs="Times New Roman"/>
      </w:rPr>
    </w:lvl>
    <w:lvl w:ilvl="3">
      <w:start w:val="1"/>
      <w:numFmt w:val="decimal"/>
      <w:lvlText w:val="%1.%2.%3.%4."/>
      <w:lvlJc w:val="left"/>
      <w:pPr>
        <w:ind w:left="1048" w:hanging="653"/>
      </w:pPr>
      <w:rPr>
        <w:sz w:val="20"/>
        <w:spacing w:val="-5"/>
        <w:szCs w:val="20"/>
        <w:w w:val="100"/>
        <w:rFonts w:eastAsia="Times New Roman" w:cs="Times New Roman"/>
      </w:rPr>
    </w:lvl>
    <w:lvl w:ilvl="4">
      <w:start w:val="0"/>
      <w:numFmt w:val="bullet"/>
      <w:lvlText w:val=""/>
      <w:lvlJc w:val="left"/>
      <w:pPr>
        <w:ind w:left="3500" w:hanging="653"/>
      </w:pPr>
      <w:rPr>
        <w:rFonts w:ascii="Symbol" w:hAnsi="Symbol" w:cs="Symbol" w:hint="default"/>
        <w:rFonts w:cs="Symbol"/>
      </w:rPr>
    </w:lvl>
    <w:lvl w:ilvl="5">
      <w:start w:val="0"/>
      <w:numFmt w:val="bullet"/>
      <w:lvlText w:val=""/>
      <w:lvlJc w:val="left"/>
      <w:pPr>
        <w:ind w:left="4730" w:hanging="653"/>
      </w:pPr>
      <w:rPr>
        <w:rFonts w:ascii="Symbol" w:hAnsi="Symbol" w:cs="Symbol" w:hint="default"/>
        <w:rFonts w:cs="Symbol"/>
      </w:rPr>
    </w:lvl>
    <w:lvl w:ilvl="6">
      <w:start w:val="0"/>
      <w:numFmt w:val="bullet"/>
      <w:lvlText w:val=""/>
      <w:lvlJc w:val="left"/>
      <w:pPr>
        <w:ind w:left="5960" w:hanging="653"/>
      </w:pPr>
      <w:rPr>
        <w:rFonts w:ascii="Symbol" w:hAnsi="Symbol" w:cs="Symbol" w:hint="default"/>
        <w:rFonts w:cs="Symbol"/>
      </w:rPr>
    </w:lvl>
    <w:lvl w:ilvl="7">
      <w:start w:val="0"/>
      <w:numFmt w:val="bullet"/>
      <w:lvlText w:val=""/>
      <w:lvlJc w:val="left"/>
      <w:pPr>
        <w:ind w:left="7190" w:hanging="653"/>
      </w:pPr>
      <w:rPr>
        <w:rFonts w:ascii="Symbol" w:hAnsi="Symbol" w:cs="Symbol" w:hint="default"/>
        <w:rFonts w:cs="Symbol"/>
      </w:rPr>
    </w:lvl>
    <w:lvl w:ilvl="8">
      <w:start w:val="0"/>
      <w:numFmt w:val="bullet"/>
      <w:lvlText w:val=""/>
      <w:lvlJc w:val="left"/>
      <w:pPr>
        <w:ind w:left="8420" w:hanging="653"/>
      </w:pPr>
      <w:rPr>
        <w:rFonts w:ascii="Symbol" w:hAnsi="Symbol" w:cs="Symbol" w:hint="default"/>
        <w:rFonts w:cs="Symbol"/>
      </w:rPr>
    </w:lvl>
  </w:abstractNum>
  <w:abstractNum w:abstractNumId="9">
    <w:lvl w:ilvl="0">
      <w:start w:val="1"/>
      <w:numFmt w:val="bullet"/>
      <w:lvlText w:val=""/>
      <w:lvlJc w:val="left"/>
      <w:pPr>
        <w:ind w:left="679" w:hanging="284"/>
      </w:pPr>
      <w:rPr>
        <w:rFonts w:ascii="Symbol" w:hAnsi="Symbol" w:cs="Symbol" w:hint="default"/>
        <w:sz w:val="20"/>
        <w:szCs w:val="20"/>
        <w:w w:val="100"/>
        <w:rFonts w:cs="Symbol"/>
      </w:rPr>
    </w:lvl>
    <w:lvl w:ilvl="1">
      <w:start w:val="0"/>
      <w:numFmt w:val="bullet"/>
      <w:lvlText w:val=""/>
      <w:lvlJc w:val="left"/>
      <w:pPr>
        <w:ind w:left="1700" w:hanging="284"/>
      </w:pPr>
      <w:rPr>
        <w:rFonts w:ascii="Symbol" w:hAnsi="Symbol" w:cs="Symbol" w:hint="default"/>
        <w:rFonts w:cs="Symbol"/>
      </w:rPr>
    </w:lvl>
    <w:lvl w:ilvl="2">
      <w:start w:val="0"/>
      <w:numFmt w:val="bullet"/>
      <w:lvlText w:val=""/>
      <w:lvlJc w:val="left"/>
      <w:pPr>
        <w:ind w:left="2720" w:hanging="284"/>
      </w:pPr>
      <w:rPr>
        <w:rFonts w:ascii="Symbol" w:hAnsi="Symbol" w:cs="Symbol" w:hint="default"/>
        <w:rFonts w:cs="Symbol"/>
      </w:rPr>
    </w:lvl>
    <w:lvl w:ilvl="3">
      <w:start w:val="0"/>
      <w:numFmt w:val="bullet"/>
      <w:lvlText w:val=""/>
      <w:lvlJc w:val="left"/>
      <w:pPr>
        <w:ind w:left="3740" w:hanging="284"/>
      </w:pPr>
      <w:rPr>
        <w:rFonts w:ascii="Symbol" w:hAnsi="Symbol" w:cs="Symbol" w:hint="default"/>
        <w:rFonts w:cs="Symbol"/>
      </w:rPr>
    </w:lvl>
    <w:lvl w:ilvl="4">
      <w:start w:val="0"/>
      <w:numFmt w:val="bullet"/>
      <w:lvlText w:val=""/>
      <w:lvlJc w:val="left"/>
      <w:pPr>
        <w:ind w:left="4760" w:hanging="284"/>
      </w:pPr>
      <w:rPr>
        <w:rFonts w:ascii="Symbol" w:hAnsi="Symbol" w:cs="Symbol" w:hint="default"/>
        <w:rFonts w:cs="Symbol"/>
      </w:rPr>
    </w:lvl>
    <w:lvl w:ilvl="5">
      <w:start w:val="0"/>
      <w:numFmt w:val="bullet"/>
      <w:lvlText w:val=""/>
      <w:lvlJc w:val="left"/>
      <w:pPr>
        <w:ind w:left="5780" w:hanging="284"/>
      </w:pPr>
      <w:rPr>
        <w:rFonts w:ascii="Symbol" w:hAnsi="Symbol" w:cs="Symbol" w:hint="default"/>
        <w:rFonts w:cs="Symbol"/>
      </w:rPr>
    </w:lvl>
    <w:lvl w:ilvl="6">
      <w:start w:val="0"/>
      <w:numFmt w:val="bullet"/>
      <w:lvlText w:val=""/>
      <w:lvlJc w:val="left"/>
      <w:pPr>
        <w:ind w:left="6800" w:hanging="284"/>
      </w:pPr>
      <w:rPr>
        <w:rFonts w:ascii="Symbol" w:hAnsi="Symbol" w:cs="Symbol" w:hint="default"/>
        <w:rFonts w:cs="Symbol"/>
      </w:rPr>
    </w:lvl>
    <w:lvl w:ilvl="7">
      <w:start w:val="0"/>
      <w:numFmt w:val="bullet"/>
      <w:lvlText w:val=""/>
      <w:lvlJc w:val="left"/>
      <w:pPr>
        <w:ind w:left="7820" w:hanging="284"/>
      </w:pPr>
      <w:rPr>
        <w:rFonts w:ascii="Symbol" w:hAnsi="Symbol" w:cs="Symbol" w:hint="default"/>
        <w:rFonts w:cs="Symbol"/>
      </w:rPr>
    </w:lvl>
    <w:lvl w:ilvl="8">
      <w:start w:val="0"/>
      <w:numFmt w:val="bullet"/>
      <w:lvlText w:val=""/>
      <w:lvlJc w:val="left"/>
      <w:pPr>
        <w:ind w:left="8840" w:hanging="284"/>
      </w:pPr>
      <w:rPr>
        <w:rFonts w:ascii="Symbol" w:hAnsi="Symbol" w:cs="Symbol" w:hint="default"/>
        <w:rFonts w:cs="Symbol"/>
      </w:rPr>
    </w:lvl>
  </w:abstractNum>
  <w:abstractNum w:abstractNumId="10">
    <w:lvl w:ilvl="0">
      <w:start w:val="5"/>
      <w:numFmt w:val="decimal"/>
      <w:lvlText w:val="%1"/>
      <w:lvlJc w:val="left"/>
      <w:pPr>
        <w:ind w:left="746" w:hanging="351"/>
      </w:pPr>
    </w:lvl>
    <w:lvl w:ilvl="1">
      <w:start w:val="8"/>
      <w:numFmt w:val="decimal"/>
      <w:lvlText w:val="%1.%2."/>
      <w:lvlJc w:val="left"/>
      <w:pPr>
        <w:ind w:left="746" w:hanging="351"/>
      </w:pPr>
      <w:rPr>
        <w:sz w:val="20"/>
        <w:spacing w:val="-5"/>
        <w:b/>
        <w:szCs w:val="20"/>
        <w:bCs/>
        <w:w w:val="100"/>
        <w:rFonts w:eastAsia="Times New Roman" w:cs="Times New Roman"/>
      </w:rPr>
    </w:lvl>
    <w:lvl w:ilvl="2">
      <w:start w:val="0"/>
      <w:numFmt w:val="bullet"/>
      <w:lvlText w:val=""/>
      <w:lvlJc w:val="left"/>
      <w:pPr>
        <w:ind w:left="2768" w:hanging="351"/>
      </w:pPr>
      <w:rPr>
        <w:rFonts w:ascii="Symbol" w:hAnsi="Symbol" w:cs="Symbol" w:hint="default"/>
        <w:rFonts w:cs="Symbol"/>
      </w:rPr>
    </w:lvl>
    <w:lvl w:ilvl="3">
      <w:start w:val="0"/>
      <w:numFmt w:val="bullet"/>
      <w:lvlText w:val=""/>
      <w:lvlJc w:val="left"/>
      <w:pPr>
        <w:ind w:left="3782" w:hanging="351"/>
      </w:pPr>
      <w:rPr>
        <w:rFonts w:ascii="Symbol" w:hAnsi="Symbol" w:cs="Symbol" w:hint="default"/>
        <w:rFonts w:cs="Symbol"/>
      </w:rPr>
    </w:lvl>
    <w:lvl w:ilvl="4">
      <w:start w:val="0"/>
      <w:numFmt w:val="bullet"/>
      <w:lvlText w:val=""/>
      <w:lvlJc w:val="left"/>
      <w:pPr>
        <w:ind w:left="4796" w:hanging="351"/>
      </w:pPr>
      <w:rPr>
        <w:rFonts w:ascii="Symbol" w:hAnsi="Symbol" w:cs="Symbol" w:hint="default"/>
        <w:rFonts w:cs="Symbol"/>
      </w:rPr>
    </w:lvl>
    <w:lvl w:ilvl="5">
      <w:start w:val="0"/>
      <w:numFmt w:val="bullet"/>
      <w:lvlText w:val=""/>
      <w:lvlJc w:val="left"/>
      <w:pPr>
        <w:ind w:left="5810" w:hanging="351"/>
      </w:pPr>
      <w:rPr>
        <w:rFonts w:ascii="Symbol" w:hAnsi="Symbol" w:cs="Symbol" w:hint="default"/>
        <w:rFonts w:cs="Symbol"/>
      </w:rPr>
    </w:lvl>
    <w:lvl w:ilvl="6">
      <w:start w:val="0"/>
      <w:numFmt w:val="bullet"/>
      <w:lvlText w:val=""/>
      <w:lvlJc w:val="left"/>
      <w:pPr>
        <w:ind w:left="6824" w:hanging="351"/>
      </w:pPr>
      <w:rPr>
        <w:rFonts w:ascii="Symbol" w:hAnsi="Symbol" w:cs="Symbol" w:hint="default"/>
        <w:rFonts w:cs="Symbol"/>
      </w:rPr>
    </w:lvl>
    <w:lvl w:ilvl="7">
      <w:start w:val="0"/>
      <w:numFmt w:val="bullet"/>
      <w:lvlText w:val=""/>
      <w:lvlJc w:val="left"/>
      <w:pPr>
        <w:ind w:left="7838" w:hanging="351"/>
      </w:pPr>
      <w:rPr>
        <w:rFonts w:ascii="Symbol" w:hAnsi="Symbol" w:cs="Symbol" w:hint="default"/>
        <w:rFonts w:cs="Symbol"/>
      </w:rPr>
    </w:lvl>
    <w:lvl w:ilvl="8">
      <w:start w:val="0"/>
      <w:numFmt w:val="bullet"/>
      <w:lvlText w:val=""/>
      <w:lvlJc w:val="left"/>
      <w:pPr>
        <w:ind w:left="8852" w:hanging="351"/>
      </w:pPr>
      <w:rPr>
        <w:rFonts w:ascii="Symbol" w:hAnsi="Symbol" w:cs="Symbol" w:hint="default"/>
        <w:rFonts w:cs="Symbol"/>
      </w:rPr>
    </w:lvl>
  </w:abstractNum>
  <w:abstractNum w:abstractNumId="11">
    <w:lvl w:ilvl="0">
      <w:start w:val="1"/>
      <w:numFmt w:val="bullet"/>
      <w:lvlText w:val="–"/>
      <w:lvlJc w:val="left"/>
      <w:pPr>
        <w:ind w:left="823" w:hanging="360"/>
      </w:pPr>
      <w:rPr>
        <w:rFonts w:ascii="Times New Roman" w:hAnsi="Times New Roman" w:cs="Times New Roman" w:hint="default"/>
        <w:sz w:val="20"/>
        <w:szCs w:val="16"/>
        <w:w w:val="98"/>
        <w:rFonts w:cs="Times New Roman"/>
      </w:rPr>
    </w:lvl>
    <w:lvl w:ilvl="1">
      <w:start w:val="0"/>
      <w:numFmt w:val="bullet"/>
      <w:lvlText w:val=""/>
      <w:lvlJc w:val="left"/>
      <w:pPr>
        <w:ind w:left="1826" w:hanging="360"/>
      </w:pPr>
      <w:rPr>
        <w:rFonts w:ascii="Symbol" w:hAnsi="Symbol" w:cs="Symbol" w:hint="default"/>
        <w:rFonts w:cs="Symbol"/>
      </w:rPr>
    </w:lvl>
    <w:lvl w:ilvl="2">
      <w:start w:val="0"/>
      <w:numFmt w:val="bullet"/>
      <w:lvlText w:val=""/>
      <w:lvlJc w:val="left"/>
      <w:pPr>
        <w:ind w:left="2832" w:hanging="360"/>
      </w:pPr>
      <w:rPr>
        <w:rFonts w:ascii="Symbol" w:hAnsi="Symbol" w:cs="Symbol" w:hint="default"/>
        <w:rFonts w:cs="Symbol"/>
      </w:rPr>
    </w:lvl>
    <w:lvl w:ilvl="3">
      <w:start w:val="0"/>
      <w:numFmt w:val="bullet"/>
      <w:lvlText w:val=""/>
      <w:lvlJc w:val="left"/>
      <w:pPr>
        <w:ind w:left="3838" w:hanging="360"/>
      </w:pPr>
      <w:rPr>
        <w:rFonts w:ascii="Symbol" w:hAnsi="Symbol" w:cs="Symbol" w:hint="default"/>
        <w:rFonts w:cs="Symbol"/>
      </w:rPr>
    </w:lvl>
    <w:lvl w:ilvl="4">
      <w:start w:val="0"/>
      <w:numFmt w:val="bullet"/>
      <w:lvlText w:val=""/>
      <w:lvlJc w:val="left"/>
      <w:pPr>
        <w:ind w:left="4844" w:hanging="360"/>
      </w:pPr>
      <w:rPr>
        <w:rFonts w:ascii="Symbol" w:hAnsi="Symbol" w:cs="Symbol" w:hint="default"/>
        <w:rFonts w:cs="Symbol"/>
      </w:rPr>
    </w:lvl>
    <w:lvl w:ilvl="5">
      <w:start w:val="0"/>
      <w:numFmt w:val="bullet"/>
      <w:lvlText w:val=""/>
      <w:lvlJc w:val="left"/>
      <w:pPr>
        <w:ind w:left="5850" w:hanging="360"/>
      </w:pPr>
      <w:rPr>
        <w:rFonts w:ascii="Symbol" w:hAnsi="Symbol" w:cs="Symbol" w:hint="default"/>
        <w:rFonts w:cs="Symbol"/>
      </w:rPr>
    </w:lvl>
    <w:lvl w:ilvl="6">
      <w:start w:val="0"/>
      <w:numFmt w:val="bullet"/>
      <w:lvlText w:val=""/>
      <w:lvlJc w:val="left"/>
      <w:pPr>
        <w:ind w:left="6856" w:hanging="360"/>
      </w:pPr>
      <w:rPr>
        <w:rFonts w:ascii="Symbol" w:hAnsi="Symbol" w:cs="Symbol" w:hint="default"/>
        <w:rFonts w:cs="Symbol"/>
      </w:rPr>
    </w:lvl>
    <w:lvl w:ilvl="7">
      <w:start w:val="0"/>
      <w:numFmt w:val="bullet"/>
      <w:lvlText w:val=""/>
      <w:lvlJc w:val="left"/>
      <w:pPr>
        <w:ind w:left="7862" w:hanging="360"/>
      </w:pPr>
      <w:rPr>
        <w:rFonts w:ascii="Symbol" w:hAnsi="Symbol" w:cs="Symbol" w:hint="default"/>
        <w:rFonts w:cs="Symbol"/>
      </w:rPr>
    </w:lvl>
    <w:lvl w:ilvl="8">
      <w:start w:val="0"/>
      <w:numFmt w:val="bullet"/>
      <w:lvlText w:val=""/>
      <w:lvlJc w:val="left"/>
      <w:pPr>
        <w:ind w:left="8868" w:hanging="360"/>
      </w:pPr>
      <w:rPr>
        <w:rFonts w:ascii="Symbol" w:hAnsi="Symbol" w:cs="Symbol" w:hint="default"/>
        <w:rFonts w:cs="Symbol"/>
      </w:rPr>
    </w:lvl>
  </w:abstractNum>
  <w:abstractNum w:abstractNumId="12">
    <w:lvl w:ilvl="0">
      <w:start w:val="1"/>
      <w:numFmt w:val="lowerLetter"/>
      <w:lvlText w:val="%1)"/>
      <w:lvlJc w:val="left"/>
      <w:pPr>
        <w:ind w:left="756" w:hanging="360"/>
      </w:pPr>
      <w:rPr>
        <w:sz w:val="20"/>
        <w:spacing w:val="0"/>
        <w:szCs w:val="20"/>
        <w:w w:val="100"/>
        <w:rFonts w:eastAsia="Times New Roman" w:cs="Times New Roman"/>
      </w:rPr>
    </w:lvl>
    <w:lvl w:ilvl="1">
      <w:start w:val="0"/>
      <w:numFmt w:val="bullet"/>
      <w:lvlText w:val=""/>
      <w:lvlJc w:val="left"/>
      <w:pPr>
        <w:ind w:left="1772" w:hanging="360"/>
      </w:pPr>
      <w:rPr>
        <w:rFonts w:ascii="Symbol" w:hAnsi="Symbol" w:cs="Symbol" w:hint="default"/>
        <w:rFonts w:cs="Symbol"/>
      </w:rPr>
    </w:lvl>
    <w:lvl w:ilvl="2">
      <w:start w:val="0"/>
      <w:numFmt w:val="bullet"/>
      <w:lvlText w:val=""/>
      <w:lvlJc w:val="left"/>
      <w:pPr>
        <w:ind w:left="2784" w:hanging="360"/>
      </w:pPr>
      <w:rPr>
        <w:rFonts w:ascii="Symbol" w:hAnsi="Symbol" w:cs="Symbol" w:hint="default"/>
        <w:rFonts w:cs="Symbol"/>
      </w:rPr>
    </w:lvl>
    <w:lvl w:ilvl="3">
      <w:start w:val="0"/>
      <w:numFmt w:val="bullet"/>
      <w:lvlText w:val=""/>
      <w:lvlJc w:val="left"/>
      <w:pPr>
        <w:ind w:left="3796" w:hanging="360"/>
      </w:pPr>
      <w:rPr>
        <w:rFonts w:ascii="Symbol" w:hAnsi="Symbol" w:cs="Symbol" w:hint="default"/>
        <w:rFonts w:cs="Symbol"/>
      </w:rPr>
    </w:lvl>
    <w:lvl w:ilvl="4">
      <w:start w:val="0"/>
      <w:numFmt w:val="bullet"/>
      <w:lvlText w:val=""/>
      <w:lvlJc w:val="left"/>
      <w:pPr>
        <w:ind w:left="4808" w:hanging="360"/>
      </w:pPr>
      <w:rPr>
        <w:rFonts w:ascii="Symbol" w:hAnsi="Symbol" w:cs="Symbol" w:hint="default"/>
        <w:rFonts w:cs="Symbol"/>
      </w:rPr>
    </w:lvl>
    <w:lvl w:ilvl="5">
      <w:start w:val="0"/>
      <w:numFmt w:val="bullet"/>
      <w:lvlText w:val=""/>
      <w:lvlJc w:val="left"/>
      <w:pPr>
        <w:ind w:left="5820" w:hanging="360"/>
      </w:pPr>
      <w:rPr>
        <w:rFonts w:ascii="Symbol" w:hAnsi="Symbol" w:cs="Symbol" w:hint="default"/>
        <w:rFonts w:cs="Symbol"/>
      </w:rPr>
    </w:lvl>
    <w:lvl w:ilvl="6">
      <w:start w:val="0"/>
      <w:numFmt w:val="bullet"/>
      <w:lvlText w:val=""/>
      <w:lvlJc w:val="left"/>
      <w:pPr>
        <w:ind w:left="6832" w:hanging="360"/>
      </w:pPr>
      <w:rPr>
        <w:rFonts w:ascii="Symbol" w:hAnsi="Symbol" w:cs="Symbol" w:hint="default"/>
        <w:rFonts w:cs="Symbol"/>
      </w:rPr>
    </w:lvl>
    <w:lvl w:ilvl="7">
      <w:start w:val="0"/>
      <w:numFmt w:val="bullet"/>
      <w:lvlText w:val=""/>
      <w:lvlJc w:val="left"/>
      <w:pPr>
        <w:ind w:left="7844" w:hanging="360"/>
      </w:pPr>
      <w:rPr>
        <w:rFonts w:ascii="Symbol" w:hAnsi="Symbol" w:cs="Symbol" w:hint="default"/>
        <w:rFonts w:cs="Symbol"/>
      </w:rPr>
    </w:lvl>
    <w:lvl w:ilvl="8">
      <w:start w:val="0"/>
      <w:numFmt w:val="bullet"/>
      <w:lvlText w:val=""/>
      <w:lvlJc w:val="left"/>
      <w:pPr>
        <w:ind w:left="8856" w:hanging="360"/>
      </w:pPr>
      <w:rPr>
        <w:rFonts w:ascii="Symbol" w:hAnsi="Symbol" w:cs="Symbol" w:hint="default"/>
        <w:rFonts w:cs="Symbol"/>
      </w:rPr>
    </w:lvl>
  </w:abstractNum>
  <w:abstractNum w:abstractNumId="13">
    <w:lvl w:ilvl="0">
      <w:start w:val="1"/>
      <w:numFmt w:val="bullet"/>
      <w:lvlText w:val=""/>
      <w:lvlJc w:val="left"/>
      <w:pPr>
        <w:ind w:left="823" w:hanging="360"/>
      </w:pPr>
      <w:rPr>
        <w:rFonts w:ascii="Symbol" w:hAnsi="Symbol" w:cs="Symbol" w:hint="default"/>
        <w:sz w:val="20"/>
        <w:w w:val="98"/>
        <w:rFonts w:cs="Symbol"/>
      </w:rPr>
    </w:lvl>
    <w:lvl w:ilvl="1">
      <w:start w:val="0"/>
      <w:numFmt w:val="bullet"/>
      <w:lvlText w:val=""/>
      <w:lvlJc w:val="left"/>
      <w:pPr>
        <w:ind w:left="1826" w:hanging="360"/>
      </w:pPr>
      <w:rPr>
        <w:rFonts w:ascii="Symbol" w:hAnsi="Symbol" w:cs="Symbol" w:hint="default"/>
        <w:rFonts w:cs="Symbol"/>
      </w:rPr>
    </w:lvl>
    <w:lvl w:ilvl="2">
      <w:start w:val="0"/>
      <w:numFmt w:val="bullet"/>
      <w:lvlText w:val=""/>
      <w:lvlJc w:val="left"/>
      <w:pPr>
        <w:ind w:left="2832" w:hanging="360"/>
      </w:pPr>
      <w:rPr>
        <w:rFonts w:ascii="Symbol" w:hAnsi="Symbol" w:cs="Symbol" w:hint="default"/>
        <w:rFonts w:cs="Symbol"/>
      </w:rPr>
    </w:lvl>
    <w:lvl w:ilvl="3">
      <w:start w:val="0"/>
      <w:numFmt w:val="bullet"/>
      <w:lvlText w:val=""/>
      <w:lvlJc w:val="left"/>
      <w:pPr>
        <w:ind w:left="3838" w:hanging="360"/>
      </w:pPr>
      <w:rPr>
        <w:rFonts w:ascii="Symbol" w:hAnsi="Symbol" w:cs="Symbol" w:hint="default"/>
        <w:rFonts w:cs="Symbol"/>
      </w:rPr>
    </w:lvl>
    <w:lvl w:ilvl="4">
      <w:start w:val="0"/>
      <w:numFmt w:val="bullet"/>
      <w:lvlText w:val=""/>
      <w:lvlJc w:val="left"/>
      <w:pPr>
        <w:ind w:left="4844" w:hanging="360"/>
      </w:pPr>
      <w:rPr>
        <w:rFonts w:ascii="Symbol" w:hAnsi="Symbol" w:cs="Symbol" w:hint="default"/>
        <w:rFonts w:cs="Symbol"/>
      </w:rPr>
    </w:lvl>
    <w:lvl w:ilvl="5">
      <w:start w:val="0"/>
      <w:numFmt w:val="bullet"/>
      <w:lvlText w:val=""/>
      <w:lvlJc w:val="left"/>
      <w:pPr>
        <w:ind w:left="5850" w:hanging="360"/>
      </w:pPr>
      <w:rPr>
        <w:rFonts w:ascii="Symbol" w:hAnsi="Symbol" w:cs="Symbol" w:hint="default"/>
        <w:rFonts w:cs="Symbol"/>
      </w:rPr>
    </w:lvl>
    <w:lvl w:ilvl="6">
      <w:start w:val="0"/>
      <w:numFmt w:val="bullet"/>
      <w:lvlText w:val=""/>
      <w:lvlJc w:val="left"/>
      <w:pPr>
        <w:ind w:left="6856" w:hanging="360"/>
      </w:pPr>
      <w:rPr>
        <w:rFonts w:ascii="Symbol" w:hAnsi="Symbol" w:cs="Symbol" w:hint="default"/>
        <w:rFonts w:cs="Symbol"/>
      </w:rPr>
    </w:lvl>
    <w:lvl w:ilvl="7">
      <w:start w:val="0"/>
      <w:numFmt w:val="bullet"/>
      <w:lvlText w:val=""/>
      <w:lvlJc w:val="left"/>
      <w:pPr>
        <w:ind w:left="7862" w:hanging="360"/>
      </w:pPr>
      <w:rPr>
        <w:rFonts w:ascii="Symbol" w:hAnsi="Symbol" w:cs="Symbol" w:hint="default"/>
        <w:rFonts w:cs="Symbol"/>
      </w:rPr>
    </w:lvl>
    <w:lvl w:ilvl="8">
      <w:start w:val="0"/>
      <w:numFmt w:val="bullet"/>
      <w:lvlText w:val=""/>
      <w:lvlJc w:val="left"/>
      <w:pPr>
        <w:ind w:left="8868" w:hanging="360"/>
      </w:pPr>
      <w:rPr>
        <w:rFonts w:ascii="Symbol" w:hAnsi="Symbol" w:cs="Symbol" w:hint="default"/>
        <w:rFonts w:cs="Symbol"/>
      </w:rPr>
    </w:lvl>
  </w:abstractNum>
  <w:abstractNum w:abstractNumId="14">
    <w:lvl w:ilvl="0">
      <w:start w:val="1"/>
      <w:numFmt w:val="bullet"/>
      <w:lvlText w:val=""/>
      <w:lvlJc w:val="left"/>
      <w:pPr>
        <w:ind w:left="756" w:hanging="284"/>
      </w:pPr>
      <w:rPr>
        <w:rFonts w:ascii="Symbol" w:hAnsi="Symbol" w:cs="Symbol" w:hint="default"/>
        <w:sz w:val="20"/>
        <w:w w:val="100"/>
        <w:rFonts w:cs="Symbol"/>
      </w:rPr>
    </w:lvl>
    <w:lvl w:ilvl="1">
      <w:start w:val="0"/>
      <w:numFmt w:val="bullet"/>
      <w:lvlText w:val="–"/>
      <w:lvlJc w:val="left"/>
      <w:pPr>
        <w:ind w:left="1106" w:hanging="351"/>
      </w:pPr>
      <w:rPr>
        <w:rFonts w:ascii="Times New Roman" w:hAnsi="Times New Roman" w:cs="Times New Roman" w:hint="default"/>
        <w:sz w:val="20"/>
        <w:szCs w:val="20"/>
        <w:w w:val="100"/>
        <w:rFonts w:cs="Times New Roman"/>
      </w:rPr>
    </w:lvl>
    <w:lvl w:ilvl="2">
      <w:start w:val="0"/>
      <w:numFmt w:val="bullet"/>
      <w:lvlText w:val=""/>
      <w:lvlJc w:val="left"/>
      <w:pPr>
        <w:ind w:left="2186" w:hanging="351"/>
      </w:pPr>
      <w:rPr>
        <w:rFonts w:ascii="Symbol" w:hAnsi="Symbol" w:cs="Symbol" w:hint="default"/>
        <w:rFonts w:cs="Symbol"/>
      </w:rPr>
    </w:lvl>
    <w:lvl w:ilvl="3">
      <w:start w:val="0"/>
      <w:numFmt w:val="bullet"/>
      <w:lvlText w:val=""/>
      <w:lvlJc w:val="left"/>
      <w:pPr>
        <w:ind w:left="3273" w:hanging="351"/>
      </w:pPr>
      <w:rPr>
        <w:rFonts w:ascii="Symbol" w:hAnsi="Symbol" w:cs="Symbol" w:hint="default"/>
        <w:rFonts w:cs="Symbol"/>
      </w:rPr>
    </w:lvl>
    <w:lvl w:ilvl="4">
      <w:start w:val="0"/>
      <w:numFmt w:val="bullet"/>
      <w:lvlText w:val=""/>
      <w:lvlJc w:val="left"/>
      <w:pPr>
        <w:ind w:left="4360" w:hanging="351"/>
      </w:pPr>
      <w:rPr>
        <w:rFonts w:ascii="Symbol" w:hAnsi="Symbol" w:cs="Symbol" w:hint="default"/>
        <w:rFonts w:cs="Symbol"/>
      </w:rPr>
    </w:lvl>
    <w:lvl w:ilvl="5">
      <w:start w:val="0"/>
      <w:numFmt w:val="bullet"/>
      <w:lvlText w:val=""/>
      <w:lvlJc w:val="left"/>
      <w:pPr>
        <w:ind w:left="5446" w:hanging="351"/>
      </w:pPr>
      <w:rPr>
        <w:rFonts w:ascii="Symbol" w:hAnsi="Symbol" w:cs="Symbol" w:hint="default"/>
        <w:rFonts w:cs="Symbol"/>
      </w:rPr>
    </w:lvl>
    <w:lvl w:ilvl="6">
      <w:start w:val="0"/>
      <w:numFmt w:val="bullet"/>
      <w:lvlText w:val=""/>
      <w:lvlJc w:val="left"/>
      <w:pPr>
        <w:ind w:left="6533" w:hanging="351"/>
      </w:pPr>
      <w:rPr>
        <w:rFonts w:ascii="Symbol" w:hAnsi="Symbol" w:cs="Symbol" w:hint="default"/>
        <w:rFonts w:cs="Symbol"/>
      </w:rPr>
    </w:lvl>
    <w:lvl w:ilvl="7">
      <w:start w:val="0"/>
      <w:numFmt w:val="bullet"/>
      <w:lvlText w:val=""/>
      <w:lvlJc w:val="left"/>
      <w:pPr>
        <w:ind w:left="7620" w:hanging="351"/>
      </w:pPr>
      <w:rPr>
        <w:rFonts w:ascii="Symbol" w:hAnsi="Symbol" w:cs="Symbol" w:hint="default"/>
        <w:rFonts w:cs="Symbol"/>
      </w:rPr>
    </w:lvl>
    <w:lvl w:ilvl="8">
      <w:start w:val="0"/>
      <w:numFmt w:val="bullet"/>
      <w:lvlText w:val=""/>
      <w:lvlJc w:val="left"/>
      <w:pPr>
        <w:ind w:left="8706" w:hanging="351"/>
      </w:pPr>
      <w:rPr>
        <w:rFonts w:ascii="Symbol" w:hAnsi="Symbol" w:cs="Symbol" w:hint="default"/>
        <w:rFonts w:cs="Symbol"/>
      </w:rPr>
    </w:lvl>
  </w:abstractNum>
  <w:abstractNum w:abstractNumId="15">
    <w:lvl w:ilvl="0">
      <w:start w:val="1"/>
      <w:numFmt w:val="lowerLetter"/>
      <w:lvlText w:val="%1)"/>
      <w:lvlJc w:val="left"/>
      <w:pPr>
        <w:ind w:left="1106" w:hanging="284"/>
      </w:pPr>
      <w:rPr>
        <w:sz w:val="20"/>
        <w:spacing w:val="0"/>
        <w:szCs w:val="20"/>
        <w:w w:val="100"/>
        <w:rFonts w:eastAsia="Times New Roman" w:cs="Times New Roman"/>
      </w:rPr>
    </w:lvl>
    <w:lvl w:ilvl="1">
      <w:start w:val="0"/>
      <w:numFmt w:val="bullet"/>
      <w:lvlText w:val=""/>
      <w:lvlJc w:val="left"/>
      <w:pPr>
        <w:ind w:left="2078" w:hanging="284"/>
      </w:pPr>
      <w:rPr>
        <w:rFonts w:ascii="Symbol" w:hAnsi="Symbol" w:cs="Symbol" w:hint="default"/>
        <w:rFonts w:cs="Symbol"/>
      </w:rPr>
    </w:lvl>
    <w:lvl w:ilvl="2">
      <w:start w:val="0"/>
      <w:numFmt w:val="bullet"/>
      <w:lvlText w:val=""/>
      <w:lvlJc w:val="left"/>
      <w:pPr>
        <w:ind w:left="3056" w:hanging="284"/>
      </w:pPr>
      <w:rPr>
        <w:rFonts w:ascii="Symbol" w:hAnsi="Symbol" w:cs="Symbol" w:hint="default"/>
        <w:rFonts w:cs="Symbol"/>
      </w:rPr>
    </w:lvl>
    <w:lvl w:ilvl="3">
      <w:start w:val="0"/>
      <w:numFmt w:val="bullet"/>
      <w:lvlText w:val=""/>
      <w:lvlJc w:val="left"/>
      <w:pPr>
        <w:ind w:left="4034" w:hanging="284"/>
      </w:pPr>
      <w:rPr>
        <w:rFonts w:ascii="Symbol" w:hAnsi="Symbol" w:cs="Symbol" w:hint="default"/>
        <w:rFonts w:cs="Symbol"/>
      </w:rPr>
    </w:lvl>
    <w:lvl w:ilvl="4">
      <w:start w:val="0"/>
      <w:numFmt w:val="bullet"/>
      <w:lvlText w:val=""/>
      <w:lvlJc w:val="left"/>
      <w:pPr>
        <w:ind w:left="5012" w:hanging="284"/>
      </w:pPr>
      <w:rPr>
        <w:rFonts w:ascii="Symbol" w:hAnsi="Symbol" w:cs="Symbol" w:hint="default"/>
        <w:rFonts w:cs="Symbol"/>
      </w:rPr>
    </w:lvl>
    <w:lvl w:ilvl="5">
      <w:start w:val="0"/>
      <w:numFmt w:val="bullet"/>
      <w:lvlText w:val=""/>
      <w:lvlJc w:val="left"/>
      <w:pPr>
        <w:ind w:left="5990" w:hanging="284"/>
      </w:pPr>
      <w:rPr>
        <w:rFonts w:ascii="Symbol" w:hAnsi="Symbol" w:cs="Symbol" w:hint="default"/>
        <w:rFonts w:cs="Symbol"/>
      </w:rPr>
    </w:lvl>
    <w:lvl w:ilvl="6">
      <w:start w:val="0"/>
      <w:numFmt w:val="bullet"/>
      <w:lvlText w:val=""/>
      <w:lvlJc w:val="left"/>
      <w:pPr>
        <w:ind w:left="6968" w:hanging="284"/>
      </w:pPr>
      <w:rPr>
        <w:rFonts w:ascii="Symbol" w:hAnsi="Symbol" w:cs="Symbol" w:hint="default"/>
        <w:rFonts w:cs="Symbol"/>
      </w:rPr>
    </w:lvl>
    <w:lvl w:ilvl="7">
      <w:start w:val="0"/>
      <w:numFmt w:val="bullet"/>
      <w:lvlText w:val=""/>
      <w:lvlJc w:val="left"/>
      <w:pPr>
        <w:ind w:left="7946" w:hanging="284"/>
      </w:pPr>
      <w:rPr>
        <w:rFonts w:ascii="Symbol" w:hAnsi="Symbol" w:cs="Symbol" w:hint="default"/>
        <w:rFonts w:cs="Symbol"/>
      </w:rPr>
    </w:lvl>
    <w:lvl w:ilvl="8">
      <w:start w:val="0"/>
      <w:numFmt w:val="bullet"/>
      <w:lvlText w:val=""/>
      <w:lvlJc w:val="left"/>
      <w:pPr>
        <w:ind w:left="8924" w:hanging="284"/>
      </w:pPr>
      <w:rPr>
        <w:rFonts w:ascii="Symbol" w:hAnsi="Symbol" w:cs="Symbol" w:hint="default"/>
        <w:rFonts w:cs="Symbol"/>
      </w:rPr>
    </w:lvl>
  </w:abstractNum>
  <w:abstractNum w:abstractNumId="16">
    <w:lvl w:ilvl="0">
      <w:start w:val="1"/>
      <w:numFmt w:val="decimal"/>
      <w:lvlText w:val="%1"/>
      <w:lvlJc w:val="left"/>
      <w:pPr>
        <w:ind w:left="746" w:hanging="351"/>
      </w:pPr>
    </w:lvl>
    <w:lvl w:ilvl="1">
      <w:start w:val="4"/>
      <w:numFmt w:val="decimal"/>
      <w:lvlText w:val="%1.%2."/>
      <w:lvlJc w:val="left"/>
      <w:pPr>
        <w:ind w:left="746" w:hanging="351"/>
      </w:pPr>
      <w:rPr>
        <w:sz w:val="20"/>
        <w:spacing w:val="-5"/>
        <w:b/>
        <w:szCs w:val="20"/>
        <w:bCs/>
        <w:w w:val="100"/>
        <w:rFonts w:eastAsia="Times New Roman" w:cs="Times New Roman"/>
      </w:rPr>
    </w:lvl>
    <w:lvl w:ilvl="2">
      <w:start w:val="1"/>
      <w:numFmt w:val="decimal"/>
      <w:lvlText w:val="%1.%2.%3."/>
      <w:lvlJc w:val="left"/>
      <w:pPr>
        <w:ind w:left="396" w:hanging="504"/>
      </w:pPr>
      <w:rPr>
        <w:sz w:val="20"/>
        <w:spacing w:val="-5"/>
        <w:b/>
        <w:szCs w:val="20"/>
        <w:bCs/>
        <w:w w:val="100"/>
        <w:rFonts w:eastAsia="Times New Roman" w:cs="Times New Roman"/>
      </w:rPr>
    </w:lvl>
    <w:lvl w:ilvl="3">
      <w:start w:val="0"/>
      <w:numFmt w:val="bullet"/>
      <w:lvlText w:val=""/>
      <w:lvlJc w:val="left"/>
      <w:pPr>
        <w:ind w:left="2993" w:hanging="504"/>
      </w:pPr>
      <w:rPr>
        <w:rFonts w:ascii="Symbol" w:hAnsi="Symbol" w:cs="Symbol" w:hint="default"/>
        <w:rFonts w:cs="Symbol"/>
      </w:rPr>
    </w:lvl>
    <w:lvl w:ilvl="4">
      <w:start w:val="0"/>
      <w:numFmt w:val="bullet"/>
      <w:lvlText w:val=""/>
      <w:lvlJc w:val="left"/>
      <w:pPr>
        <w:ind w:left="4120" w:hanging="504"/>
      </w:pPr>
      <w:rPr>
        <w:rFonts w:ascii="Symbol" w:hAnsi="Symbol" w:cs="Symbol" w:hint="default"/>
        <w:rFonts w:cs="Symbol"/>
      </w:rPr>
    </w:lvl>
    <w:lvl w:ilvl="5">
      <w:start w:val="0"/>
      <w:numFmt w:val="bullet"/>
      <w:lvlText w:val=""/>
      <w:lvlJc w:val="left"/>
      <w:pPr>
        <w:ind w:left="5246" w:hanging="504"/>
      </w:pPr>
      <w:rPr>
        <w:rFonts w:ascii="Symbol" w:hAnsi="Symbol" w:cs="Symbol" w:hint="default"/>
        <w:rFonts w:cs="Symbol"/>
      </w:rPr>
    </w:lvl>
    <w:lvl w:ilvl="6">
      <w:start w:val="0"/>
      <w:numFmt w:val="bullet"/>
      <w:lvlText w:val=""/>
      <w:lvlJc w:val="left"/>
      <w:pPr>
        <w:ind w:left="6373" w:hanging="504"/>
      </w:pPr>
      <w:rPr>
        <w:rFonts w:ascii="Symbol" w:hAnsi="Symbol" w:cs="Symbol" w:hint="default"/>
        <w:rFonts w:cs="Symbol"/>
      </w:rPr>
    </w:lvl>
    <w:lvl w:ilvl="7">
      <w:start w:val="0"/>
      <w:numFmt w:val="bullet"/>
      <w:lvlText w:val=""/>
      <w:lvlJc w:val="left"/>
      <w:pPr>
        <w:ind w:left="7500" w:hanging="504"/>
      </w:pPr>
      <w:rPr>
        <w:rFonts w:ascii="Symbol" w:hAnsi="Symbol" w:cs="Symbol" w:hint="default"/>
        <w:rFonts w:cs="Symbol"/>
      </w:rPr>
    </w:lvl>
    <w:lvl w:ilvl="8">
      <w:start w:val="0"/>
      <w:numFmt w:val="bullet"/>
      <w:lvlText w:val=""/>
      <w:lvlJc w:val="left"/>
      <w:pPr>
        <w:ind w:left="8626" w:hanging="504"/>
      </w:pPr>
      <w:rPr>
        <w:rFonts w:ascii="Symbol" w:hAnsi="Symbol" w:cs="Symbol" w:hint="default"/>
        <w:rFonts w:cs="Symbol"/>
      </w:rPr>
    </w:lvl>
  </w:abstractNum>
  <w:abstractNum w:abstractNumId="17">
    <w:lvl w:ilvl="0">
      <w:start w:val="1"/>
      <w:numFmt w:val="decimal"/>
      <w:lvlText w:val="%1."/>
      <w:lvlJc w:val="left"/>
      <w:pPr>
        <w:ind w:left="597" w:hanging="202"/>
      </w:pPr>
      <w:rPr>
        <w:sz w:val="20"/>
        <w:b/>
        <w:szCs w:val="20"/>
        <w:bCs/>
        <w:w w:val="100"/>
        <w:rFonts w:eastAsia="Times New Roman" w:cs="Times New Roman"/>
      </w:rPr>
    </w:lvl>
    <w:lvl w:ilvl="1">
      <w:start w:val="1"/>
      <w:numFmt w:val="decimal"/>
      <w:lvlText w:val="%1.%2."/>
      <w:lvlJc w:val="left"/>
      <w:pPr>
        <w:ind w:left="750" w:hanging="355"/>
      </w:pPr>
      <w:rPr>
        <w:sz w:val="20"/>
        <w:spacing w:val="-5"/>
        <w:b/>
        <w:szCs w:val="20"/>
        <w:bCs/>
        <w:w w:val="100"/>
        <w:rFonts w:eastAsia="Times New Roman" w:cs="Times New Roman"/>
      </w:rPr>
    </w:lvl>
    <w:lvl w:ilvl="2">
      <w:start w:val="1"/>
      <w:numFmt w:val="decimal"/>
      <w:lvlText w:val="%1.%2.%3."/>
      <w:lvlJc w:val="left"/>
      <w:pPr>
        <w:ind w:left="900" w:hanging="504"/>
      </w:pPr>
      <w:rPr>
        <w:sz w:val="20"/>
        <w:spacing w:val="-5"/>
        <w:b/>
        <w:szCs w:val="20"/>
        <w:bCs/>
        <w:w w:val="100"/>
        <w:rFonts w:eastAsia="Times New Roman" w:cs="Times New Roman"/>
      </w:rPr>
    </w:lvl>
    <w:lvl w:ilvl="3">
      <w:start w:val="1"/>
      <w:numFmt w:val="decimal"/>
      <w:lvlText w:val="%1.%2.%3.%4."/>
      <w:lvlJc w:val="left"/>
      <w:pPr>
        <w:ind w:left="1048" w:hanging="653"/>
      </w:pPr>
      <w:rPr>
        <w:sz w:val="20"/>
        <w:spacing w:val="-5"/>
        <w:szCs w:val="20"/>
        <w:w w:val="100"/>
        <w:rFonts w:eastAsia="Times New Roman" w:cs="Times New Roman"/>
      </w:rPr>
    </w:lvl>
    <w:lvl w:ilvl="4">
      <w:start w:val="0"/>
      <w:numFmt w:val="bullet"/>
      <w:lvlText w:val=""/>
      <w:lvlJc w:val="left"/>
      <w:pPr>
        <w:ind w:left="900" w:hanging="653"/>
      </w:pPr>
      <w:rPr>
        <w:rFonts w:ascii="Symbol" w:hAnsi="Symbol" w:cs="Symbol" w:hint="default"/>
        <w:rFonts w:cs="Symbol"/>
      </w:rPr>
    </w:lvl>
    <w:lvl w:ilvl="5">
      <w:start w:val="0"/>
      <w:numFmt w:val="bullet"/>
      <w:lvlText w:val=""/>
      <w:lvlJc w:val="left"/>
      <w:pPr>
        <w:ind w:left="1040" w:hanging="653"/>
      </w:pPr>
      <w:rPr>
        <w:rFonts w:ascii="Symbol" w:hAnsi="Symbol" w:cs="Symbol" w:hint="default"/>
        <w:rFonts w:cs="Symbol"/>
      </w:rPr>
    </w:lvl>
    <w:lvl w:ilvl="6">
      <w:start w:val="0"/>
      <w:numFmt w:val="bullet"/>
      <w:lvlText w:val=""/>
      <w:lvlJc w:val="left"/>
      <w:pPr>
        <w:ind w:left="3008" w:hanging="653"/>
      </w:pPr>
      <w:rPr>
        <w:rFonts w:ascii="Symbol" w:hAnsi="Symbol" w:cs="Symbol" w:hint="default"/>
        <w:rFonts w:cs="Symbol"/>
      </w:rPr>
    </w:lvl>
    <w:lvl w:ilvl="7">
      <w:start w:val="0"/>
      <w:numFmt w:val="bullet"/>
      <w:lvlText w:val=""/>
      <w:lvlJc w:val="left"/>
      <w:pPr>
        <w:ind w:left="4976" w:hanging="653"/>
      </w:pPr>
      <w:rPr>
        <w:rFonts w:ascii="Symbol" w:hAnsi="Symbol" w:cs="Symbol" w:hint="default"/>
        <w:rFonts w:cs="Symbol"/>
      </w:rPr>
    </w:lvl>
    <w:lvl w:ilvl="8">
      <w:start w:val="0"/>
      <w:numFmt w:val="bullet"/>
      <w:lvlText w:val=""/>
      <w:lvlJc w:val="left"/>
      <w:pPr>
        <w:ind w:left="6944" w:hanging="653"/>
      </w:pPr>
      <w:rPr>
        <w:rFonts w:ascii="Symbol" w:hAnsi="Symbol" w:cs="Symbol" w:hint="default"/>
        <w:rFonts w:cs="Symbol"/>
      </w:r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style w:type="paragraph" w:styleId="Normal" w:default="1">
    <w:name w:val="Normal"/>
    <w:uiPriority w:val="1"/>
    <w:qFormat/>
    <w:pPr>
      <w:widowControl/>
      <w:bidi w:val="0"/>
      <w:spacing w:lineRule="auto" w:line="240" w:before="0" w:after="0"/>
      <w:ind w:left="0" w:right="0" w:hanging="0"/>
      <w:jc w:val="left"/>
    </w:pPr>
    <w:rPr>
      <w:rFonts w:ascii="Times New Roman" w:hAnsi="Times New Roman" w:eastAsia="Times New Roman" w:cs="Times New Roman"/>
      <w:color w:val="auto"/>
      <w:kern w:val="0"/>
      <w:sz w:val="22"/>
      <w:szCs w:val="22"/>
      <w:lang w:val="en-US" w:eastAsia="en-US" w:bidi="ar-SA"/>
    </w:rPr>
  </w:style>
  <w:style w:type="paragraph" w:styleId="Nagwek1">
    <w:name w:val="Heading 1"/>
    <w:basedOn w:val="Normal"/>
    <w:uiPriority w:val="1"/>
    <w:qFormat/>
    <w:pPr>
      <w:ind w:left="746" w:right="0" w:hanging="350"/>
      <w:outlineLvl w:val="1"/>
    </w:pPr>
    <w:rPr>
      <w:rFonts w:ascii="Times New Roman" w:hAnsi="Times New Roman" w:eastAsia="Times New Roman" w:cs="Times New Roman"/>
      <w:b/>
      <w:bCs/>
      <w:sz w:val="20"/>
      <w:szCs w:val="20"/>
    </w:rPr>
  </w:style>
  <w:style w:type="character" w:styleId="DefaultParagraphFont" w:default="1">
    <w:name w:val="Default Paragraph Font"/>
    <w:uiPriority w:val="1"/>
    <w:semiHidden/>
    <w:unhideWhenUsed/>
    <w:qFormat/>
    <w:rPr/>
  </w:style>
  <w:style w:type="character" w:styleId="ListLabel1">
    <w:name w:val="ListLabel 1"/>
    <w:qFormat/>
    <w:rPr>
      <w:rFonts w:eastAsia="Times New Roman" w:cs="Times New Roman"/>
      <w:w w:val="99"/>
      <w:sz w:val="20"/>
      <w:szCs w:val="24"/>
    </w:rPr>
  </w:style>
  <w:style w:type="character" w:styleId="ListLabel2">
    <w:name w:val="ListLabel 2"/>
    <w:qFormat/>
    <w:rPr>
      <w:rFonts w:eastAsia="Times New Roman" w:cs="Times New Roman"/>
      <w:w w:val="99"/>
      <w:sz w:val="20"/>
      <w:szCs w:val="24"/>
    </w:rPr>
  </w:style>
  <w:style w:type="character" w:styleId="ListLabel3">
    <w:name w:val="ListLabel 3"/>
    <w:qFormat/>
    <w:rPr>
      <w:rFonts w:eastAsia="Times New Roman" w:cs="Times New Roman"/>
      <w:w w:val="100"/>
      <w:sz w:val="20"/>
      <w:szCs w:val="20"/>
    </w:rPr>
  </w:style>
  <w:style w:type="character" w:styleId="ListLabel4">
    <w:name w:val="ListLabel 4"/>
    <w:qFormat/>
    <w:rPr>
      <w:rFonts w:eastAsia="Times New Roman" w:cs="Times New Roman"/>
      <w:w w:val="100"/>
      <w:sz w:val="20"/>
      <w:szCs w:val="20"/>
    </w:rPr>
  </w:style>
  <w:style w:type="character" w:styleId="ListLabel5">
    <w:name w:val="ListLabel 5"/>
    <w:qFormat/>
    <w:rPr/>
  </w:style>
  <w:style w:type="character" w:styleId="ListLabel6">
    <w:name w:val="ListLabel 6"/>
    <w:qFormat/>
    <w:rPr/>
  </w:style>
  <w:style w:type="character" w:styleId="ListLabel7">
    <w:name w:val="ListLabel 7"/>
    <w:qFormat/>
    <w:rPr>
      <w:rFonts w:eastAsia="Times New Roman" w:cs="Times New Roman"/>
      <w:b/>
      <w:bCs/>
      <w:spacing w:val="-5"/>
      <w:w w:val="100"/>
      <w:sz w:val="20"/>
      <w:szCs w:val="20"/>
    </w:rPr>
  </w:style>
  <w:style w:type="character" w:styleId="ListLabel8">
    <w:name w:val="ListLabel 8"/>
    <w:qFormat/>
    <w:rPr>
      <w:rFonts w:eastAsia="Times New Roman" w:cs="Times New Roman"/>
      <w:w w:val="100"/>
      <w:sz w:val="20"/>
      <w:szCs w:val="20"/>
    </w:rPr>
  </w:style>
  <w:style w:type="character" w:styleId="ListLabel9">
    <w:name w:val="ListLabel 9"/>
    <w:qFormat/>
    <w:rPr>
      <w:rFonts w:eastAsia="Times New Roman" w:cs="Times New Roman"/>
      <w:w w:val="100"/>
      <w:sz w:val="20"/>
      <w:szCs w:val="20"/>
    </w:rPr>
  </w:style>
  <w:style w:type="character" w:styleId="ListLabel10">
    <w:name w:val="ListLabel 10"/>
    <w:qFormat/>
    <w:rPr>
      <w:rFonts w:eastAsia="Times New Roman" w:cs="Times New Roman"/>
      <w:w w:val="100"/>
      <w:sz w:val="20"/>
      <w:szCs w:val="20"/>
    </w:rPr>
  </w:style>
  <w:style w:type="character" w:styleId="ListLabel11">
    <w:name w:val="ListLabel 11"/>
    <w:qFormat/>
    <w:rPr/>
  </w:style>
  <w:style w:type="character" w:styleId="ListLabel12">
    <w:name w:val="ListLabel 12"/>
    <w:qFormat/>
    <w:rPr>
      <w:rFonts w:eastAsia="Times New Roman" w:cs="Times New Roman"/>
      <w:b/>
      <w:bCs/>
      <w:spacing w:val="-5"/>
      <w:w w:val="100"/>
      <w:sz w:val="20"/>
      <w:szCs w:val="20"/>
    </w:rPr>
  </w:style>
  <w:style w:type="character" w:styleId="ListLabel13">
    <w:name w:val="ListLabel 13"/>
    <w:qFormat/>
    <w:rPr>
      <w:rFonts w:eastAsia="Times New Roman" w:cs="Times New Roman"/>
      <w:b/>
      <w:bCs/>
      <w:spacing w:val="-5"/>
      <w:w w:val="100"/>
      <w:sz w:val="20"/>
      <w:szCs w:val="20"/>
    </w:rPr>
  </w:style>
  <w:style w:type="character" w:styleId="ListLabel14">
    <w:name w:val="ListLabel 14"/>
    <w:qFormat/>
    <w:rPr>
      <w:rFonts w:eastAsia="Times New Roman" w:cs="Times New Roman"/>
      <w:spacing w:val="-5"/>
      <w:w w:val="100"/>
      <w:sz w:val="20"/>
      <w:szCs w:val="20"/>
    </w:rPr>
  </w:style>
  <w:style w:type="character" w:styleId="ListLabel15">
    <w:name w:val="ListLabel 15"/>
    <w:qFormat/>
    <w:rPr>
      <w:rFonts w:eastAsia="Symbol" w:cs="Symbol"/>
      <w:w w:val="100"/>
      <w:sz w:val="20"/>
      <w:szCs w:val="20"/>
    </w:rPr>
  </w:style>
  <w:style w:type="character" w:styleId="ListLabel16">
    <w:name w:val="ListLabel 16"/>
    <w:qFormat/>
    <w:rPr/>
  </w:style>
  <w:style w:type="character" w:styleId="ListLabel17">
    <w:name w:val="ListLabel 17"/>
    <w:qFormat/>
    <w:rPr>
      <w:rFonts w:eastAsia="Times New Roman" w:cs="Times New Roman"/>
      <w:b/>
      <w:bCs/>
      <w:spacing w:val="-5"/>
      <w:w w:val="100"/>
      <w:sz w:val="20"/>
      <w:szCs w:val="20"/>
    </w:rPr>
  </w:style>
  <w:style w:type="character" w:styleId="ListLabel18">
    <w:name w:val="ListLabel 18"/>
    <w:qFormat/>
    <w:rPr>
      <w:rFonts w:eastAsia="Times New Roman" w:cs="Times New Roman"/>
      <w:w w:val="98"/>
      <w:sz w:val="20"/>
      <w:szCs w:val="16"/>
    </w:rPr>
  </w:style>
  <w:style w:type="character" w:styleId="ListLabel19">
    <w:name w:val="ListLabel 19"/>
    <w:qFormat/>
    <w:rPr>
      <w:rFonts w:eastAsia="Times New Roman" w:cs="Times New Roman"/>
      <w:spacing w:val="0"/>
      <w:w w:val="100"/>
      <w:sz w:val="20"/>
      <w:szCs w:val="20"/>
    </w:rPr>
  </w:style>
  <w:style w:type="character" w:styleId="ListLabel20">
    <w:name w:val="ListLabel 20"/>
    <w:qFormat/>
    <w:rPr>
      <w:w w:val="98"/>
      <w:sz w:val="20"/>
    </w:rPr>
  </w:style>
  <w:style w:type="character" w:styleId="ListLabel21">
    <w:name w:val="ListLabel 21"/>
    <w:qFormat/>
    <w:rPr>
      <w:w w:val="100"/>
      <w:sz w:val="20"/>
    </w:rPr>
  </w:style>
  <w:style w:type="character" w:styleId="ListLabel22">
    <w:name w:val="ListLabel 22"/>
    <w:qFormat/>
    <w:rPr>
      <w:rFonts w:eastAsia="Times New Roman" w:cs="Times New Roman"/>
      <w:w w:val="100"/>
      <w:sz w:val="20"/>
      <w:szCs w:val="20"/>
    </w:rPr>
  </w:style>
  <w:style w:type="character" w:styleId="ListLabel23">
    <w:name w:val="ListLabel 23"/>
    <w:qFormat/>
    <w:rPr>
      <w:rFonts w:eastAsia="Times New Roman" w:cs="Times New Roman"/>
      <w:spacing w:val="0"/>
      <w:w w:val="100"/>
      <w:sz w:val="20"/>
      <w:szCs w:val="20"/>
    </w:rPr>
  </w:style>
  <w:style w:type="character" w:styleId="ListLabel24">
    <w:name w:val="ListLabel 24"/>
    <w:qFormat/>
    <w:rPr/>
  </w:style>
  <w:style w:type="character" w:styleId="ListLabel25">
    <w:name w:val="ListLabel 25"/>
    <w:qFormat/>
    <w:rPr>
      <w:rFonts w:eastAsia="Times New Roman" w:cs="Times New Roman"/>
      <w:b/>
      <w:bCs/>
      <w:spacing w:val="-5"/>
      <w:w w:val="100"/>
      <w:sz w:val="20"/>
      <w:szCs w:val="20"/>
    </w:rPr>
  </w:style>
  <w:style w:type="character" w:styleId="ListLabel26">
    <w:name w:val="ListLabel 26"/>
    <w:qFormat/>
    <w:rPr>
      <w:rFonts w:eastAsia="Times New Roman" w:cs="Times New Roman"/>
      <w:b/>
      <w:bCs/>
      <w:spacing w:val="-5"/>
      <w:w w:val="100"/>
      <w:sz w:val="20"/>
      <w:szCs w:val="20"/>
    </w:rPr>
  </w:style>
  <w:style w:type="character" w:styleId="ListLabel27">
    <w:name w:val="ListLabel 27"/>
    <w:qFormat/>
    <w:rPr>
      <w:rFonts w:eastAsia="Times New Roman" w:cs="Times New Roman"/>
      <w:b/>
      <w:bCs/>
      <w:w w:val="100"/>
      <w:sz w:val="20"/>
      <w:szCs w:val="20"/>
    </w:rPr>
  </w:style>
  <w:style w:type="character" w:styleId="ListLabel28">
    <w:name w:val="ListLabel 28"/>
    <w:qFormat/>
    <w:rPr>
      <w:rFonts w:eastAsia="Times New Roman" w:cs="Times New Roman"/>
      <w:b/>
      <w:bCs/>
      <w:spacing w:val="-5"/>
      <w:w w:val="100"/>
      <w:sz w:val="20"/>
      <w:szCs w:val="20"/>
    </w:rPr>
  </w:style>
  <w:style w:type="character" w:styleId="ListLabel29">
    <w:name w:val="ListLabel 29"/>
    <w:qFormat/>
    <w:rPr>
      <w:rFonts w:eastAsia="Times New Roman" w:cs="Times New Roman"/>
      <w:b/>
      <w:bCs/>
      <w:spacing w:val="-5"/>
      <w:w w:val="100"/>
      <w:sz w:val="20"/>
      <w:szCs w:val="20"/>
    </w:rPr>
  </w:style>
  <w:style w:type="character" w:styleId="ListLabel30">
    <w:name w:val="ListLabel 30"/>
    <w:qFormat/>
    <w:rPr>
      <w:rFonts w:eastAsia="Times New Roman" w:cs="Times New Roman"/>
      <w:spacing w:val="-5"/>
      <w:w w:val="100"/>
      <w:sz w:val="20"/>
      <w:szCs w:val="20"/>
    </w:rPr>
  </w:style>
  <w:style w:type="character" w:styleId="ListLabel31">
    <w:name w:val="ListLabel 31"/>
    <w:qFormat/>
    <w:rPr>
      <w:rFonts w:eastAsia="Times New Roman" w:cs="Times New Roman"/>
      <w:w w:val="99"/>
      <w:sz w:val="20"/>
      <w:szCs w:val="24"/>
    </w:rPr>
  </w:style>
  <w:style w:type="character" w:styleId="ListLabel32">
    <w:name w:val="ListLabel 32"/>
    <w:qFormat/>
    <w:rPr>
      <w:rFonts w:cs="Symbol"/>
    </w:rPr>
  </w:style>
  <w:style w:type="character" w:styleId="ListLabel33">
    <w:name w:val="ListLabel 33"/>
    <w:qFormat/>
    <w:rPr>
      <w:rFonts w:cs="Symbol"/>
    </w:rPr>
  </w:style>
  <w:style w:type="character" w:styleId="ListLabel34">
    <w:name w:val="ListLabel 34"/>
    <w:qFormat/>
    <w:rPr>
      <w:rFonts w:cs="Symbol"/>
    </w:rPr>
  </w:style>
  <w:style w:type="character" w:styleId="ListLabel35">
    <w:name w:val="ListLabel 35"/>
    <w:qFormat/>
    <w:rPr>
      <w:rFonts w:cs="Symbol"/>
    </w:rPr>
  </w:style>
  <w:style w:type="character" w:styleId="ListLabel36">
    <w:name w:val="ListLabel 36"/>
    <w:qFormat/>
    <w:rPr>
      <w:rFonts w:cs="Symbol"/>
    </w:rPr>
  </w:style>
  <w:style w:type="character" w:styleId="ListLabel37">
    <w:name w:val="ListLabel 37"/>
    <w:qFormat/>
    <w:rPr>
      <w:rFonts w:cs="Symbol"/>
    </w:rPr>
  </w:style>
  <w:style w:type="character" w:styleId="ListLabel38">
    <w:name w:val="ListLabel 38"/>
    <w:qFormat/>
    <w:rPr>
      <w:rFonts w:cs="Symbol"/>
    </w:rPr>
  </w:style>
  <w:style w:type="character" w:styleId="ListLabel39">
    <w:name w:val="ListLabel 39"/>
    <w:qFormat/>
    <w:rPr>
      <w:rFonts w:cs="Symbol"/>
    </w:rPr>
  </w:style>
  <w:style w:type="character" w:styleId="ListLabel40">
    <w:name w:val="ListLabel 40"/>
    <w:qFormat/>
    <w:rPr>
      <w:rFonts w:eastAsia="Times New Roman" w:cs="Times New Roman"/>
      <w:w w:val="99"/>
      <w:sz w:val="20"/>
      <w:szCs w:val="24"/>
    </w:rPr>
  </w:style>
  <w:style w:type="character" w:styleId="ListLabel41">
    <w:name w:val="ListLabel 41"/>
    <w:qFormat/>
    <w:rPr>
      <w:rFonts w:cs="Symbol"/>
    </w:rPr>
  </w:style>
  <w:style w:type="character" w:styleId="ListLabel42">
    <w:name w:val="ListLabel 42"/>
    <w:qFormat/>
    <w:rPr>
      <w:rFonts w:cs="Symbol"/>
    </w:rPr>
  </w:style>
  <w:style w:type="character" w:styleId="ListLabel43">
    <w:name w:val="ListLabel 43"/>
    <w:qFormat/>
    <w:rPr>
      <w:rFonts w:cs="Symbol"/>
    </w:rPr>
  </w:style>
  <w:style w:type="character" w:styleId="ListLabel44">
    <w:name w:val="ListLabel 44"/>
    <w:qFormat/>
    <w:rPr>
      <w:rFonts w:cs="Symbol"/>
    </w:rPr>
  </w:style>
  <w:style w:type="character" w:styleId="ListLabel45">
    <w:name w:val="ListLabel 45"/>
    <w:qFormat/>
    <w:rPr>
      <w:rFonts w:cs="Symbol"/>
    </w:rPr>
  </w:style>
  <w:style w:type="character" w:styleId="ListLabel46">
    <w:name w:val="ListLabel 46"/>
    <w:qFormat/>
    <w:rPr>
      <w:rFonts w:cs="Symbol"/>
    </w:rPr>
  </w:style>
  <w:style w:type="character" w:styleId="ListLabel47">
    <w:name w:val="ListLabel 47"/>
    <w:qFormat/>
    <w:rPr>
      <w:rFonts w:cs="Symbol"/>
    </w:rPr>
  </w:style>
  <w:style w:type="character" w:styleId="ListLabel48">
    <w:name w:val="ListLabel 48"/>
    <w:qFormat/>
    <w:rPr>
      <w:rFonts w:cs="Symbol"/>
    </w:rPr>
  </w:style>
  <w:style w:type="character" w:styleId="ListLabel49">
    <w:name w:val="ListLabel 49"/>
    <w:qFormat/>
    <w:rPr>
      <w:rFonts w:eastAsia="Times New Roman" w:cs="Times New Roman"/>
      <w:w w:val="100"/>
      <w:sz w:val="20"/>
      <w:szCs w:val="20"/>
    </w:rPr>
  </w:style>
  <w:style w:type="character" w:styleId="ListLabel50">
    <w:name w:val="ListLabel 50"/>
    <w:qFormat/>
    <w:rPr>
      <w:rFonts w:cs="Symbol"/>
    </w:rPr>
  </w:style>
  <w:style w:type="character" w:styleId="ListLabel51">
    <w:name w:val="ListLabel 51"/>
    <w:qFormat/>
    <w:rPr>
      <w:rFonts w:cs="Symbol"/>
    </w:rPr>
  </w:style>
  <w:style w:type="character" w:styleId="ListLabel52">
    <w:name w:val="ListLabel 52"/>
    <w:qFormat/>
    <w:rPr>
      <w:rFonts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rFonts w:cs="Symbol"/>
    </w:rPr>
  </w:style>
  <w:style w:type="character" w:styleId="ListLabel56">
    <w:name w:val="ListLabel 56"/>
    <w:qFormat/>
    <w:rPr>
      <w:rFonts w:cs="Symbol"/>
    </w:rPr>
  </w:style>
  <w:style w:type="character" w:styleId="ListLabel57">
    <w:name w:val="ListLabel 57"/>
    <w:qFormat/>
    <w:rPr>
      <w:rFonts w:cs="Symbol"/>
    </w:rPr>
  </w:style>
  <w:style w:type="character" w:styleId="ListLabel58">
    <w:name w:val="ListLabel 58"/>
    <w:qFormat/>
    <w:rPr>
      <w:rFonts w:eastAsia="Times New Roman" w:cs="Times New Roman"/>
      <w:w w:val="100"/>
      <w:sz w:val="20"/>
      <w:szCs w:val="20"/>
    </w:rPr>
  </w:style>
  <w:style w:type="character" w:styleId="ListLabel59">
    <w:name w:val="ListLabel 59"/>
    <w:qFormat/>
    <w:rPr>
      <w:rFonts w:cs="Symbol"/>
    </w:rPr>
  </w:style>
  <w:style w:type="character" w:styleId="ListLabel60">
    <w:name w:val="ListLabel 60"/>
    <w:qFormat/>
    <w:rPr>
      <w:rFonts w:cs="Symbol"/>
    </w:rPr>
  </w:style>
  <w:style w:type="character" w:styleId="ListLabel61">
    <w:name w:val="ListLabel 61"/>
    <w:qFormat/>
    <w:rPr>
      <w:rFonts w:cs="Symbol"/>
    </w:rPr>
  </w:style>
  <w:style w:type="character" w:styleId="ListLabel62">
    <w:name w:val="ListLabel 62"/>
    <w:qFormat/>
    <w:rPr>
      <w:rFonts w:cs="Symbol"/>
    </w:rPr>
  </w:style>
  <w:style w:type="character" w:styleId="ListLabel63">
    <w:name w:val="ListLabel 63"/>
    <w:qFormat/>
    <w:rPr>
      <w:rFonts w:cs="Symbol"/>
    </w:rPr>
  </w:style>
  <w:style w:type="character" w:styleId="ListLabel64">
    <w:name w:val="ListLabel 64"/>
    <w:qFormat/>
    <w:rPr>
      <w:rFonts w:cs="Symbol"/>
    </w:rPr>
  </w:style>
  <w:style w:type="character" w:styleId="ListLabel65">
    <w:name w:val="ListLabel 65"/>
    <w:qFormat/>
    <w:rPr>
      <w:rFonts w:cs="Symbol"/>
    </w:rPr>
  </w:style>
  <w:style w:type="character" w:styleId="ListLabel66">
    <w:name w:val="ListLabel 66"/>
    <w:qFormat/>
    <w:rPr>
      <w:rFonts w:cs="Symbol"/>
    </w:rPr>
  </w:style>
  <w:style w:type="character" w:styleId="ListLabel67">
    <w:name w:val="ListLabel 67"/>
    <w:qFormat/>
    <w:rPr>
      <w:rFonts w:eastAsia="Times New Roman" w:cs="Times New Roman"/>
      <w:b/>
      <w:bCs/>
      <w:spacing w:val="-5"/>
      <w:w w:val="100"/>
      <w:sz w:val="20"/>
      <w:szCs w:val="20"/>
    </w:rPr>
  </w:style>
  <w:style w:type="character" w:styleId="ListLabel68">
    <w:name w:val="ListLabel 68"/>
    <w:qFormat/>
    <w:rPr>
      <w:rFonts w:cs="Symbol"/>
    </w:rPr>
  </w:style>
  <w:style w:type="character" w:styleId="ListLabel69">
    <w:name w:val="ListLabel 69"/>
    <w:qFormat/>
    <w:rPr>
      <w:rFonts w:cs="Symbol"/>
    </w:rPr>
  </w:style>
  <w:style w:type="character" w:styleId="ListLabel70">
    <w:name w:val="ListLabel 70"/>
    <w:qFormat/>
    <w:rPr>
      <w:rFonts w:cs="Symbol"/>
    </w:rPr>
  </w:style>
  <w:style w:type="character" w:styleId="ListLabel71">
    <w:name w:val="ListLabel 71"/>
    <w:qFormat/>
    <w:rPr>
      <w:rFonts w:cs="Symbol"/>
    </w:rPr>
  </w:style>
  <w:style w:type="character" w:styleId="ListLabel72">
    <w:name w:val="ListLabel 72"/>
    <w:qFormat/>
    <w:rPr>
      <w:rFonts w:cs="Symbol"/>
    </w:rPr>
  </w:style>
  <w:style w:type="character" w:styleId="ListLabel73">
    <w:name w:val="ListLabel 73"/>
    <w:qFormat/>
    <w:rPr>
      <w:rFonts w:cs="Symbol"/>
    </w:rPr>
  </w:style>
  <w:style w:type="character" w:styleId="ListLabel74">
    <w:name w:val="ListLabel 74"/>
    <w:qFormat/>
    <w:rPr>
      <w:rFonts w:eastAsia="Times New Roman" w:cs="Times New Roman"/>
      <w:w w:val="100"/>
      <w:sz w:val="20"/>
      <w:szCs w:val="20"/>
    </w:rPr>
  </w:style>
  <w:style w:type="character" w:styleId="ListLabel75">
    <w:name w:val="ListLabel 75"/>
    <w:qFormat/>
    <w:rPr>
      <w:rFonts w:cs="Times New Roman"/>
      <w:w w:val="100"/>
      <w:sz w:val="20"/>
      <w:szCs w:val="20"/>
    </w:rPr>
  </w:style>
  <w:style w:type="character" w:styleId="ListLabel76">
    <w:name w:val="ListLabel 76"/>
    <w:qFormat/>
    <w:rPr>
      <w:rFonts w:cs="Symbol"/>
    </w:rPr>
  </w:style>
  <w:style w:type="character" w:styleId="ListLabel77">
    <w:name w:val="ListLabel 77"/>
    <w:qFormat/>
    <w:rPr>
      <w:rFonts w:cs="Symbol"/>
    </w:rPr>
  </w:style>
  <w:style w:type="character" w:styleId="ListLabel78">
    <w:name w:val="ListLabel 78"/>
    <w:qFormat/>
    <w:rPr>
      <w:rFonts w:cs="Symbol"/>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cs="Symbol"/>
    </w:rPr>
  </w:style>
  <w:style w:type="character" w:styleId="ListLabel83">
    <w:name w:val="ListLabel 83"/>
    <w:qFormat/>
    <w:rPr>
      <w:rFonts w:cs="Times New Roman"/>
      <w:w w:val="100"/>
      <w:sz w:val="20"/>
      <w:szCs w:val="20"/>
    </w:rPr>
  </w:style>
  <w:style w:type="character" w:styleId="ListLabel84">
    <w:name w:val="ListLabel 84"/>
    <w:qFormat/>
    <w:rPr>
      <w:rFonts w:cs="Symbol"/>
    </w:rPr>
  </w:style>
  <w:style w:type="character" w:styleId="ListLabel85">
    <w:name w:val="ListLabel 85"/>
    <w:qFormat/>
    <w:rPr>
      <w:rFonts w:cs="Symbol"/>
    </w:rPr>
  </w:style>
  <w:style w:type="character" w:styleId="ListLabel86">
    <w:name w:val="ListLabel 86"/>
    <w:qFormat/>
    <w:rPr>
      <w:rFonts w:cs="Symbol"/>
    </w:rPr>
  </w:style>
  <w:style w:type="character" w:styleId="ListLabel87">
    <w:name w:val="ListLabel 87"/>
    <w:qFormat/>
    <w:rPr>
      <w:rFonts w:cs="Symbol"/>
    </w:rPr>
  </w:style>
  <w:style w:type="character" w:styleId="ListLabel88">
    <w:name w:val="ListLabel 88"/>
    <w:qFormat/>
    <w:rPr>
      <w:rFonts w:cs="Symbol"/>
    </w:rPr>
  </w:style>
  <w:style w:type="character" w:styleId="ListLabel89">
    <w:name w:val="ListLabel 89"/>
    <w:qFormat/>
    <w:rPr>
      <w:rFonts w:cs="Symbol"/>
    </w:rPr>
  </w:style>
  <w:style w:type="character" w:styleId="ListLabel90">
    <w:name w:val="ListLabel 90"/>
    <w:qFormat/>
    <w:rPr>
      <w:rFonts w:cs="Symbol"/>
    </w:rPr>
  </w:style>
  <w:style w:type="character" w:styleId="ListLabel91">
    <w:name w:val="ListLabel 91"/>
    <w:qFormat/>
    <w:rPr>
      <w:rFonts w:cs="Symbol"/>
    </w:rPr>
  </w:style>
  <w:style w:type="character" w:styleId="ListLabel92">
    <w:name w:val="ListLabel 92"/>
    <w:qFormat/>
    <w:rPr>
      <w:rFonts w:eastAsia="Times New Roman" w:cs="Times New Roman"/>
      <w:b/>
      <w:bCs/>
      <w:spacing w:val="-5"/>
      <w:w w:val="100"/>
      <w:sz w:val="20"/>
      <w:szCs w:val="20"/>
    </w:rPr>
  </w:style>
  <w:style w:type="character" w:styleId="ListLabel93">
    <w:name w:val="ListLabel 93"/>
    <w:qFormat/>
    <w:rPr>
      <w:rFonts w:eastAsia="Times New Roman" w:cs="Times New Roman"/>
      <w:b/>
      <w:bCs/>
      <w:spacing w:val="-5"/>
      <w:w w:val="100"/>
      <w:sz w:val="20"/>
      <w:szCs w:val="20"/>
    </w:rPr>
  </w:style>
  <w:style w:type="character" w:styleId="ListLabel94">
    <w:name w:val="ListLabel 94"/>
    <w:qFormat/>
    <w:rPr>
      <w:rFonts w:eastAsia="Times New Roman" w:cs="Times New Roman"/>
      <w:spacing w:val="-5"/>
      <w:w w:val="100"/>
      <w:sz w:val="20"/>
      <w:szCs w:val="20"/>
    </w:rPr>
  </w:style>
  <w:style w:type="character" w:styleId="ListLabel95">
    <w:name w:val="ListLabel 95"/>
    <w:qFormat/>
    <w:rPr>
      <w:rFonts w:cs="Symbol"/>
    </w:rPr>
  </w:style>
  <w:style w:type="character" w:styleId="ListLabel96">
    <w:name w:val="ListLabel 96"/>
    <w:qFormat/>
    <w:rPr>
      <w:rFonts w:cs="Symbol"/>
    </w:rPr>
  </w:style>
  <w:style w:type="character" w:styleId="ListLabel97">
    <w:name w:val="ListLabel 97"/>
    <w:qFormat/>
    <w:rPr>
      <w:rFonts w:cs="Symbol"/>
    </w:rPr>
  </w:style>
  <w:style w:type="character" w:styleId="ListLabel98">
    <w:name w:val="ListLabel 98"/>
    <w:qFormat/>
    <w:rPr>
      <w:rFonts w:cs="Symbol"/>
    </w:rPr>
  </w:style>
  <w:style w:type="character" w:styleId="ListLabel99">
    <w:name w:val="ListLabel 99"/>
    <w:qFormat/>
    <w:rPr>
      <w:rFonts w:cs="Symbol"/>
    </w:rPr>
  </w:style>
  <w:style w:type="character" w:styleId="ListLabel100">
    <w:name w:val="ListLabel 100"/>
    <w:qFormat/>
    <w:rPr>
      <w:rFonts w:cs="Symbol"/>
      <w:w w:val="100"/>
      <w:sz w:val="20"/>
      <w:szCs w:val="20"/>
    </w:rPr>
  </w:style>
  <w:style w:type="character" w:styleId="ListLabel101">
    <w:name w:val="ListLabel 101"/>
    <w:qFormat/>
    <w:rPr>
      <w:rFonts w:cs="Symbol"/>
    </w:rPr>
  </w:style>
  <w:style w:type="character" w:styleId="ListLabel102">
    <w:name w:val="ListLabel 102"/>
    <w:qFormat/>
    <w:rPr>
      <w:rFonts w:cs="Symbol"/>
    </w:rPr>
  </w:style>
  <w:style w:type="character" w:styleId="ListLabel103">
    <w:name w:val="ListLabel 103"/>
    <w:qFormat/>
    <w:rPr>
      <w:rFonts w:cs="Symbol"/>
    </w:rPr>
  </w:style>
  <w:style w:type="character" w:styleId="ListLabel104">
    <w:name w:val="ListLabel 104"/>
    <w:qFormat/>
    <w:rPr>
      <w:rFonts w:cs="Symbol"/>
    </w:rPr>
  </w:style>
  <w:style w:type="character" w:styleId="ListLabel105">
    <w:name w:val="ListLabel 105"/>
    <w:qFormat/>
    <w:rPr>
      <w:rFonts w:cs="Symbol"/>
    </w:rPr>
  </w:style>
  <w:style w:type="character" w:styleId="ListLabel106">
    <w:name w:val="ListLabel 106"/>
    <w:qFormat/>
    <w:rPr>
      <w:rFonts w:cs="Symbol"/>
    </w:rPr>
  </w:style>
  <w:style w:type="character" w:styleId="ListLabel107">
    <w:name w:val="ListLabel 107"/>
    <w:qFormat/>
    <w:rPr>
      <w:rFonts w:cs="Symbol"/>
    </w:rPr>
  </w:style>
  <w:style w:type="character" w:styleId="ListLabel108">
    <w:name w:val="ListLabel 108"/>
    <w:qFormat/>
    <w:rPr>
      <w:rFonts w:cs="Symbol"/>
    </w:rPr>
  </w:style>
  <w:style w:type="character" w:styleId="ListLabel109">
    <w:name w:val="ListLabel 109"/>
    <w:qFormat/>
    <w:rPr>
      <w:rFonts w:eastAsia="Times New Roman" w:cs="Times New Roman"/>
      <w:b/>
      <w:bCs/>
      <w:spacing w:val="-5"/>
      <w:w w:val="100"/>
      <w:sz w:val="20"/>
      <w:szCs w:val="20"/>
    </w:rPr>
  </w:style>
  <w:style w:type="character" w:styleId="ListLabel110">
    <w:name w:val="ListLabel 110"/>
    <w:qFormat/>
    <w:rPr>
      <w:rFonts w:cs="Symbol"/>
    </w:rPr>
  </w:style>
  <w:style w:type="character" w:styleId="ListLabel111">
    <w:name w:val="ListLabel 111"/>
    <w:qFormat/>
    <w:rPr>
      <w:rFonts w:cs="Symbol"/>
    </w:rPr>
  </w:style>
  <w:style w:type="character" w:styleId="ListLabel112">
    <w:name w:val="ListLabel 112"/>
    <w:qFormat/>
    <w:rPr>
      <w:rFonts w:cs="Symbol"/>
    </w:rPr>
  </w:style>
  <w:style w:type="character" w:styleId="ListLabel113">
    <w:name w:val="ListLabel 113"/>
    <w:qFormat/>
    <w:rPr>
      <w:rFonts w:cs="Symbol"/>
    </w:rPr>
  </w:style>
  <w:style w:type="character" w:styleId="ListLabel114">
    <w:name w:val="ListLabel 114"/>
    <w:qFormat/>
    <w:rPr>
      <w:rFonts w:cs="Symbol"/>
    </w:rPr>
  </w:style>
  <w:style w:type="character" w:styleId="ListLabel115">
    <w:name w:val="ListLabel 115"/>
    <w:qFormat/>
    <w:rPr>
      <w:rFonts w:cs="Symbol"/>
    </w:rPr>
  </w:style>
  <w:style w:type="character" w:styleId="ListLabel116">
    <w:name w:val="ListLabel 116"/>
    <w:qFormat/>
    <w:rPr>
      <w:rFonts w:cs="Symbol"/>
    </w:rPr>
  </w:style>
  <w:style w:type="character" w:styleId="ListLabel117">
    <w:name w:val="ListLabel 117"/>
    <w:qFormat/>
    <w:rPr>
      <w:rFonts w:cs="Times New Roman"/>
      <w:w w:val="98"/>
      <w:sz w:val="20"/>
      <w:szCs w:val="16"/>
    </w:rPr>
  </w:style>
  <w:style w:type="character" w:styleId="ListLabel118">
    <w:name w:val="ListLabel 118"/>
    <w:qFormat/>
    <w:rPr>
      <w:rFonts w:cs="Symbol"/>
    </w:rPr>
  </w:style>
  <w:style w:type="character" w:styleId="ListLabel119">
    <w:name w:val="ListLabel 119"/>
    <w:qFormat/>
    <w:rPr>
      <w:rFonts w:cs="Symbol"/>
    </w:rPr>
  </w:style>
  <w:style w:type="character" w:styleId="ListLabel120">
    <w:name w:val="ListLabel 120"/>
    <w:qFormat/>
    <w:rPr>
      <w:rFonts w:cs="Symbol"/>
    </w:rPr>
  </w:style>
  <w:style w:type="character" w:styleId="ListLabel121">
    <w:name w:val="ListLabel 121"/>
    <w:qFormat/>
    <w:rPr>
      <w:rFonts w:cs="Symbol"/>
    </w:rPr>
  </w:style>
  <w:style w:type="character" w:styleId="ListLabel122">
    <w:name w:val="ListLabel 122"/>
    <w:qFormat/>
    <w:rPr>
      <w:rFonts w:cs="Symbol"/>
    </w:rPr>
  </w:style>
  <w:style w:type="character" w:styleId="ListLabel123">
    <w:name w:val="ListLabel 123"/>
    <w:qFormat/>
    <w:rPr>
      <w:rFonts w:cs="Symbol"/>
    </w:rPr>
  </w:style>
  <w:style w:type="character" w:styleId="ListLabel124">
    <w:name w:val="ListLabel 124"/>
    <w:qFormat/>
    <w:rPr>
      <w:rFonts w:cs="Symbol"/>
    </w:rPr>
  </w:style>
  <w:style w:type="character" w:styleId="ListLabel125">
    <w:name w:val="ListLabel 125"/>
    <w:qFormat/>
    <w:rPr>
      <w:rFonts w:cs="Symbol"/>
    </w:rPr>
  </w:style>
  <w:style w:type="character" w:styleId="ListLabel126">
    <w:name w:val="ListLabel 126"/>
    <w:qFormat/>
    <w:rPr>
      <w:rFonts w:eastAsia="Times New Roman" w:cs="Times New Roman"/>
      <w:spacing w:val="0"/>
      <w:w w:val="100"/>
      <w:sz w:val="20"/>
      <w:szCs w:val="20"/>
    </w:rPr>
  </w:style>
  <w:style w:type="character" w:styleId="ListLabel127">
    <w:name w:val="ListLabel 127"/>
    <w:qFormat/>
    <w:rPr>
      <w:rFonts w:cs="Symbol"/>
    </w:rPr>
  </w:style>
  <w:style w:type="character" w:styleId="ListLabel128">
    <w:name w:val="ListLabel 128"/>
    <w:qFormat/>
    <w:rPr>
      <w:rFonts w:cs="Symbol"/>
    </w:rPr>
  </w:style>
  <w:style w:type="character" w:styleId="ListLabel129">
    <w:name w:val="ListLabel 129"/>
    <w:qFormat/>
    <w:rPr>
      <w:rFonts w:cs="Symbol"/>
    </w:rPr>
  </w:style>
  <w:style w:type="character" w:styleId="ListLabel130">
    <w:name w:val="ListLabel 130"/>
    <w:qFormat/>
    <w:rPr>
      <w:rFonts w:cs="Symbol"/>
    </w:rPr>
  </w:style>
  <w:style w:type="character" w:styleId="ListLabel131">
    <w:name w:val="ListLabel 131"/>
    <w:qFormat/>
    <w:rPr>
      <w:rFonts w:cs="Symbol"/>
    </w:rPr>
  </w:style>
  <w:style w:type="character" w:styleId="ListLabel132">
    <w:name w:val="ListLabel 132"/>
    <w:qFormat/>
    <w:rPr>
      <w:rFonts w:cs="Symbol"/>
    </w:rPr>
  </w:style>
  <w:style w:type="character" w:styleId="ListLabel133">
    <w:name w:val="ListLabel 133"/>
    <w:qFormat/>
    <w:rPr>
      <w:rFonts w:cs="Symbol"/>
    </w:rPr>
  </w:style>
  <w:style w:type="character" w:styleId="ListLabel134">
    <w:name w:val="ListLabel 134"/>
    <w:qFormat/>
    <w:rPr>
      <w:rFonts w:cs="Symbol"/>
    </w:rPr>
  </w:style>
  <w:style w:type="character" w:styleId="ListLabel135">
    <w:name w:val="ListLabel 135"/>
    <w:qFormat/>
    <w:rPr>
      <w:rFonts w:cs="Symbol"/>
      <w:w w:val="98"/>
      <w:sz w:val="20"/>
    </w:rPr>
  </w:style>
  <w:style w:type="character" w:styleId="ListLabel136">
    <w:name w:val="ListLabel 136"/>
    <w:qFormat/>
    <w:rPr>
      <w:rFonts w:cs="Symbol"/>
    </w:rPr>
  </w:style>
  <w:style w:type="character" w:styleId="ListLabel137">
    <w:name w:val="ListLabel 137"/>
    <w:qFormat/>
    <w:rPr>
      <w:rFonts w:cs="Symbol"/>
    </w:rPr>
  </w:style>
  <w:style w:type="character" w:styleId="ListLabel138">
    <w:name w:val="ListLabel 138"/>
    <w:qFormat/>
    <w:rPr>
      <w:rFonts w:cs="Symbol"/>
    </w:rPr>
  </w:style>
  <w:style w:type="character" w:styleId="ListLabel139">
    <w:name w:val="ListLabel 139"/>
    <w:qFormat/>
    <w:rPr>
      <w:rFonts w:cs="Symbol"/>
    </w:rPr>
  </w:style>
  <w:style w:type="character" w:styleId="ListLabel140">
    <w:name w:val="ListLabel 140"/>
    <w:qFormat/>
    <w:rPr>
      <w:rFonts w:cs="Symbol"/>
    </w:rPr>
  </w:style>
  <w:style w:type="character" w:styleId="ListLabel141">
    <w:name w:val="ListLabel 141"/>
    <w:qFormat/>
    <w:rPr>
      <w:rFonts w:cs="Symbol"/>
    </w:rPr>
  </w:style>
  <w:style w:type="character" w:styleId="ListLabel142">
    <w:name w:val="ListLabel 142"/>
    <w:qFormat/>
    <w:rPr>
      <w:rFonts w:cs="Symbol"/>
    </w:rPr>
  </w:style>
  <w:style w:type="character" w:styleId="ListLabel143">
    <w:name w:val="ListLabel 143"/>
    <w:qFormat/>
    <w:rPr>
      <w:rFonts w:cs="Symbol"/>
    </w:rPr>
  </w:style>
  <w:style w:type="character" w:styleId="ListLabel144">
    <w:name w:val="ListLabel 144"/>
    <w:qFormat/>
    <w:rPr>
      <w:rFonts w:cs="Symbol"/>
      <w:w w:val="100"/>
      <w:sz w:val="20"/>
    </w:rPr>
  </w:style>
  <w:style w:type="character" w:styleId="ListLabel145">
    <w:name w:val="ListLabel 145"/>
    <w:qFormat/>
    <w:rPr>
      <w:rFonts w:cs="Times New Roman"/>
      <w:w w:val="100"/>
      <w:sz w:val="20"/>
      <w:szCs w:val="20"/>
    </w:rPr>
  </w:style>
  <w:style w:type="character" w:styleId="ListLabel146">
    <w:name w:val="ListLabel 146"/>
    <w:qFormat/>
    <w:rPr>
      <w:rFonts w:cs="Symbol"/>
    </w:rPr>
  </w:style>
  <w:style w:type="character" w:styleId="ListLabel147">
    <w:name w:val="ListLabel 147"/>
    <w:qFormat/>
    <w:rPr>
      <w:rFonts w:cs="Symbol"/>
    </w:rPr>
  </w:style>
  <w:style w:type="character" w:styleId="ListLabel148">
    <w:name w:val="ListLabel 148"/>
    <w:qFormat/>
    <w:rPr>
      <w:rFonts w:cs="Symbol"/>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eastAsia="Times New Roman" w:cs="Times New Roman"/>
      <w:spacing w:val="0"/>
      <w:w w:val="100"/>
      <w:sz w:val="20"/>
      <w:szCs w:val="20"/>
    </w:rPr>
  </w:style>
  <w:style w:type="character" w:styleId="ListLabel154">
    <w:name w:val="ListLabel 154"/>
    <w:qFormat/>
    <w:rPr>
      <w:rFonts w:cs="Symbol"/>
    </w:rPr>
  </w:style>
  <w:style w:type="character" w:styleId="ListLabel155">
    <w:name w:val="ListLabel 155"/>
    <w:qFormat/>
    <w:rPr>
      <w:rFonts w:cs="Symbol"/>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eastAsia="Times New Roman" w:cs="Times New Roman"/>
      <w:b/>
      <w:bCs/>
      <w:spacing w:val="-5"/>
      <w:w w:val="100"/>
      <w:sz w:val="20"/>
      <w:szCs w:val="20"/>
    </w:rPr>
  </w:style>
  <w:style w:type="character" w:styleId="ListLabel163">
    <w:name w:val="ListLabel 163"/>
    <w:qFormat/>
    <w:rPr>
      <w:rFonts w:eastAsia="Times New Roman" w:cs="Times New Roman"/>
      <w:b/>
      <w:bCs/>
      <w:spacing w:val="-5"/>
      <w:w w:val="100"/>
      <w:sz w:val="20"/>
      <w:szCs w:val="20"/>
    </w:rPr>
  </w:style>
  <w:style w:type="character" w:styleId="ListLabel164">
    <w:name w:val="ListLabel 164"/>
    <w:qFormat/>
    <w:rPr>
      <w:rFonts w:cs="Symbol"/>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eastAsia="Times New Roman" w:cs="Times New Roman"/>
      <w:b/>
      <w:bCs/>
      <w:w w:val="100"/>
      <w:sz w:val="20"/>
      <w:szCs w:val="20"/>
    </w:rPr>
  </w:style>
  <w:style w:type="character" w:styleId="ListLabel171">
    <w:name w:val="ListLabel 171"/>
    <w:qFormat/>
    <w:rPr>
      <w:rFonts w:eastAsia="Times New Roman" w:cs="Times New Roman"/>
      <w:b/>
      <w:bCs/>
      <w:spacing w:val="-5"/>
      <w:w w:val="100"/>
      <w:sz w:val="20"/>
      <w:szCs w:val="20"/>
    </w:rPr>
  </w:style>
  <w:style w:type="character" w:styleId="ListLabel172">
    <w:name w:val="ListLabel 172"/>
    <w:qFormat/>
    <w:rPr>
      <w:rFonts w:eastAsia="Times New Roman" w:cs="Times New Roman"/>
      <w:b/>
      <w:bCs/>
      <w:spacing w:val="-5"/>
      <w:w w:val="100"/>
      <w:sz w:val="20"/>
      <w:szCs w:val="20"/>
    </w:rPr>
  </w:style>
  <w:style w:type="character" w:styleId="ListLabel173">
    <w:name w:val="ListLabel 173"/>
    <w:qFormat/>
    <w:rPr>
      <w:rFonts w:eastAsia="Times New Roman" w:cs="Times New Roman"/>
      <w:spacing w:val="-5"/>
      <w:w w:val="100"/>
      <w:sz w:val="20"/>
      <w:szCs w:val="20"/>
    </w:rPr>
  </w:style>
  <w:style w:type="character" w:styleId="ListLabel174">
    <w:name w:val="ListLabel 174"/>
    <w:qFormat/>
    <w:rPr>
      <w:rFonts w:cs="Symbol"/>
    </w:rPr>
  </w:style>
  <w:style w:type="character" w:styleId="ListLabel175">
    <w:name w:val="ListLabel 175"/>
    <w:qFormat/>
    <w:rPr>
      <w:rFonts w:cs="Symbol"/>
    </w:rPr>
  </w:style>
  <w:style w:type="character" w:styleId="ListLabel176">
    <w:name w:val="ListLabel 176"/>
    <w:qFormat/>
    <w:rPr>
      <w:rFonts w:cs="Symbol"/>
    </w:rPr>
  </w:style>
  <w:style w:type="character" w:styleId="ListLabel177">
    <w:name w:val="ListLabel 177"/>
    <w:qFormat/>
    <w:rPr>
      <w:rFonts w:cs="Symbol"/>
    </w:rPr>
  </w:style>
  <w:style w:type="character" w:styleId="ListLabel178">
    <w:name w:val="ListLabel 178"/>
    <w:qFormat/>
    <w:rPr>
      <w:rFonts w:cs="Symbol"/>
    </w:rPr>
  </w:style>
  <w:style w:type="character" w:styleId="ListLabel179">
    <w:name w:val="ListLabel 179"/>
    <w:qFormat/>
    <w:rPr>
      <w:rFonts w:eastAsia="Times New Roman" w:cs="Times New Roman"/>
      <w:w w:val="99"/>
      <w:sz w:val="20"/>
      <w:szCs w:val="24"/>
    </w:rPr>
  </w:style>
  <w:style w:type="character" w:styleId="ListLabel180">
    <w:name w:val="ListLabel 180"/>
    <w:qFormat/>
    <w:rPr>
      <w:rFonts w:cs="Symbol"/>
    </w:rPr>
  </w:style>
  <w:style w:type="character" w:styleId="ListLabel181">
    <w:name w:val="ListLabel 181"/>
    <w:qFormat/>
    <w:rPr>
      <w:rFonts w:cs="Symbol"/>
    </w:rPr>
  </w:style>
  <w:style w:type="character" w:styleId="ListLabel182">
    <w:name w:val="ListLabel 182"/>
    <w:qFormat/>
    <w:rPr>
      <w:rFonts w:cs="Symbol"/>
    </w:rPr>
  </w:style>
  <w:style w:type="character" w:styleId="ListLabel183">
    <w:name w:val="ListLabel 183"/>
    <w:qFormat/>
    <w:rPr>
      <w:rFonts w:cs="Symbol"/>
    </w:rPr>
  </w:style>
  <w:style w:type="character" w:styleId="ListLabel184">
    <w:name w:val="ListLabel 184"/>
    <w:qFormat/>
    <w:rPr>
      <w:rFonts w:cs="Symbol"/>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cs="Symbol"/>
    </w:rPr>
  </w:style>
  <w:style w:type="character" w:styleId="ListLabel188">
    <w:name w:val="ListLabel 188"/>
    <w:qFormat/>
    <w:rPr>
      <w:rFonts w:eastAsia="Times New Roman" w:cs="Times New Roman"/>
      <w:w w:val="99"/>
      <w:sz w:val="20"/>
      <w:szCs w:val="24"/>
    </w:rPr>
  </w:style>
  <w:style w:type="character" w:styleId="ListLabel189">
    <w:name w:val="ListLabel 189"/>
    <w:qFormat/>
    <w:rPr>
      <w:rFonts w:cs="Symbol"/>
    </w:rPr>
  </w:style>
  <w:style w:type="character" w:styleId="ListLabel190">
    <w:name w:val="ListLabel 190"/>
    <w:qFormat/>
    <w:rPr>
      <w:rFonts w:cs="Symbol"/>
    </w:rPr>
  </w:style>
  <w:style w:type="character" w:styleId="ListLabel191">
    <w:name w:val="ListLabel 191"/>
    <w:qFormat/>
    <w:rPr>
      <w:rFonts w:cs="Symbol"/>
    </w:rPr>
  </w:style>
  <w:style w:type="character" w:styleId="ListLabel192">
    <w:name w:val="ListLabel 192"/>
    <w:qFormat/>
    <w:rPr>
      <w:rFonts w:cs="Symbol"/>
    </w:rPr>
  </w:style>
  <w:style w:type="character" w:styleId="ListLabel193">
    <w:name w:val="ListLabel 193"/>
    <w:qFormat/>
    <w:rPr>
      <w:rFonts w:cs="Symbol"/>
    </w:rPr>
  </w:style>
  <w:style w:type="character" w:styleId="ListLabel194">
    <w:name w:val="ListLabel 194"/>
    <w:qFormat/>
    <w:rPr>
      <w:rFonts w:cs="Symbol"/>
    </w:rPr>
  </w:style>
  <w:style w:type="character" w:styleId="ListLabel195">
    <w:name w:val="ListLabel 195"/>
    <w:qFormat/>
    <w:rPr>
      <w:rFonts w:cs="Symbol"/>
    </w:rPr>
  </w:style>
  <w:style w:type="character" w:styleId="ListLabel196">
    <w:name w:val="ListLabel 196"/>
    <w:qFormat/>
    <w:rPr>
      <w:rFonts w:cs="Symbol"/>
    </w:rPr>
  </w:style>
  <w:style w:type="character" w:styleId="ListLabel197">
    <w:name w:val="ListLabel 197"/>
    <w:qFormat/>
    <w:rPr>
      <w:rFonts w:eastAsia="Times New Roman" w:cs="Times New Roman"/>
      <w:w w:val="100"/>
      <w:sz w:val="20"/>
      <w:szCs w:val="20"/>
    </w:rPr>
  </w:style>
  <w:style w:type="character" w:styleId="ListLabel198">
    <w:name w:val="ListLabel 198"/>
    <w:qFormat/>
    <w:rPr>
      <w:rFonts w:cs="Symbol"/>
    </w:rPr>
  </w:style>
  <w:style w:type="character" w:styleId="ListLabel199">
    <w:name w:val="ListLabel 199"/>
    <w:qFormat/>
    <w:rPr>
      <w:rFonts w:cs="Symbol"/>
    </w:rPr>
  </w:style>
  <w:style w:type="character" w:styleId="ListLabel200">
    <w:name w:val="ListLabel 200"/>
    <w:qFormat/>
    <w:rPr>
      <w:rFonts w:cs="Symbol"/>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eastAsia="Times New Roman" w:cs="Times New Roman"/>
      <w:w w:val="100"/>
      <w:sz w:val="20"/>
      <w:szCs w:val="20"/>
    </w:rPr>
  </w:style>
  <w:style w:type="character" w:styleId="ListLabel207">
    <w:name w:val="ListLabel 207"/>
    <w:qFormat/>
    <w:rPr>
      <w:rFonts w:cs="Symbol"/>
    </w:rPr>
  </w:style>
  <w:style w:type="character" w:styleId="ListLabel208">
    <w:name w:val="ListLabel 208"/>
    <w:qFormat/>
    <w:rPr>
      <w:rFonts w:cs="Symbol"/>
    </w:rPr>
  </w:style>
  <w:style w:type="character" w:styleId="ListLabel209">
    <w:name w:val="ListLabel 209"/>
    <w:qFormat/>
    <w:rPr>
      <w:rFonts w:cs="Symbol"/>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eastAsia="Times New Roman" w:cs="Times New Roman"/>
      <w:b/>
      <w:bCs/>
      <w:spacing w:val="-5"/>
      <w:w w:val="100"/>
      <w:sz w:val="20"/>
      <w:szCs w:val="20"/>
    </w:rPr>
  </w:style>
  <w:style w:type="character" w:styleId="ListLabel216">
    <w:name w:val="ListLabel 216"/>
    <w:qFormat/>
    <w:rPr>
      <w:rFonts w:cs="Symbol"/>
    </w:rPr>
  </w:style>
  <w:style w:type="character" w:styleId="ListLabel217">
    <w:name w:val="ListLabel 217"/>
    <w:qFormat/>
    <w:rPr>
      <w:rFonts w:cs="Symbol"/>
    </w:rPr>
  </w:style>
  <w:style w:type="character" w:styleId="ListLabel218">
    <w:name w:val="ListLabel 218"/>
    <w:qFormat/>
    <w:rPr>
      <w:rFonts w:cs="Symbol"/>
    </w:rPr>
  </w:style>
  <w:style w:type="character" w:styleId="ListLabel219">
    <w:name w:val="ListLabel 219"/>
    <w:qFormat/>
    <w:rPr>
      <w:rFonts w:cs="Symbol"/>
    </w:rPr>
  </w:style>
  <w:style w:type="character" w:styleId="ListLabel220">
    <w:name w:val="ListLabel 220"/>
    <w:qFormat/>
    <w:rPr>
      <w:rFonts w:cs="Symbol"/>
    </w:rPr>
  </w:style>
  <w:style w:type="character" w:styleId="ListLabel221">
    <w:name w:val="ListLabel 221"/>
    <w:qFormat/>
    <w:rPr>
      <w:rFonts w:cs="Symbol"/>
    </w:rPr>
  </w:style>
  <w:style w:type="character" w:styleId="ListLabel222">
    <w:name w:val="ListLabel 222"/>
    <w:qFormat/>
    <w:rPr>
      <w:rFonts w:eastAsia="Times New Roman" w:cs="Times New Roman"/>
      <w:w w:val="100"/>
      <w:sz w:val="20"/>
      <w:szCs w:val="20"/>
    </w:rPr>
  </w:style>
  <w:style w:type="character" w:styleId="ListLabel223">
    <w:name w:val="ListLabel 223"/>
    <w:qFormat/>
    <w:rPr>
      <w:rFonts w:cs="Times New Roman"/>
      <w:w w:val="100"/>
      <w:sz w:val="20"/>
      <w:szCs w:val="20"/>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cs="Symbol"/>
    </w:rPr>
  </w:style>
  <w:style w:type="character" w:styleId="ListLabel227">
    <w:name w:val="ListLabel 227"/>
    <w:qFormat/>
    <w:rPr>
      <w:rFonts w:cs="Symbol"/>
    </w:rPr>
  </w:style>
  <w:style w:type="character" w:styleId="ListLabel228">
    <w:name w:val="ListLabel 228"/>
    <w:qFormat/>
    <w:rPr>
      <w:rFonts w:cs="Symbol"/>
    </w:rPr>
  </w:style>
  <w:style w:type="character" w:styleId="ListLabel229">
    <w:name w:val="ListLabel 229"/>
    <w:qFormat/>
    <w:rPr>
      <w:rFonts w:cs="Symbol"/>
    </w:rPr>
  </w:style>
  <w:style w:type="character" w:styleId="ListLabel230">
    <w:name w:val="ListLabel 230"/>
    <w:qFormat/>
    <w:rPr>
      <w:rFonts w:cs="Symbol"/>
    </w:rPr>
  </w:style>
  <w:style w:type="character" w:styleId="ListLabel231">
    <w:name w:val="ListLabel 231"/>
    <w:qFormat/>
    <w:rPr>
      <w:rFonts w:cs="Times New Roman"/>
      <w:w w:val="100"/>
      <w:sz w:val="20"/>
      <w:szCs w:val="20"/>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cs="Symbol"/>
    </w:rPr>
  </w:style>
  <w:style w:type="character" w:styleId="ListLabel236">
    <w:name w:val="ListLabel 236"/>
    <w:qFormat/>
    <w:rPr>
      <w:rFonts w:cs="Symbol"/>
    </w:rPr>
  </w:style>
  <w:style w:type="character" w:styleId="ListLabel237">
    <w:name w:val="ListLabel 237"/>
    <w:qFormat/>
    <w:rPr>
      <w:rFonts w:cs="Symbol"/>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eastAsia="Times New Roman" w:cs="Times New Roman"/>
      <w:b/>
      <w:bCs/>
      <w:spacing w:val="-5"/>
      <w:w w:val="100"/>
      <w:sz w:val="20"/>
      <w:szCs w:val="20"/>
    </w:rPr>
  </w:style>
  <w:style w:type="character" w:styleId="ListLabel241">
    <w:name w:val="ListLabel 241"/>
    <w:qFormat/>
    <w:rPr>
      <w:rFonts w:eastAsia="Times New Roman" w:cs="Times New Roman"/>
      <w:b/>
      <w:bCs/>
      <w:spacing w:val="-5"/>
      <w:w w:val="100"/>
      <w:sz w:val="20"/>
      <w:szCs w:val="20"/>
    </w:rPr>
  </w:style>
  <w:style w:type="character" w:styleId="ListLabel242">
    <w:name w:val="ListLabel 242"/>
    <w:qFormat/>
    <w:rPr>
      <w:rFonts w:eastAsia="Times New Roman" w:cs="Times New Roman"/>
      <w:spacing w:val="-5"/>
      <w:w w:val="100"/>
      <w:sz w:val="20"/>
      <w:szCs w:val="20"/>
    </w:rPr>
  </w:style>
  <w:style w:type="character" w:styleId="ListLabel243">
    <w:name w:val="ListLabel 243"/>
    <w:qFormat/>
    <w:rPr>
      <w:rFonts w:cs="Symbol"/>
    </w:rPr>
  </w:style>
  <w:style w:type="character" w:styleId="ListLabel244">
    <w:name w:val="ListLabel 244"/>
    <w:qFormat/>
    <w:rPr>
      <w:rFonts w:cs="Symbol"/>
    </w:rPr>
  </w:style>
  <w:style w:type="character" w:styleId="ListLabel245">
    <w:name w:val="ListLabel 245"/>
    <w:qFormat/>
    <w:rPr>
      <w:rFonts w:cs="Symbol"/>
    </w:rPr>
  </w:style>
  <w:style w:type="character" w:styleId="ListLabel246">
    <w:name w:val="ListLabel 246"/>
    <w:qFormat/>
    <w:rPr>
      <w:rFonts w:cs="Symbol"/>
    </w:rPr>
  </w:style>
  <w:style w:type="character" w:styleId="ListLabel247">
    <w:name w:val="ListLabel 247"/>
    <w:qFormat/>
    <w:rPr>
      <w:rFonts w:cs="Symbol"/>
    </w:rPr>
  </w:style>
  <w:style w:type="character" w:styleId="ListLabel248">
    <w:name w:val="ListLabel 248"/>
    <w:qFormat/>
    <w:rPr>
      <w:rFonts w:cs="Symbol"/>
      <w:w w:val="100"/>
      <w:sz w:val="20"/>
      <w:szCs w:val="20"/>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Symbol"/>
    </w:rPr>
  </w:style>
  <w:style w:type="character" w:styleId="ListLabel253">
    <w:name w:val="ListLabel 253"/>
    <w:qFormat/>
    <w:rPr>
      <w:rFonts w:cs="Symbol"/>
    </w:rPr>
  </w:style>
  <w:style w:type="character" w:styleId="ListLabel254">
    <w:name w:val="ListLabel 254"/>
    <w:qFormat/>
    <w:rPr>
      <w:rFonts w:cs="Symbol"/>
    </w:rPr>
  </w:style>
  <w:style w:type="character" w:styleId="ListLabel255">
    <w:name w:val="ListLabel 255"/>
    <w:qFormat/>
    <w:rPr>
      <w:rFonts w:cs="Symbol"/>
    </w:rPr>
  </w:style>
  <w:style w:type="character" w:styleId="ListLabel256">
    <w:name w:val="ListLabel 256"/>
    <w:qFormat/>
    <w:rPr>
      <w:rFonts w:cs="Symbol"/>
    </w:rPr>
  </w:style>
  <w:style w:type="character" w:styleId="ListLabel257">
    <w:name w:val="ListLabel 257"/>
    <w:qFormat/>
    <w:rPr>
      <w:rFonts w:eastAsia="Times New Roman" w:cs="Times New Roman"/>
      <w:b/>
      <w:bCs/>
      <w:spacing w:val="-5"/>
      <w:w w:val="100"/>
      <w:sz w:val="20"/>
      <w:szCs w:val="20"/>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cs="Symbol"/>
    </w:rPr>
  </w:style>
  <w:style w:type="character" w:styleId="ListLabel262">
    <w:name w:val="ListLabel 262"/>
    <w:qFormat/>
    <w:rPr>
      <w:rFonts w:cs="Symbol"/>
    </w:rPr>
  </w:style>
  <w:style w:type="character" w:styleId="ListLabel263">
    <w:name w:val="ListLabel 263"/>
    <w:qFormat/>
    <w:rPr>
      <w:rFonts w:cs="Symbol"/>
    </w:rPr>
  </w:style>
  <w:style w:type="character" w:styleId="ListLabel264">
    <w:name w:val="ListLabel 264"/>
    <w:qFormat/>
    <w:rPr>
      <w:rFonts w:cs="Symbol"/>
    </w:rPr>
  </w:style>
  <w:style w:type="character" w:styleId="ListLabel265">
    <w:name w:val="ListLabel 265"/>
    <w:qFormat/>
    <w:rPr>
      <w:rFonts w:cs="Times New Roman"/>
      <w:w w:val="98"/>
      <w:sz w:val="20"/>
      <w:szCs w:val="16"/>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cs="Symbol"/>
    </w:rPr>
  </w:style>
  <w:style w:type="character" w:styleId="ListLabel271">
    <w:name w:val="ListLabel 271"/>
    <w:qFormat/>
    <w:rPr>
      <w:rFonts w:cs="Symbol"/>
    </w:rPr>
  </w:style>
  <w:style w:type="character" w:styleId="ListLabel272">
    <w:name w:val="ListLabel 272"/>
    <w:qFormat/>
    <w:rPr>
      <w:rFonts w:cs="Symbol"/>
    </w:rPr>
  </w:style>
  <w:style w:type="character" w:styleId="ListLabel273">
    <w:name w:val="ListLabel 273"/>
    <w:qFormat/>
    <w:rPr>
      <w:rFonts w:cs="Symbol"/>
    </w:rPr>
  </w:style>
  <w:style w:type="character" w:styleId="ListLabel274">
    <w:name w:val="ListLabel 274"/>
    <w:qFormat/>
    <w:rPr>
      <w:rFonts w:eastAsia="Times New Roman" w:cs="Times New Roman"/>
      <w:spacing w:val="0"/>
      <w:w w:val="100"/>
      <w:sz w:val="20"/>
      <w:szCs w:val="20"/>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cs="Symbol"/>
    </w:rPr>
  </w:style>
  <w:style w:type="character" w:styleId="ListLabel280">
    <w:name w:val="ListLabel 280"/>
    <w:qFormat/>
    <w:rPr>
      <w:rFonts w:cs="Symbol"/>
    </w:rPr>
  </w:style>
  <w:style w:type="character" w:styleId="ListLabel281">
    <w:name w:val="ListLabel 281"/>
    <w:qFormat/>
    <w:rPr>
      <w:rFonts w:cs="Symbol"/>
    </w:rPr>
  </w:style>
  <w:style w:type="character" w:styleId="ListLabel282">
    <w:name w:val="ListLabel 282"/>
    <w:qFormat/>
    <w:rPr>
      <w:rFonts w:cs="Symbol"/>
    </w:rPr>
  </w:style>
  <w:style w:type="character" w:styleId="ListLabel283">
    <w:name w:val="ListLabel 283"/>
    <w:qFormat/>
    <w:rPr>
      <w:rFonts w:cs="Symbol"/>
      <w:w w:val="98"/>
      <w:sz w:val="20"/>
    </w:rPr>
  </w:style>
  <w:style w:type="character" w:styleId="ListLabel284">
    <w:name w:val="ListLabel 284"/>
    <w:qFormat/>
    <w:rPr>
      <w:rFonts w:cs="Symbol"/>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cs="Symbol"/>
    </w:rPr>
  </w:style>
  <w:style w:type="character" w:styleId="ListLabel289">
    <w:name w:val="ListLabel 289"/>
    <w:qFormat/>
    <w:rPr>
      <w:rFonts w:cs="Symbol"/>
    </w:rPr>
  </w:style>
  <w:style w:type="character" w:styleId="ListLabel290">
    <w:name w:val="ListLabel 290"/>
    <w:qFormat/>
    <w:rPr>
      <w:rFonts w:cs="Symbol"/>
    </w:rPr>
  </w:style>
  <w:style w:type="character" w:styleId="ListLabel291">
    <w:name w:val="ListLabel 291"/>
    <w:qFormat/>
    <w:rPr>
      <w:rFonts w:cs="Symbol"/>
    </w:rPr>
  </w:style>
  <w:style w:type="character" w:styleId="ListLabel292">
    <w:name w:val="ListLabel 292"/>
    <w:qFormat/>
    <w:rPr>
      <w:rFonts w:cs="Symbol"/>
      <w:w w:val="100"/>
      <w:sz w:val="20"/>
    </w:rPr>
  </w:style>
  <w:style w:type="character" w:styleId="ListLabel293">
    <w:name w:val="ListLabel 293"/>
    <w:qFormat/>
    <w:rPr>
      <w:rFonts w:cs="Times New Roman"/>
      <w:w w:val="100"/>
      <w:sz w:val="20"/>
      <w:szCs w:val="20"/>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cs="Symbol"/>
    </w:rPr>
  </w:style>
  <w:style w:type="character" w:styleId="ListLabel297">
    <w:name w:val="ListLabel 297"/>
    <w:qFormat/>
    <w:rPr>
      <w:rFonts w:cs="Symbol"/>
    </w:rPr>
  </w:style>
  <w:style w:type="character" w:styleId="ListLabel298">
    <w:name w:val="ListLabel 298"/>
    <w:qFormat/>
    <w:rPr>
      <w:rFonts w:cs="Symbol"/>
    </w:rPr>
  </w:style>
  <w:style w:type="character" w:styleId="ListLabel299">
    <w:name w:val="ListLabel 299"/>
    <w:qFormat/>
    <w:rPr>
      <w:rFonts w:cs="Symbol"/>
    </w:rPr>
  </w:style>
  <w:style w:type="character" w:styleId="ListLabel300">
    <w:name w:val="ListLabel 300"/>
    <w:qFormat/>
    <w:rPr>
      <w:rFonts w:cs="Symbol"/>
    </w:rPr>
  </w:style>
  <w:style w:type="character" w:styleId="ListLabel301">
    <w:name w:val="ListLabel 301"/>
    <w:qFormat/>
    <w:rPr>
      <w:rFonts w:eastAsia="Times New Roman" w:cs="Times New Roman"/>
      <w:spacing w:val="0"/>
      <w:w w:val="100"/>
      <w:sz w:val="20"/>
      <w:szCs w:val="20"/>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cs="Symbol"/>
    </w:rPr>
  </w:style>
  <w:style w:type="character" w:styleId="ListLabel307">
    <w:name w:val="ListLabel 307"/>
    <w:qFormat/>
    <w:rPr>
      <w:rFonts w:cs="Symbol"/>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eastAsia="Times New Roman" w:cs="Times New Roman"/>
      <w:b/>
      <w:bCs/>
      <w:spacing w:val="-5"/>
      <w:w w:val="100"/>
      <w:sz w:val="20"/>
      <w:szCs w:val="20"/>
    </w:rPr>
  </w:style>
  <w:style w:type="character" w:styleId="ListLabel311">
    <w:name w:val="ListLabel 311"/>
    <w:qFormat/>
    <w:rPr>
      <w:rFonts w:eastAsia="Times New Roman" w:cs="Times New Roman"/>
      <w:b/>
      <w:bCs/>
      <w:spacing w:val="-5"/>
      <w:w w:val="100"/>
      <w:sz w:val="20"/>
      <w:szCs w:val="20"/>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cs="Symbol"/>
    </w:rPr>
  </w:style>
  <w:style w:type="character" w:styleId="ListLabel315">
    <w:name w:val="ListLabel 315"/>
    <w:qFormat/>
    <w:rPr>
      <w:rFonts w:cs="Symbol"/>
    </w:rPr>
  </w:style>
  <w:style w:type="character" w:styleId="ListLabel316">
    <w:name w:val="ListLabel 316"/>
    <w:qFormat/>
    <w:rPr>
      <w:rFonts w:cs="Symbol"/>
    </w:rPr>
  </w:style>
  <w:style w:type="character" w:styleId="ListLabel317">
    <w:name w:val="ListLabel 317"/>
    <w:qFormat/>
    <w:rPr>
      <w:rFonts w:cs="Symbol"/>
    </w:rPr>
  </w:style>
  <w:style w:type="character" w:styleId="ListLabel318">
    <w:name w:val="ListLabel 318"/>
    <w:qFormat/>
    <w:rPr>
      <w:rFonts w:eastAsia="Times New Roman" w:cs="Times New Roman"/>
      <w:b/>
      <w:bCs/>
      <w:w w:val="100"/>
      <w:sz w:val="20"/>
      <w:szCs w:val="20"/>
    </w:rPr>
  </w:style>
  <w:style w:type="character" w:styleId="ListLabel319">
    <w:name w:val="ListLabel 319"/>
    <w:qFormat/>
    <w:rPr>
      <w:rFonts w:eastAsia="Times New Roman" w:cs="Times New Roman"/>
      <w:b/>
      <w:bCs/>
      <w:spacing w:val="-5"/>
      <w:w w:val="100"/>
      <w:sz w:val="20"/>
      <w:szCs w:val="20"/>
    </w:rPr>
  </w:style>
  <w:style w:type="character" w:styleId="ListLabel320">
    <w:name w:val="ListLabel 320"/>
    <w:qFormat/>
    <w:rPr>
      <w:rFonts w:eastAsia="Times New Roman" w:cs="Times New Roman"/>
      <w:b/>
      <w:bCs/>
      <w:spacing w:val="-5"/>
      <w:w w:val="100"/>
      <w:sz w:val="20"/>
      <w:szCs w:val="20"/>
    </w:rPr>
  </w:style>
  <w:style w:type="character" w:styleId="ListLabel321">
    <w:name w:val="ListLabel 321"/>
    <w:qFormat/>
    <w:rPr>
      <w:rFonts w:eastAsia="Times New Roman" w:cs="Times New Roman"/>
      <w:spacing w:val="-5"/>
      <w:w w:val="100"/>
      <w:sz w:val="20"/>
      <w:szCs w:val="20"/>
    </w:rPr>
  </w:style>
  <w:style w:type="character" w:styleId="ListLabel322">
    <w:name w:val="ListLabel 322"/>
    <w:qFormat/>
    <w:rPr>
      <w:rFonts w:cs="Symbol"/>
    </w:rPr>
  </w:style>
  <w:style w:type="character" w:styleId="ListLabel323">
    <w:name w:val="ListLabel 323"/>
    <w:qFormat/>
    <w:rPr>
      <w:rFonts w:cs="Symbol"/>
    </w:rPr>
  </w:style>
  <w:style w:type="character" w:styleId="ListLabel324">
    <w:name w:val="ListLabel 324"/>
    <w:qFormat/>
    <w:rPr>
      <w:rFonts w:cs="Symbol"/>
    </w:rPr>
  </w:style>
  <w:style w:type="character" w:styleId="ListLabel325">
    <w:name w:val="ListLabel 325"/>
    <w:qFormat/>
    <w:rPr>
      <w:rFonts w:cs="Symbol"/>
    </w:rPr>
  </w:style>
  <w:style w:type="character" w:styleId="ListLabel326">
    <w:name w:val="ListLabel 326"/>
    <w:qFormat/>
    <w:rPr>
      <w:rFonts w:cs="Symbol"/>
    </w:rPr>
  </w:style>
  <w:style w:type="character" w:styleId="ListLabel327">
    <w:name w:val="ListLabel 327"/>
    <w:qFormat/>
    <w:rPr>
      <w:rFonts w:eastAsia="Times New Roman" w:cs="Times New Roman"/>
      <w:w w:val="99"/>
      <w:sz w:val="20"/>
      <w:szCs w:val="24"/>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cs="Symbol"/>
    </w:rPr>
  </w:style>
  <w:style w:type="character" w:styleId="ListLabel333">
    <w:name w:val="ListLabel 333"/>
    <w:qFormat/>
    <w:rPr>
      <w:rFonts w:cs="Symbol"/>
    </w:rPr>
  </w:style>
  <w:style w:type="character" w:styleId="ListLabel334">
    <w:name w:val="ListLabel 334"/>
    <w:qFormat/>
    <w:rPr>
      <w:rFonts w:cs="Symbol"/>
    </w:rPr>
  </w:style>
  <w:style w:type="character" w:styleId="ListLabel335">
    <w:name w:val="ListLabel 335"/>
    <w:qFormat/>
    <w:rPr>
      <w:rFonts w:cs="Symbol"/>
    </w:rPr>
  </w:style>
  <w:style w:type="character" w:styleId="ListLabel336">
    <w:name w:val="ListLabel 336"/>
    <w:qFormat/>
    <w:rPr>
      <w:rFonts w:eastAsia="Times New Roman" w:cs="Times New Roman"/>
      <w:w w:val="99"/>
      <w:sz w:val="20"/>
      <w:szCs w:val="24"/>
    </w:rPr>
  </w:style>
  <w:style w:type="character" w:styleId="ListLabel337">
    <w:name w:val="ListLabel 337"/>
    <w:qFormat/>
    <w:rPr>
      <w:rFonts w:cs="Symbol"/>
    </w:rPr>
  </w:style>
  <w:style w:type="character" w:styleId="ListLabel338">
    <w:name w:val="ListLabel 338"/>
    <w:qFormat/>
    <w:rPr>
      <w:rFonts w:cs="Symbol"/>
    </w:rPr>
  </w:style>
  <w:style w:type="character" w:styleId="ListLabel339">
    <w:name w:val="ListLabel 339"/>
    <w:qFormat/>
    <w:rPr>
      <w:rFonts w:cs="Symbol"/>
    </w:rPr>
  </w:style>
  <w:style w:type="character" w:styleId="ListLabel340">
    <w:name w:val="ListLabel 340"/>
    <w:qFormat/>
    <w:rPr>
      <w:rFonts w:cs="Symbol"/>
    </w:rPr>
  </w:style>
  <w:style w:type="character" w:styleId="ListLabel341">
    <w:name w:val="ListLabel 341"/>
    <w:qFormat/>
    <w:rPr>
      <w:rFonts w:cs="Symbol"/>
    </w:rPr>
  </w:style>
  <w:style w:type="character" w:styleId="ListLabel342">
    <w:name w:val="ListLabel 342"/>
    <w:qFormat/>
    <w:rPr>
      <w:rFonts w:cs="Symbol"/>
    </w:rPr>
  </w:style>
  <w:style w:type="character" w:styleId="ListLabel343">
    <w:name w:val="ListLabel 343"/>
    <w:qFormat/>
    <w:rPr>
      <w:rFonts w:cs="Symbol"/>
    </w:rPr>
  </w:style>
  <w:style w:type="character" w:styleId="ListLabel344">
    <w:name w:val="ListLabel 344"/>
    <w:qFormat/>
    <w:rPr>
      <w:rFonts w:cs="Symbol"/>
    </w:rPr>
  </w:style>
  <w:style w:type="character" w:styleId="ListLabel345">
    <w:name w:val="ListLabel 345"/>
    <w:qFormat/>
    <w:rPr>
      <w:rFonts w:eastAsia="Times New Roman" w:cs="Times New Roman"/>
      <w:w w:val="100"/>
      <w:sz w:val="20"/>
      <w:szCs w:val="20"/>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cs="Symbol"/>
    </w:rPr>
  </w:style>
  <w:style w:type="character" w:styleId="ListLabel351">
    <w:name w:val="ListLabel 351"/>
    <w:qFormat/>
    <w:rPr>
      <w:rFonts w:cs="Symbol"/>
    </w:rPr>
  </w:style>
  <w:style w:type="character" w:styleId="ListLabel352">
    <w:name w:val="ListLabel 352"/>
    <w:qFormat/>
    <w:rPr>
      <w:rFonts w:cs="Symbol"/>
    </w:rPr>
  </w:style>
  <w:style w:type="character" w:styleId="ListLabel353">
    <w:name w:val="ListLabel 353"/>
    <w:qFormat/>
    <w:rPr>
      <w:rFonts w:cs="Symbol"/>
    </w:rPr>
  </w:style>
  <w:style w:type="character" w:styleId="ListLabel354">
    <w:name w:val="ListLabel 354"/>
    <w:qFormat/>
    <w:rPr>
      <w:rFonts w:eastAsia="Times New Roman" w:cs="Times New Roman"/>
      <w:w w:val="100"/>
      <w:sz w:val="20"/>
      <w:szCs w:val="20"/>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cs="Symbol"/>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Symbol"/>
    </w:rPr>
  </w:style>
  <w:style w:type="character" w:styleId="ListLabel363">
    <w:name w:val="ListLabel 363"/>
    <w:qFormat/>
    <w:rPr>
      <w:rFonts w:eastAsia="Times New Roman" w:cs="Times New Roman"/>
      <w:b/>
      <w:bCs/>
      <w:spacing w:val="-5"/>
      <w:w w:val="100"/>
      <w:sz w:val="20"/>
      <w:szCs w:val="20"/>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cs="Symbol"/>
    </w:rPr>
  </w:style>
  <w:style w:type="character" w:styleId="ListLabel367">
    <w:name w:val="ListLabel 367"/>
    <w:qFormat/>
    <w:rPr>
      <w:rFonts w:cs="Symbol"/>
    </w:rPr>
  </w:style>
  <w:style w:type="character" w:styleId="ListLabel368">
    <w:name w:val="ListLabel 368"/>
    <w:qFormat/>
    <w:rPr>
      <w:rFonts w:cs="Symbol"/>
    </w:rPr>
  </w:style>
  <w:style w:type="character" w:styleId="ListLabel369">
    <w:name w:val="ListLabel 369"/>
    <w:qFormat/>
    <w:rPr>
      <w:rFonts w:cs="Symbol"/>
    </w:rPr>
  </w:style>
  <w:style w:type="character" w:styleId="ListLabel370">
    <w:name w:val="ListLabel 370"/>
    <w:qFormat/>
    <w:rPr>
      <w:rFonts w:eastAsia="Times New Roman" w:cs="Times New Roman"/>
      <w:w w:val="100"/>
      <w:sz w:val="20"/>
      <w:szCs w:val="20"/>
    </w:rPr>
  </w:style>
  <w:style w:type="character" w:styleId="ListLabel371">
    <w:name w:val="ListLabel 371"/>
    <w:qFormat/>
    <w:rPr>
      <w:rFonts w:cs="Times New Roman"/>
      <w:w w:val="100"/>
      <w:sz w:val="20"/>
      <w:szCs w:val="20"/>
    </w:rPr>
  </w:style>
  <w:style w:type="character" w:styleId="ListLabel372">
    <w:name w:val="ListLabel 372"/>
    <w:qFormat/>
    <w:rPr>
      <w:rFonts w:cs="Symbol"/>
    </w:rPr>
  </w:style>
  <w:style w:type="character" w:styleId="ListLabel373">
    <w:name w:val="ListLabel 373"/>
    <w:qFormat/>
    <w:rPr>
      <w:rFonts w:cs="Symbol"/>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cs="Symbol"/>
    </w:rPr>
  </w:style>
  <w:style w:type="character" w:styleId="ListLabel377">
    <w:name w:val="ListLabel 377"/>
    <w:qFormat/>
    <w:rPr>
      <w:rFonts w:cs="Symbol"/>
    </w:rPr>
  </w:style>
  <w:style w:type="character" w:styleId="ListLabel378">
    <w:name w:val="ListLabel 378"/>
    <w:qFormat/>
    <w:rPr>
      <w:rFonts w:cs="Symbol"/>
    </w:rPr>
  </w:style>
  <w:style w:type="character" w:styleId="ListLabel379">
    <w:name w:val="ListLabel 379"/>
    <w:qFormat/>
    <w:rPr>
      <w:rFonts w:cs="Times New Roman"/>
      <w:w w:val="100"/>
      <w:sz w:val="20"/>
      <w:szCs w:val="20"/>
    </w:rPr>
  </w:style>
  <w:style w:type="character" w:styleId="ListLabel380">
    <w:name w:val="ListLabel 380"/>
    <w:qFormat/>
    <w:rPr>
      <w:rFonts w:cs="Symbol"/>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cs="Symbol"/>
    </w:rPr>
  </w:style>
  <w:style w:type="character" w:styleId="ListLabel386">
    <w:name w:val="ListLabel 386"/>
    <w:qFormat/>
    <w:rPr>
      <w:rFonts w:cs="Symbol"/>
    </w:rPr>
  </w:style>
  <w:style w:type="character" w:styleId="ListLabel387">
    <w:name w:val="ListLabel 387"/>
    <w:qFormat/>
    <w:rPr>
      <w:rFonts w:cs="Symbol"/>
    </w:rPr>
  </w:style>
  <w:style w:type="character" w:styleId="ListLabel388">
    <w:name w:val="ListLabel 388"/>
    <w:qFormat/>
    <w:rPr>
      <w:rFonts w:eastAsia="Times New Roman" w:cs="Times New Roman"/>
      <w:b/>
      <w:bCs/>
      <w:spacing w:val="-5"/>
      <w:w w:val="100"/>
      <w:sz w:val="20"/>
      <w:szCs w:val="20"/>
    </w:rPr>
  </w:style>
  <w:style w:type="character" w:styleId="ListLabel389">
    <w:name w:val="ListLabel 389"/>
    <w:qFormat/>
    <w:rPr>
      <w:rFonts w:eastAsia="Times New Roman" w:cs="Times New Roman"/>
      <w:b/>
      <w:bCs/>
      <w:spacing w:val="-5"/>
      <w:w w:val="100"/>
      <w:sz w:val="20"/>
      <w:szCs w:val="20"/>
    </w:rPr>
  </w:style>
  <w:style w:type="character" w:styleId="ListLabel390">
    <w:name w:val="ListLabel 390"/>
    <w:qFormat/>
    <w:rPr>
      <w:rFonts w:eastAsia="Times New Roman" w:cs="Times New Roman"/>
      <w:spacing w:val="-5"/>
      <w:w w:val="100"/>
      <w:sz w:val="20"/>
      <w:szCs w:val="20"/>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cs="Symbol"/>
    </w:rPr>
  </w:style>
  <w:style w:type="character" w:styleId="ListLabel395">
    <w:name w:val="ListLabel 395"/>
    <w:qFormat/>
    <w:rPr>
      <w:rFonts w:cs="Symbol"/>
    </w:rPr>
  </w:style>
  <w:style w:type="character" w:styleId="ListLabel396">
    <w:name w:val="ListLabel 396"/>
    <w:qFormat/>
    <w:rPr>
      <w:rFonts w:cs="Symbol"/>
      <w:w w:val="100"/>
      <w:sz w:val="20"/>
      <w:szCs w:val="20"/>
    </w:rPr>
  </w:style>
  <w:style w:type="character" w:styleId="ListLabel397">
    <w:name w:val="ListLabel 397"/>
    <w:qFormat/>
    <w:rPr>
      <w:rFonts w:cs="Symbol"/>
    </w:rPr>
  </w:style>
  <w:style w:type="character" w:styleId="ListLabel398">
    <w:name w:val="ListLabel 398"/>
    <w:qFormat/>
    <w:rPr>
      <w:rFonts w:cs="Symbol"/>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cs="Symbol"/>
    </w:rPr>
  </w:style>
  <w:style w:type="character" w:styleId="ListLabel404">
    <w:name w:val="ListLabel 404"/>
    <w:qFormat/>
    <w:rPr>
      <w:rFonts w:cs="Symbol"/>
    </w:rPr>
  </w:style>
  <w:style w:type="character" w:styleId="ListLabel405">
    <w:name w:val="ListLabel 405"/>
    <w:qFormat/>
    <w:rPr>
      <w:rFonts w:eastAsia="Times New Roman" w:cs="Times New Roman"/>
      <w:b/>
      <w:bCs/>
      <w:spacing w:val="-5"/>
      <w:w w:val="100"/>
      <w:sz w:val="20"/>
      <w:szCs w:val="20"/>
    </w:rPr>
  </w:style>
  <w:style w:type="character" w:styleId="ListLabel406">
    <w:name w:val="ListLabel 406"/>
    <w:qFormat/>
    <w:rPr>
      <w:rFonts w:cs="Symbol"/>
    </w:rPr>
  </w:style>
  <w:style w:type="character" w:styleId="ListLabel407">
    <w:name w:val="ListLabel 407"/>
    <w:qFormat/>
    <w:rPr>
      <w:rFonts w:cs="Symbol"/>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cs="Symbol"/>
    </w:rPr>
  </w:style>
  <w:style w:type="character" w:styleId="ListLabel411">
    <w:name w:val="ListLabel 411"/>
    <w:qFormat/>
    <w:rPr>
      <w:rFonts w:cs="Symbol"/>
    </w:rPr>
  </w:style>
  <w:style w:type="character" w:styleId="ListLabel412">
    <w:name w:val="ListLabel 412"/>
    <w:qFormat/>
    <w:rPr>
      <w:rFonts w:cs="Symbol"/>
    </w:rPr>
  </w:style>
  <w:style w:type="character" w:styleId="ListLabel413">
    <w:name w:val="ListLabel 413"/>
    <w:qFormat/>
    <w:rPr>
      <w:rFonts w:cs="Times New Roman"/>
      <w:w w:val="98"/>
      <w:sz w:val="20"/>
      <w:szCs w:val="16"/>
    </w:rPr>
  </w:style>
  <w:style w:type="character" w:styleId="ListLabel414">
    <w:name w:val="ListLabel 414"/>
    <w:qFormat/>
    <w:rPr>
      <w:rFonts w:cs="Symbol"/>
    </w:rPr>
  </w:style>
  <w:style w:type="character" w:styleId="ListLabel415">
    <w:name w:val="ListLabel 415"/>
    <w:qFormat/>
    <w:rPr>
      <w:rFonts w:cs="Symbol"/>
    </w:rPr>
  </w:style>
  <w:style w:type="character" w:styleId="ListLabel416">
    <w:name w:val="ListLabel 416"/>
    <w:qFormat/>
    <w:rPr>
      <w:rFonts w:cs="Symbol"/>
    </w:rPr>
  </w:style>
  <w:style w:type="character" w:styleId="ListLabel417">
    <w:name w:val="ListLabel 417"/>
    <w:qFormat/>
    <w:rPr>
      <w:rFonts w:cs="Symbol"/>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Symbol"/>
    </w:rPr>
  </w:style>
  <w:style w:type="character" w:styleId="ListLabel421">
    <w:name w:val="ListLabel 421"/>
    <w:qFormat/>
    <w:rPr>
      <w:rFonts w:cs="Symbol"/>
    </w:rPr>
  </w:style>
  <w:style w:type="character" w:styleId="ListLabel422">
    <w:name w:val="ListLabel 422"/>
    <w:qFormat/>
    <w:rPr>
      <w:rFonts w:eastAsia="Times New Roman" w:cs="Times New Roman"/>
      <w:spacing w:val="0"/>
      <w:w w:val="100"/>
      <w:sz w:val="20"/>
      <w:szCs w:val="20"/>
    </w:rPr>
  </w:style>
  <w:style w:type="character" w:styleId="ListLabel423">
    <w:name w:val="ListLabel 423"/>
    <w:qFormat/>
    <w:rPr>
      <w:rFonts w:cs="Symbol"/>
    </w:rPr>
  </w:style>
  <w:style w:type="character" w:styleId="ListLabel424">
    <w:name w:val="ListLabel 424"/>
    <w:qFormat/>
    <w:rPr>
      <w:rFonts w:cs="Symbol"/>
    </w:rPr>
  </w:style>
  <w:style w:type="character" w:styleId="ListLabel425">
    <w:name w:val="ListLabel 425"/>
    <w:qFormat/>
    <w:rPr>
      <w:rFonts w:cs="Symbol"/>
    </w:rPr>
  </w:style>
  <w:style w:type="character" w:styleId="ListLabel426">
    <w:name w:val="ListLabel 426"/>
    <w:qFormat/>
    <w:rPr>
      <w:rFonts w:cs="Symbol"/>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cs="Symbol"/>
    </w:rPr>
  </w:style>
  <w:style w:type="character" w:styleId="ListLabel430">
    <w:name w:val="ListLabel 430"/>
    <w:qFormat/>
    <w:rPr>
      <w:rFonts w:cs="Symbol"/>
    </w:rPr>
  </w:style>
  <w:style w:type="character" w:styleId="ListLabel431">
    <w:name w:val="ListLabel 431"/>
    <w:qFormat/>
    <w:rPr>
      <w:rFonts w:cs="Symbol"/>
      <w:w w:val="98"/>
      <w:sz w:val="20"/>
    </w:rPr>
  </w:style>
  <w:style w:type="character" w:styleId="ListLabel432">
    <w:name w:val="ListLabel 432"/>
    <w:qFormat/>
    <w:rPr>
      <w:rFonts w:cs="Symbol"/>
    </w:rPr>
  </w:style>
  <w:style w:type="character" w:styleId="ListLabel433">
    <w:name w:val="ListLabel 433"/>
    <w:qFormat/>
    <w:rPr>
      <w:rFonts w:cs="Symbol"/>
    </w:rPr>
  </w:style>
  <w:style w:type="character" w:styleId="ListLabel434">
    <w:name w:val="ListLabel 434"/>
    <w:qFormat/>
    <w:rPr>
      <w:rFonts w:cs="Symbol"/>
    </w:rPr>
  </w:style>
  <w:style w:type="character" w:styleId="ListLabel435">
    <w:name w:val="ListLabel 435"/>
    <w:qFormat/>
    <w:rPr>
      <w:rFonts w:cs="Symbol"/>
    </w:rPr>
  </w:style>
  <w:style w:type="character" w:styleId="ListLabel436">
    <w:name w:val="ListLabel 436"/>
    <w:qFormat/>
    <w:rPr>
      <w:rFonts w:cs="Symbol"/>
    </w:rPr>
  </w:style>
  <w:style w:type="character" w:styleId="ListLabel437">
    <w:name w:val="ListLabel 437"/>
    <w:qFormat/>
    <w:rPr>
      <w:rFonts w:cs="Symbol"/>
    </w:rPr>
  </w:style>
  <w:style w:type="character" w:styleId="ListLabel438">
    <w:name w:val="ListLabel 438"/>
    <w:qFormat/>
    <w:rPr>
      <w:rFonts w:cs="Symbol"/>
    </w:rPr>
  </w:style>
  <w:style w:type="character" w:styleId="ListLabel439">
    <w:name w:val="ListLabel 439"/>
    <w:qFormat/>
    <w:rPr>
      <w:rFonts w:cs="Symbol"/>
    </w:rPr>
  </w:style>
  <w:style w:type="character" w:styleId="ListLabel440">
    <w:name w:val="ListLabel 440"/>
    <w:qFormat/>
    <w:rPr>
      <w:rFonts w:cs="Symbol"/>
      <w:w w:val="100"/>
      <w:sz w:val="20"/>
    </w:rPr>
  </w:style>
  <w:style w:type="character" w:styleId="ListLabel441">
    <w:name w:val="ListLabel 441"/>
    <w:qFormat/>
    <w:rPr>
      <w:rFonts w:cs="Times New Roman"/>
      <w:w w:val="100"/>
      <w:sz w:val="20"/>
      <w:szCs w:val="20"/>
    </w:rPr>
  </w:style>
  <w:style w:type="character" w:styleId="ListLabel442">
    <w:name w:val="ListLabel 442"/>
    <w:qFormat/>
    <w:rPr>
      <w:rFonts w:cs="Symbol"/>
    </w:rPr>
  </w:style>
  <w:style w:type="character" w:styleId="ListLabel443">
    <w:name w:val="ListLabel 443"/>
    <w:qFormat/>
    <w:rPr>
      <w:rFonts w:cs="Symbol"/>
    </w:rPr>
  </w:style>
  <w:style w:type="character" w:styleId="ListLabel444">
    <w:name w:val="ListLabel 444"/>
    <w:qFormat/>
    <w:rPr>
      <w:rFonts w:cs="Symbol"/>
    </w:rPr>
  </w:style>
  <w:style w:type="character" w:styleId="ListLabel445">
    <w:name w:val="ListLabel 445"/>
    <w:qFormat/>
    <w:rPr>
      <w:rFonts w:cs="Symbol"/>
    </w:rPr>
  </w:style>
  <w:style w:type="character" w:styleId="ListLabel446">
    <w:name w:val="ListLabel 446"/>
    <w:qFormat/>
    <w:rPr>
      <w:rFonts w:cs="Symbol"/>
    </w:rPr>
  </w:style>
  <w:style w:type="character" w:styleId="ListLabel447">
    <w:name w:val="ListLabel 447"/>
    <w:qFormat/>
    <w:rPr>
      <w:rFonts w:cs="Symbol"/>
    </w:rPr>
  </w:style>
  <w:style w:type="character" w:styleId="ListLabel448">
    <w:name w:val="ListLabel 448"/>
    <w:qFormat/>
    <w:rPr>
      <w:rFonts w:cs="Symbol"/>
    </w:rPr>
  </w:style>
  <w:style w:type="character" w:styleId="ListLabel449">
    <w:name w:val="ListLabel 449"/>
    <w:qFormat/>
    <w:rPr>
      <w:rFonts w:eastAsia="Times New Roman" w:cs="Times New Roman"/>
      <w:spacing w:val="0"/>
      <w:w w:val="100"/>
      <w:sz w:val="20"/>
      <w:szCs w:val="20"/>
    </w:rPr>
  </w:style>
  <w:style w:type="character" w:styleId="ListLabel450">
    <w:name w:val="ListLabel 450"/>
    <w:qFormat/>
    <w:rPr>
      <w:rFonts w:cs="Symbol"/>
    </w:rPr>
  </w:style>
  <w:style w:type="character" w:styleId="ListLabel451">
    <w:name w:val="ListLabel 451"/>
    <w:qFormat/>
    <w:rPr>
      <w:rFonts w:cs="Symbol"/>
    </w:rPr>
  </w:style>
  <w:style w:type="character" w:styleId="ListLabel452">
    <w:name w:val="ListLabel 452"/>
    <w:qFormat/>
    <w:rPr>
      <w:rFonts w:cs="Symbol"/>
    </w:rPr>
  </w:style>
  <w:style w:type="character" w:styleId="ListLabel453">
    <w:name w:val="ListLabel 453"/>
    <w:qFormat/>
    <w:rPr>
      <w:rFonts w:cs="Symbol"/>
    </w:rPr>
  </w:style>
  <w:style w:type="character" w:styleId="ListLabel454">
    <w:name w:val="ListLabel 454"/>
    <w:qFormat/>
    <w:rPr>
      <w:rFonts w:cs="Symbol"/>
    </w:rPr>
  </w:style>
  <w:style w:type="character" w:styleId="ListLabel455">
    <w:name w:val="ListLabel 455"/>
    <w:qFormat/>
    <w:rPr>
      <w:rFonts w:cs="Symbol"/>
    </w:rPr>
  </w:style>
  <w:style w:type="character" w:styleId="ListLabel456">
    <w:name w:val="ListLabel 456"/>
    <w:qFormat/>
    <w:rPr>
      <w:rFonts w:cs="Symbol"/>
    </w:rPr>
  </w:style>
  <w:style w:type="character" w:styleId="ListLabel457">
    <w:name w:val="ListLabel 457"/>
    <w:qFormat/>
    <w:rPr>
      <w:rFonts w:cs="Symbol"/>
    </w:rPr>
  </w:style>
  <w:style w:type="character" w:styleId="ListLabel458">
    <w:name w:val="ListLabel 458"/>
    <w:qFormat/>
    <w:rPr>
      <w:rFonts w:eastAsia="Times New Roman" w:cs="Times New Roman"/>
      <w:b/>
      <w:bCs/>
      <w:spacing w:val="-5"/>
      <w:w w:val="100"/>
      <w:sz w:val="20"/>
      <w:szCs w:val="20"/>
    </w:rPr>
  </w:style>
  <w:style w:type="character" w:styleId="ListLabel459">
    <w:name w:val="ListLabel 459"/>
    <w:qFormat/>
    <w:rPr>
      <w:rFonts w:eastAsia="Times New Roman" w:cs="Times New Roman"/>
      <w:b/>
      <w:bCs/>
      <w:spacing w:val="-5"/>
      <w:w w:val="100"/>
      <w:sz w:val="20"/>
      <w:szCs w:val="20"/>
    </w:rPr>
  </w:style>
  <w:style w:type="character" w:styleId="ListLabel460">
    <w:name w:val="ListLabel 460"/>
    <w:qFormat/>
    <w:rPr>
      <w:rFonts w:cs="Symbol"/>
    </w:rPr>
  </w:style>
  <w:style w:type="character" w:styleId="ListLabel461">
    <w:name w:val="ListLabel 461"/>
    <w:qFormat/>
    <w:rPr>
      <w:rFonts w:cs="Symbol"/>
    </w:rPr>
  </w:style>
  <w:style w:type="character" w:styleId="ListLabel462">
    <w:name w:val="ListLabel 462"/>
    <w:qFormat/>
    <w:rPr>
      <w:rFonts w:cs="Symbol"/>
    </w:rPr>
  </w:style>
  <w:style w:type="character" w:styleId="ListLabel463">
    <w:name w:val="ListLabel 463"/>
    <w:qFormat/>
    <w:rPr>
      <w:rFonts w:cs="Symbol"/>
    </w:rPr>
  </w:style>
  <w:style w:type="character" w:styleId="ListLabel464">
    <w:name w:val="ListLabel 464"/>
    <w:qFormat/>
    <w:rPr>
      <w:rFonts w:cs="Symbol"/>
    </w:rPr>
  </w:style>
  <w:style w:type="character" w:styleId="ListLabel465">
    <w:name w:val="ListLabel 465"/>
    <w:qFormat/>
    <w:rPr>
      <w:rFonts w:cs="Symbol"/>
    </w:rPr>
  </w:style>
  <w:style w:type="character" w:styleId="ListLabel466">
    <w:name w:val="ListLabel 466"/>
    <w:qFormat/>
    <w:rPr>
      <w:rFonts w:eastAsia="Times New Roman" w:cs="Times New Roman"/>
      <w:b/>
      <w:bCs/>
      <w:w w:val="100"/>
      <w:sz w:val="20"/>
      <w:szCs w:val="20"/>
    </w:rPr>
  </w:style>
  <w:style w:type="character" w:styleId="ListLabel467">
    <w:name w:val="ListLabel 467"/>
    <w:qFormat/>
    <w:rPr>
      <w:rFonts w:eastAsia="Times New Roman" w:cs="Times New Roman"/>
      <w:b/>
      <w:bCs/>
      <w:spacing w:val="-5"/>
      <w:w w:val="100"/>
      <w:sz w:val="20"/>
      <w:szCs w:val="20"/>
    </w:rPr>
  </w:style>
  <w:style w:type="character" w:styleId="ListLabel468">
    <w:name w:val="ListLabel 468"/>
    <w:qFormat/>
    <w:rPr>
      <w:rFonts w:eastAsia="Times New Roman" w:cs="Times New Roman"/>
      <w:b/>
      <w:bCs/>
      <w:spacing w:val="-5"/>
      <w:w w:val="100"/>
      <w:sz w:val="20"/>
      <w:szCs w:val="20"/>
    </w:rPr>
  </w:style>
  <w:style w:type="character" w:styleId="ListLabel469">
    <w:name w:val="ListLabel 469"/>
    <w:qFormat/>
    <w:rPr>
      <w:rFonts w:eastAsia="Times New Roman" w:cs="Times New Roman"/>
      <w:spacing w:val="-5"/>
      <w:w w:val="100"/>
      <w:sz w:val="20"/>
      <w:szCs w:val="20"/>
    </w:rPr>
  </w:style>
  <w:style w:type="character" w:styleId="ListLabel470">
    <w:name w:val="ListLabel 470"/>
    <w:qFormat/>
    <w:rPr>
      <w:rFonts w:cs="Symbol"/>
    </w:rPr>
  </w:style>
  <w:style w:type="character" w:styleId="ListLabel471">
    <w:name w:val="ListLabel 471"/>
    <w:qFormat/>
    <w:rPr>
      <w:rFonts w:cs="Symbol"/>
    </w:rPr>
  </w:style>
  <w:style w:type="character" w:styleId="ListLabel472">
    <w:name w:val="ListLabel 472"/>
    <w:qFormat/>
    <w:rPr>
      <w:rFonts w:cs="Symbol"/>
    </w:rPr>
  </w:style>
  <w:style w:type="character" w:styleId="ListLabel473">
    <w:name w:val="ListLabel 473"/>
    <w:qFormat/>
    <w:rPr>
      <w:rFonts w:cs="Symbol"/>
    </w:rPr>
  </w:style>
  <w:style w:type="character" w:styleId="ListLabel474">
    <w:name w:val="ListLabel 474"/>
    <w:qFormat/>
    <w:rPr>
      <w:rFonts w:cs="Symbo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uiPriority w:val="1"/>
    <w:qFormat/>
    <w:pPr>
      <w:ind w:left="395" w:right="0" w:hanging="0"/>
    </w:pPr>
    <w:rPr>
      <w:rFonts w:ascii="Times New Roman" w:hAnsi="Times New Roman" w:eastAsia="Times New Roman" w:cs="Times New Roman"/>
      <w:sz w:val="20"/>
      <w:szCs w:val="20"/>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1"/>
    <w:qFormat/>
    <w:pPr>
      <w:ind w:left="1106" w:right="0" w:hanging="360"/>
    </w:pPr>
    <w:rPr>
      <w:rFonts w:ascii="Times New Roman" w:hAnsi="Times New Roman" w:eastAsia="Times New Roman" w:cs="Times New Roman"/>
    </w:rPr>
  </w:style>
  <w:style w:type="paragraph" w:styleId="TableParagraph">
    <w:name w:val="Table Paragraph"/>
    <w:basedOn w:val="Normal"/>
    <w:uiPriority w:val="1"/>
    <w:qFormat/>
    <w:pPr/>
    <w:rPr>
      <w:rFonts w:ascii="Times New Roman" w:hAnsi="Times New Roman" w:eastAsia="Times New Roman" w:cs="Times New Roman"/>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Application>LibreOffice/6.0.4.2$Windows_x86 LibreOffice_project/9b0d9b32d5dcda91d2f1a96dc04c645c450872bf</Application>
  <Pages>14</Pages>
  <Words>6106</Words>
  <Characters>42719</Characters>
  <CharactersWithSpaces>48202</CharactersWithSpaces>
  <Paragraphs>637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2019-08-14T13:07:58Z</dcterms:created>
  <dc:creator/>
  <dc:description/>
  <dc:language>pl-PL</dc:language>
  <cp:lastModifiedBy/>
  <dcterms:modified xsi:type="dcterms:W3CDTF">2019-08-21T10:12:09Z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2016-11-20T00:00:00Z</vt:filetime>
  </property>
  <property fmtid="{D5CDD505-2E9C-101B-9397-08002B2CF9AE}" pid="4" name="Creator">
    <vt:lpwstr>RAD PDF</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2019-08-14T00:00:00Z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